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Possible connections — not checked</w:t>
      </w:r>
    </w:p>
    <w:p>
      <w:r>
        <w:t>Automatically collected claim-to-publication leads. These are NOT verified outcomes or final findings. Some may be irrelevant. Check original sources, scope and later evidence before interpretation.</w:t>
      </w:r>
    </w:p>
    <w:p>
      <w:pPr>
        <w:pStyle w:val="Heading2"/>
      </w:pPr>
      <w:r>
        <w:t>(Re)politicization of climate change mitigating projects: environmental forms and motives of the Seine Nord Europe canal</w:t>
      </w:r>
    </w:p>
    <w:p>
      <w:r>
        <w:t>Original source (2022): https://doi.org/10.1186/s40309-022-00195-6</w:t>
      </w:r>
    </w:p>
    <w:p>
      <w:r>
        <w:t>Original wording (abstract; indexed_source_text_not_full_document_verified): Based on the concepts of environmental forms and motives, we reconstructed the environmental ontologies ignored by the dominant discourse and assembled them into three alternative scenarios. Using the example of the Seine Nord Europe Canal project, we show a politicization of the territorial future and a depoliticization of the environmental future.</w:t>
      </w:r>
    </w:p>
    <w:p>
      <w:r>
        <w:t>POSSIBLE 2025: The History of Environmental Resource Management in Europe: Sustainable Practices Through Time — https://openalex.org/W7222858373</w:t>
      </w:r>
    </w:p>
    <w:p>
      <w:r>
        <w:t>Shared claim-specific concepts: based, concepts, environmental; EU scope visible. This is a provisional connection, not an outcome finding.</w:t>
      </w:r>
    </w:p>
    <w:p>
      <w:r>
        <w:t>Available abstract (not full text): Bringing together a broad range of case studies from across Europe, this book explores practices implemented to promote the sustainable use of environmental resources from the 16th century until the turn of the 21st century. How and with what results environmental resources were managed in the past is one of the main topics of debate in rural and environmental history and archaeology. This book explores the dialogue between these fields, drawing upon new studies and comparisons between ‘grammars’, concepts, and research practices from both fields to promote an interdisciplinary approach to the study of the environment. The book provides a comprehensive overview and comparison of the different practices of environmental resources management in Europe from the early modern period to contemporaneity, shedding light on a range of sustainability issues including land management, water supply, farming systems, and forestry. The interdisciplinary contributions in this volume provide original insight based on an analysis of written and material sources examining a range of different regions, including northern Italy, Slovenia, northern Spain, southern Spain, south-western France, and northern Romania. This book will be of interest to students and scholars of history and archaeology, as well as to those in research fields related to anthropology, sociology, environmental and agricultura</w:t>
      </w:r>
    </w:p>
    <w:p>
      <w:r>
        <w:t>POSSIBLE 2025: Environmental education on the European Green Deal. Implications and promotion of the concept through different channels in Romania — https://doi.org/10.33727/jriss.2025.1.20:193-203</w:t>
      </w:r>
    </w:p>
    <w:p>
      <w:r>
        <w:t>Shared claim-specific concepts: based, environmental, show; EU scope visible. This is a provisional connection, not an outcome finding.</w:t>
      </w:r>
    </w:p>
    <w:p>
      <w:r>
        <w:t>Available abstract (not full text): There is a visible urgent need to move from a linear economy to a circular economy in order to meet the requirements of the European Green Deal agenda. Recently, Romania implemented the DSR, getting in line with other countries that have had this system for many years. Therefore, the implementation of the Green Deal should also be focused on the promotion of the concept, how the information arrives at the citizens, how people are educated in schools and high schools regarding sustainability, etc. Focusing on the topic, this article aims to investigate the level of environmental education held by Romanians regarding the European Green Deal. This study was exploratory market survey research based on a questionnaire, focusing only on Romanian citizens who are living in Romania. Therefore, a quantitative research design was used on a sample of 111 Romanians and the results show that the respondents are satisfied with the DSR in Romania. In addition, it was found a strong positive correlation between the respondents’ environmental education gained through different channels or methods from the private and public sectors and their behavior regarding sustainability. In the end, it was found that there was a statistically significant difference between the people who already knew what the Green Deal meant and the people who didn’t when it came to their sustainability behavior. So, in c</w:t>
      </w:r>
    </w:p>
    <w:p>
      <w:r>
        <w:t>POSSIBLE 2025: Place-based leadership and environmental conflicts in the European Union — https://doi.org/10.1080/00343404.2025.2486644</w:t>
      </w:r>
    </w:p>
    <w:p>
      <w:r>
        <w:t>Shared claim-specific concepts: environmental, them, three; EU scope visible. This is a provisional connection, not an outcome finding.</w:t>
      </w:r>
    </w:p>
    <w:p>
      <w:r>
        <w:t>Available abstract (not full text): This paper investigates the relationship between place-based leadership and environmental conflicts. Focusing on France, we examine the development and distribution of environmental conflicts, and compare them with what happens in the European Union. We then select three case studies to analyse the behaviour of different actors or groups involved, examining actions and initiatives that can ignite or help defuse environmental conflicts across local communities. Findings unveil the key role of local scientists in environmental conflicts, and the emergence of non-assigned leaders who utilise interpretive power to influence decision-making processes related to large infrastructural projects approved at local and national levels.</w:t>
      </w:r>
    </w:p>
    <w:p>
      <w:r>
        <w:t>POSSIBLE 2024: Transformation of environmental policy based on the concept of ecological modernization — https://doi.org/10.1051/bioconf/20249305018</w:t>
      </w:r>
    </w:p>
    <w:p>
      <w:r>
        <w:t>Shared claim-specific concepts: based, concepts, environmental; EU scope not established. This is a provisional connection, not an outcome finding.</w:t>
      </w:r>
    </w:p>
    <w:p>
      <w:r>
        <w:t>Available abstract (not full text): The urgency of solving contemporary problems of efficiency and preservation of environmental quality necessitates the formation of a new environmental policy. The article outlines the main theoretical approaches to the study of environmental problems within the framework of theoretical concepts of economics. The point of view of the concept, system of tools and models of environmental policy is presented. The authors view environmental policy as social transformation from the perspective of a three-dimensional implicit analytical framework. It is shown that nature is integrated into the service sector through the creation of a new apparatus. This process has led to a profound institutionalization, commoditization and homogenization of the relationship between nature and society.</w:t>
      </w:r>
    </w:p>
    <w:p>
      <w:r>
        <w:t>POSSIBLE 2024: Implementation in the European Union. A concept structural meta-study of environmental and social policy — https://doi.org/10.1080/14782804.2024.2383699</w:t>
      </w:r>
    </w:p>
    <w:p>
      <w:r>
        <w:t>Shared claim-specific concepts: based, concepts, environmental, alternative; EU scope visible. This is a provisional connection, not an outcome finding.</w:t>
      </w:r>
    </w:p>
    <w:p>
      <w:r>
        <w:t>Available abstract (not full text): The implementation of EU law has been investigated since the 1980s without pinpointing any general explanatory mechanisms, while most studies focus on highly specific empirical analysis without going beyond basic conceptual descriptions. Theoretically, this paper proposes an alternative comparative framework to conceptualize and analyze differentiated policy implementation based on concept structural considerations. Empirically, existing case studies are compared in a meta-study by transferring their statements on explanatory conditions and outcomes into a parsimonious, procedural model. This approach enables a theory-guided, systematic comparison of qualitative case studies which has long been considered a desideratum in the implementation literature. The paper addresses the question under which conditions correct implementation (i.e. transposition and application) of EU directives occurs. Starting from a literature assessment, explanatory patterns are extracted and formalized as set-theoretic conditions connected to transposition and application as outcomes. The resulting concept structural model links the conceptual and explanatory levels of the underlying concepts. Using fuzzy set QCA, cases from environmental and social policy directives are assessed empirically based on case study data. The results largely confirm the expectation that only a conjunction of willingness- an</w:t>
      </w:r>
    </w:p>
    <w:p>
      <w:r>
        <w:t>POSSIBLE 2024: Natural/Small Water Retention Measures: Their Contribution to Ecosystem-Based Concepts — https://doi.org/10.3390/su16031308</w:t>
      </w:r>
    </w:p>
    <w:p>
      <w:r>
        <w:t>Shared claim-specific concepts: concepts, environmental, project, show; EU scope visible. This is a provisional connection, not an outcome finding.</w:t>
      </w:r>
    </w:p>
    <w:p>
      <w:r>
        <w:t>Available abstract (not full text): The increasing incidence of droughts and heavy rainfall events is exacerbating conflicts between human and environmental demands for water. However, through providing multiple water-related ecosystem services and benefits simultaneously, Natural/Small Water Retention Measures (NSWRM) can mitigate such competing claims. Thus, they also contribute to the achievement of various Sustainable Development Goals and environmental targets set out in water- and agriculture-related policies of the European Union. In particular, NSWRM provide for the sound management of watersheds, which can significantly contribute to improved water quality and availability—as well as improving the resilience of agriculture and society. This paper demonstrates how NSWRM fit into the framework of ecosystem-based concepts, including Natural Water Retention Measures (NWRM), Green Infrastructure (GI), Sustainable Land Management (SLM), Ecosystem-based Adaptation (EbA), and Nature-based Solutions (NbS). NSWRM, as a distinct concept, bring added value to the other concepts by focussing on easy-to-implement, modestly sized, localised technical solutions to problems associated with water management, sediment, and nutrient loss. Through experience under the EU Horizon 2020 project OPTAIN (“OPtimal strategies to retAIN and re-use water and nutrients in small agricultural catchments across different soil-climatic re</w:t>
      </w:r>
    </w:p>
    <w:p>
      <w:r>
        <w:t>POSSIBLE 2023: Origins of the European approach to environmental justice — https://openalex.org/W7135598878</w:t>
      </w:r>
    </w:p>
    <w:p>
      <w:r>
        <w:t>Shared claim-specific concepts: based, environmental, discourse; EU scope visible. This is a provisional connection, not an outcome finding.</w:t>
      </w:r>
    </w:p>
    <w:p>
      <w:r>
        <w:t>Available abstract (not full text): This thesis deals with the process of diffusion of the idea of environmental justice to Europe. Using the examples of Great Britain and Slovakia, it traces how environmental justice reached these countries and how it changed in the process. The thesis focuses on the academic discussion as one of the segments of the discourse on environmental justice. Based on the theory of translation, it examines the spaces where experts have encountered the idea of environmental justice. Furthermore, it is interested in the theoretical foundations and the content of environmental justice in the local discourse, especially concerning the transformations of the concept in order to bring it closer to the local context. Employing the interpretative qualitative analysis of academic publications written by authors affiliated with British or Slovak institutions, it has been established that the process of translation to Europe remains incomplete and does not occur uniformly. American publications have played a greater role in the UK and linking of environmental justice with sustainable development has become an important mechanism of translation here. In contrast, Slovak academic debate has been influenced by personal contacts with the international sphere. However the translation to Slovakia is currently taking place...</w:t>
      </w:r>
    </w:p>
    <w:p>
      <w:r>
        <w:t>POSSIBLE 2023: Environmental Economy and Green Transition in the European Union: Two Complementary Concepts — https://doi.org/10.2478/picbe-2023-0135</w:t>
      </w:r>
    </w:p>
    <w:p>
      <w:r>
        <w:t>Shared claim-specific concepts: based, concepts, environmental; EU scope visible. This is a provisional connection, not an outcome finding.</w:t>
      </w:r>
    </w:p>
    <w:p>
      <w:r>
        <w:t>Available abstract (not full text): Abstract The environmental economy and green transition are closely related concepts that focus on promoting new sustainable paths and economic growth and reducing the negative impact of activities on the environment. Therefore, the environmental economy and green transition have become two of the most important directions in the continuing development of the world. The environmental economy involves the ongoing progress of green technologies, green energy, and different activities aimed at changing society’s attitude toward more environmental solutions and policies. The environmental economy is a discipline that studies the economic effects of environmental products, services and policies in different realities, economies, and societies. It includes goods and services that help to preserve the stock of natural resources and protect the environment. The green transition refers to the process of transforming people, planet, and partnerships to an environmentally friendly economy. This includes also implementing policies and practices that reduce greenhouse gas emissions, promote energy efficiency, increase the use of renewable energy sources, and reduce waste and pollution. The aim of this paper is to analyze, based on Eurostat data, the evolution of the environmental economy for the EU Member States, considering that the topic has nowadays prompted both governments and corporat</w:t>
      </w:r>
    </w:p>
    <w:p>
      <w:r>
        <w:t>POSSIBLE 2023: Sustainable board governance and environmental performance: European evidence — https://doi.org/10.1002/bse.3654</w:t>
      </w:r>
    </w:p>
    <w:p>
      <w:r>
        <w:t>Shared claim-specific concepts: based, environmental, project; EU scope visible. This is a provisional connection, not an outcome finding.</w:t>
      </w:r>
    </w:p>
    <w:p>
      <w:r>
        <w:t>Available abstract (not full text): Abstract The ambitious EU Green Deal project is linked to extensive regulations on sustainability reporting, sustainable finance, and sustainable corporate governance. With increasing awareness of the impact of sustainable board governance on corporate environmental performance, our paper includes an innovative sustainable board governance score, reflecting significant board attributes. The question arises whether the combined effect of sustainable board measures, based on (1) sustainability board committees, (2) a critical mass of female board members, and (3) sustainability‐related executive compensation, influences environmental performance and its main sub‐pillars according to the EU Taxonomy Regulation. Based on stakeholder and critical mass theories, our study empirically addresses the impact of sustainable board governance on environmental performance and five sub‐pillars (carbon, emissions, biodiversity, resource use, and water performance). Using a sample of 2630 firm‐year observations from 2014 to 21, we find that sustainable board governance significantly improves environmental performance and the related sub‐pillars, except for biodiversity and water performance. Our findings are robust to robustness analyses and endogeneity checks. To the best of our knowledge, we are the first to rely on the combined effect of sustainable board attributes and its impact of environ</w:t>
      </w:r>
    </w:p>
    <w:p>
      <w:r>
        <w:t>POSSIBLE 2023: Environmental impact potential of insect production chains for food and feed in Europe — https://doi.org/10.1093/af/vfad033</w:t>
      </w:r>
    </w:p>
    <w:p>
      <w:r>
        <w:t>Shared claim-specific concepts: environmental, alternative, example; EU scope visible. This is a provisional connection, not an outcome finding.</w:t>
      </w:r>
    </w:p>
    <w:p>
      <w:r>
        <w:t xml:space="preserve">Available abstract (not full text): Insects can address sustainability issues associated with current food systems by providing an alternative protein source to address hunger and disease. Only the production systems that rely on side-stream heat and alternate energy sources may benefit from replacing compound feed production with insect value chains. Seventy-five percent to 93% of the effects of compound feed production on global warming potential, land use, and fossil resource shortages can be avoided. To fully assess the potential of insect production, it is critical to consider a wide range of sustainability indicators, including social, economic, and environmental aspects. The current food systems are facing several sustainability problems. One major issue is the environmental impact of food production, which contributes to climate change, deforestation, and biodiversity loss (Poore and Nemecek, 2018). Additionally, current food systems depend on finite resources, such as water and fossil fuels, which are becoming increasingly scarce. Moreover, the current food systems have a significantly negative impact on human health, particularly the increasing incidence of chronic diseases linked to the overconsumption of animal products (Willett, 2013). Furthermore, the current food systems are inequitable, as they often fail to provide adequate access to food for marginalized communities and contribute to social and </w:t>
      </w:r>
    </w:p>
    <w:p>
      <w:pPr>
        <w:pStyle w:val="Heading2"/>
      </w:pPr>
      <w:r>
        <w:t>A new approach on renewable energy as a support for regional economic development among the European Union</w:t>
      </w:r>
    </w:p>
    <w:p>
      <w:r>
        <w:t>Original source (2022): https://doi.org/10.1016/j.techfore.2022.121998</w:t>
      </w:r>
    </w:p>
    <w:p>
      <w:r>
        <w:t>Original wording (abstract; indexed_source_text_not_full_document_verified): The modelling results will enable the creation of an EU-wide sustainability profile useful to supranational decision-makers for adjusting energy policies to ensure the energy transition towards 2050. The methods and procedures used will be represented by a critical literature review in order to verify the working hypotheses and to design, test and validate a new statistical model of energy sustainability seasonality.</w:t>
      </w:r>
    </w:p>
    <w:p>
      <w:r>
        <w:t>POSSIBLE 2026: Architecting IT governance: A value-alignment model for IT-enabled public innovation — https://doi.org/10.59490/6a91ad516096c5874dfb3702</w:t>
      </w:r>
    </w:p>
    <w:p>
      <w:r>
        <w:t>Shared claim-specific concepts: creation, sustainability, literature, review; EU scope visible. This is a provisional connection, not an outcome finding.</w:t>
      </w:r>
    </w:p>
    <w:p>
      <w:r>
        <w:t>Available abstract (not full text): While digital transformation is a primary catalyst for change in the public sector, achieving positive outcomes requires continuous governance innovation and strategic alignment between public managers and their authorizing environments. However, current models of IT-enabled value creation generally fail to account for the deeply political mandates, inter-organizational coordination challenges, and legitimacy requirements inherent to digital government, and do not sufficiently theorize the strategic proactivity of managers navigating complex authorizing environments. To address this theoretical gap, this paper proposes a novel value-alignment model for IT-enabled public innovation, drawing upon Moore’s public value framework and integrating Venkatraman’s strategic orientation construct. The model is developed through an abductive theory-building design combining a literature review, exploratory interviews with e-government professionals, and secondary survey data on digital readiness across public sector organizations. The resulting framework posits three core relationships: public value alignment drives operational capacity, political legitimacy ensures resource sustainability, and strategic proactivity directly generates public value creation. By providing a robust theoretical architecture grounded in rigorous construct development, this paper contributes a new conceptual len</w:t>
      </w:r>
    </w:p>
    <w:p>
      <w:r>
        <w:t>POSSIBLE 2026: Environmental performance and institutions quality in Europe: A Bayesian model averaging approach — https://doi.org/10.1016/j.najef.2026.102591</w:t>
      </w:r>
    </w:p>
    <w:p>
      <w:r>
        <w:t>Shared claim-specific concepts: creation, energy, used; EU scope visible. This is a provisional connection, not an outcome finding.</w:t>
      </w:r>
    </w:p>
    <w:p>
      <w:r>
        <w:t>Available abstract (not full text): In this paper, we examine the relationship between institutional quality and environmental performance using a Bayesian Model Averaging framework. This approach allows us to define model weights as posterior probabilities, which are consistent across a large number of specified models. Consequently, the methodology enables us to explore the impact of various cofactors that also contribute to the environmental performance of EU countries. Our findings indicate that different aspects of democracy, access to information, the creation and dissemination of knowledge, renewable energy consumption, health expenditures, and financial stability are among the most significant explanatory variables for environmental protection performance in European Union countries. Additionally, we identify at least three groups of countries within the European Union when the most relevant environmental protection variables are used to characterize member countries' profiles. Our results appear robust to the selection of different prior distributions for regression coefficients.</w:t>
      </w:r>
    </w:p>
    <w:p>
      <w:r>
        <w:t>POSSIBLE 2026: The Human Agency Deficit in AI ‐Enabled Knowledge Creation — https://doi.org/10.1002/kpm.70165</w:t>
      </w:r>
    </w:p>
    <w:p>
      <w:r>
        <w:t>Shared claim-specific concepts: creation, literature, review; EU scope not established. This is a provisional connection, not an outcome finding.</w:t>
      </w:r>
    </w:p>
    <w:p>
      <w:r>
        <w:t>Available abstract (not full text): ABSTRACT Generative artificial intelligence (AI) now performs many explicit tasks in organizational knowledge creation, such as drafting, summarizing, and combining documents. This paper asks what this change means for the human agency on which knowledge creation depends. The paper starts from the position that AI does not possess tacit knowledge. Its concern is that AI can automate explicit tasks through which people have traditionally developed tacit knowing. The study uses a conceptual theory‐building design supported by a structured literature review. A Scopus search returned 192 records, and two inclusion criteria were applied. Together with three contributions found through citation tracking, a final set of 15 models of organizational knowledge creation with a defined role for AI was analyzed. The review shows that, despite assigning AI different functional roles, these models continue to depend on human actors for embodied tacit knowing. However, they rarely examine how AI use may change the way people form tacit knowing over time. Building on this gap and on empirical studies of automation and learning, the paper introduces the Human Agency Deficit. It is defined as the gap between the human agency an organization needs to evaluate, own, and extend its knowledge and the human agency that its AI‐supported work practices actually develop and use. The deficit is treated as</w:t>
      </w:r>
    </w:p>
    <w:p>
      <w:r>
        <w:t>POSSIBLE 2025: The European Social Model in the age of AI — https://doi.org/10.60054/peu.2025.12.290-300</w:t>
      </w:r>
    </w:p>
    <w:p>
      <w:r>
        <w:t>Shared claim-specific concepts: enable, creation, sustainability, policies; EU scope visible. This is a provisional connection, not an outcome finding.</w:t>
      </w:r>
    </w:p>
    <w:p>
      <w:r>
        <w:t>Available abstract (not full text): The European social model (ESM) has been a pillar of the European Union, balancing economic growth with social justice. Yet, the emergence of digitalization and artificial intelligence (AI) is fundamentally transforming labour markets, welfare policies and social protection. This paper explores the impact of AI on the ESM, with particular attention to job creation and displacement, digital skill gaps, and changing welfare architecture. The methodology is based on a qualitative policy analysis and labour market data from the Eurostat and European Commission sources. The study analyses the ways in which AI-led changes will influence job losses, skills mismatches and the sustainability of the systems of social security. The results emphasize the importance of proactive regulation, investments in digital literacy, and regulatory measures to enable AI to drive inclusive economic growth rather than increasing inequality. The recommendations include lifelong learning, adapting welfare systems to new forms of work and responsible governance of AI.</w:t>
      </w:r>
    </w:p>
    <w:p>
      <w:r>
        <w:t>POSSIBLE 2024: Strategic management as an enabler of co-creation in public services — https://doi.org/10.51952/9781447369042.ch006</w:t>
      </w:r>
    </w:p>
    <w:p>
      <w:r>
        <w:t>Shared claim-specific concepts: enable, used, literature; EU scope not established. This is a provisional connection, not an outcome finding.</w:t>
      </w:r>
    </w:p>
    <w:p>
      <w:r>
        <w:t>Available abstract (not full text): The current transformations in society, the economy and the public sector call for the development of more unified theoretical frameworks. This chapter takes the literature on strategic management as a theoretical entry angle and aims to better understand how the adoption of models of strategic management can enable processes of public value co-creation. Utilising the literature centred on the notion of ‘schools of thought’ in the strategic management of public services, the chapter discusses how co-creation as a mode of governance in public services can contribute to innovative public service solutions and value co-creation. The Welsh Water’s ‘Water Resilient Community’ – a project characterised by long-term strategic planning as well as by local innovation – is used to illustrate the argument. Four propositions on the drivers/enablers and key managerial issues for undertaking a strategic approach to co-creation as a mode of governance are offered to enhance future practice, research and theory.</w:t>
      </w:r>
    </w:p>
    <w:p>
      <w:r>
        <w:t>POSSIBLE 2023: Value co-creation in a high-performance computing (HPC) service ecosystem: opportunities for European SMEs — https://doi.org/10.1108/dprg-03-2023-0042</w:t>
      </w:r>
    </w:p>
    <w:p>
      <w:r>
        <w:t>Shared claim-specific concepts: enable, policies, critical, literature; EU scope visible. This is a provisional connection, not an outcome finding.</w:t>
      </w:r>
    </w:p>
    <w:p>
      <w:r>
        <w:t>Available abstract (not full text): Purpose This paper aims to develop a conceptual framework as a valuable investigative tool for future empirical studies examining stakeholders’ interactions within a high-performance computing (HPC) service ecosystem and identifying the enablers for better value co-creation under various service provisioning contexts. Design/methodology/approach This conceptual paper follows a theory adaptation research design that systematically examines the literature on a substantive topic encompassing HPC technology adoption and usage by European small and medium-sized enterprises (SMEs). Furthermore, it introduces theoretical perspectives from service innovation research as its methodological approach (method theory) to develop a theoretical framework for value co-creation within an HPC service ecosystem. Findings The conceptual framework presented in this paper identifies the critical resource elements of SMEs, which can potentially be integrated with other stakeholders’ resources and complement the limited internal resources of SMEs for enhanced value co-creation within an HPC service ecosystem. Research limitations/implications The conceptualisation of an HPC service ecosystem and the potential of value co-creation through integrating stakeholders’ resources, presented in this paper, underscore further empirical research in this direction. Practical implications Findings from this paper</w:t>
      </w:r>
    </w:p>
    <w:p>
      <w:r>
        <w:t>POSSIBLE 2023: TRANSFORMATION OF PUBLIC ADMINISTRATION OF SERBIA AND E-GOVERNMENT ACCORDING TO THE EUROPEAN UNION MODEL — https://doi.org/10.58952/nit20231101078</w:t>
      </w:r>
    </w:p>
    <w:p>
      <w:r>
        <w:t>Shared claim-specific concepts: enable, creation, transition; EU scope visible. This is a provisional connection, not an outcome finding.</w:t>
      </w:r>
    </w:p>
    <w:p>
      <w:r>
        <w:t>Available abstract (not full text): Transition countries and underdeveloped countries in long-term development strategies seek to eliminate evident anomalies and controversies in all spheres of society. There is an urgent need for a radical transformation of all segments of the community at all levels of organization and innovation, modeled on the developed countries of the European Union. The reform of public authority and administration is an essential obligation of relevant subjects in the context of incorporating one's own creation into modern international trends. The new public management is a modern public sector paradigm based on the implementation of the experiences of developed European countries. The focus is on systemic changes in accordance with the specifics of collectivity, the concept of privatization and the commitment to service to citizens. The first role in the reorganization is achieved by the application of information and communication technologies with the introduction of the eGovernment model in all bodies, institutions and companies. These postulates enable the necessary integration, efficiency and prosperity of society in the broadest context.</w:t>
      </w:r>
    </w:p>
    <w:p>
      <w:pPr>
        <w:pStyle w:val="Heading2"/>
      </w:pPr>
      <w:r>
        <w:t>Achieving agricultural greenhouse gas emission reductions in the EU post‐2030: What options do we have?</w:t>
      </w:r>
    </w:p>
    <w:p>
      <w:r>
        <w:t>Original source (2022): https://doi.org/10.1111/reel.12448</w:t>
      </w:r>
    </w:p>
    <w:p>
      <w:r>
        <w:t>Original wording (abstract; indexed_source_text_not_full_document_verified): Abstract By 2030, the European Union (EU) must have regulatory instruments in place that not only reduce greenhouse gas emissions from agriculture, but that also increase carbon sequestration, increase resilience of agricultural production, improve biodiversity in rural areas and contribute to providing nutritious and healthy food to a growing world population.</w:t>
      </w:r>
    </w:p>
    <w:p>
      <w:r>
        <w:t>POSSIBLE 2025: Regulatory Landscape of Nutraceuticals in the European Union — https://doi.org/10.1201/9781003465041-9</w:t>
      </w:r>
    </w:p>
    <w:p>
      <w:r>
        <w:t>Shared claim-specific concepts: abstract, union, must, regulatory; EU scope visible. This is a provisional connection, not an outcome finding.</w:t>
      </w:r>
    </w:p>
    <w:p>
      <w:r>
        <w:t xml:space="preserve">Available abstract (not full text): The regulatory landscape for nutraceuticals in the European Union (EU) is a complex framework designed to ensure the safety and quality of these products while promoting innovation in the industry. This abstract provides a concise overview of the key regulatory requirements governing nutraceuticals in the EU. The regulatory framework primarily revolves around the principle of placing safe and appropriately labeled products on the market. Nutraceuticals, positioned at the intersection of food and pharmaceuticals, are subject to stringent standards set forth in EU regulations. These regulations encompass aspects such as ingredient safety, permissible health claims, and labeling requirements. The European Food Safety Authority (EFSA) plays a pivotal role in evaluating and approving health claims associated with nutraceuticals. Additionally, manufacturers must adhere to Good Manufacturing Practices (GMP) to ensure the consistent quality of their products. Novel foods, including certain nutraceutical ingredients, undergo a separate approval process to assess their safety and potential impact on public health. Harmonizing regulations across EU member states, this framework facilitates the free movement of nutraceuticals within the single market while safeguarding consumer health. Navigating this regulatory landscape demands a comprehensive understanding of the evolving requirements, </w:t>
      </w:r>
    </w:p>
    <w:p>
      <w:r>
        <w:t>POSSIBLE 2025: Capitalism, imperialism and European Union Law: towards a Marxist approach — https://doi.org/10.1017/elo.2025.10018</w:t>
      </w:r>
    </w:p>
    <w:p>
      <w:r>
        <w:t>Shared claim-specific concepts: abstract, union, must, not, but; EU scope visible. This is a provisional connection, not an outcome finding.</w:t>
      </w:r>
    </w:p>
    <w:p>
      <w:r>
        <w:t>Available abstract (not full text): Abstract This article establishes a foundation for the development of Marxist approaches to European Union (EU) law. While Marxist scholarship has engaged with European integration throughout its history, it has largely overlooked the legal architecture of the EU. Conversely, EU legal studies have remained largely insulated from Marxist thought, even as critical approaches have begun to gain traction. Bridging this mutual neglect, the article argues that EU law must be understood not as a neutral or technocratic system, but as a central element of capitalist social relations both in Europe, and in terms of Europe’s wider integration in the global market. In this way, EU law is bound up with processes of accumulation, imperialism, and racialised social reproduction. Drawing on key currents within Marxist theory, the article situates EU law within the historical dynamics of capitalist development, demonstrating how a materialist legal analysis can deepen and enrich existing critiques of European integration.</w:t>
      </w:r>
    </w:p>
    <w:p>
      <w:r>
        <w:t>POSSIBLE 2025: Accounting regulation in the European Union — https://doi.org/10.1007/s11142-025-09909-0</w:t>
      </w:r>
    </w:p>
    <w:p>
      <w:r>
        <w:t>Shared claim-specific concepts: abstract, union, regulatory, improve; EU scope visible. This is a provisional connection, not an outcome finding.</w:t>
      </w:r>
    </w:p>
    <w:p>
      <w:r>
        <w:t>Available abstract (not full text): Abstract We provide a comprehensive overview of accounting-related regulatory changes (financial accounting, auditing, tax, and other disclosures) in the 27 European Union countries and the United Kingdom since 1993 based on an extensive literature review, survey, and topic and country expert input. Across all countries and years, we find that more than 16 regulatory events occur in a typical difference-in-differences research design that includes pre- and post-periods of four years. On average 3.4 out of four accounting disciplines are affected, emphasizing the need for interdisciplinary awareness. Our accompanying website ( http://www.eu-regulations.com ) offers visual representations of these events, regulation summaries, literature links, and source documents, all by country. This work aims to (1) lower the cost for researchers, reviewers, and editors to understand the EU’s evolving regulatory landscape; (2) improve research designs by identifying concurrent regulatory events; and (3) highlight research opportunities for those studying the EU or specific member states.</w:t>
      </w:r>
    </w:p>
    <w:p>
      <w:r>
        <w:t>POSSIBLE 2025: Water reuse in the European Union: fostering and constraining public acceptance — https://doi.org/10.1093/jel/eqaf026</w:t>
      </w:r>
    </w:p>
    <w:p>
      <w:r>
        <w:t>Shared claim-specific concepts: abstract, union, must; EU scope visible. This is a provisional connection, not an outcome finding.</w:t>
      </w:r>
    </w:p>
    <w:p>
      <w:r>
        <w:t>Available abstract (not full text): ABSTRACT Water reuse is indicated by the European institutions as a key tool in promoting a circular economy and addressing the current dramatic overuse and pollution of freshwater. Nevertheless, this practice is encountering a certain degree of resistance from the public, understood as the main stakeholders and social actors involved in the water cycle. This article poses a series of questions concerning the ways in which the public's apparent reluctance to embrace reuse practices might be addressed, exploring the capacity of the Union to implement environmental and climate strategies. By analysing the legal nature of water reuse and risk management plans, the idea is put forward that water reuse is a measure that must be considered and that, under certain conditions, should be mandatory. This argument is substantiated by an examination of the cross-cutting nature of water reuse practices and the associated obligations, encompassing environmental protection, energy efficiency, and intergenerational justice.</w:t>
      </w:r>
    </w:p>
    <w:p>
      <w:r>
        <w:t>POSSIBLE 2025: Adaptation of Ukrainian Legislation to the Legislation of the European Union: Current Status and Prospects — https://doi.org/10.23939/veritas2025.01.044</w:t>
      </w:r>
    </w:p>
    <w:p>
      <w:r>
        <w:t>Shared claim-specific concepts: abstract, union, must, regulatory; EU scope visible. This is a provisional connection, not an outcome finding.</w:t>
      </w:r>
    </w:p>
    <w:p>
      <w:r>
        <w:t xml:space="preserve">Available abstract (not full text): Abstract. The article examines the current state and prospects for adapting Ukrainian legislation to European Union law. It finds that the term “adaptation of legislation” has increasingly been used to describe the process of harmonizing and aligning a candidate country’s national legislation with EU acts, standards, and rules. Since participants in the European integration process must implement and comply with EU legislation, legal adaptation has become a key stage in ensuring the incorporation of European Union standards into national legal systems. This process involves modifying existing legal norms, creating new regulatory acts, reforming institutions and authorities responsible for implementing legislation, and fostering changes in societal culture and consciousness to uphold European standards and values. The study concludes that the essence of adapting Ukrainian legislation to EU law lies in amending and implementing national legislation to ensure compliance and harmonization with EU requirements. Legislative adaptation is a fundamental obligation under the Association Agreement between Ukraine and the European Union, which outlines commitments necessary for Ukraine’s eventual EU membership. This agreement, in terms of scope and thematic coverage, is the most extensive international legal document in Ukraine’s history and the largest international agreement the EU has </w:t>
      </w:r>
    </w:p>
    <w:p>
      <w:r>
        <w:t>POSSIBLE 2024: Evolving Concept of Energy Communities in the European Union — https://doi.org/10.2478/lpts-2024-0020</w:t>
      </w:r>
    </w:p>
    <w:p>
      <w:r>
        <w:t>Shared claim-specific concepts: abstract, union, must, reduce, greenhouse, gas; EU scope visible. This is a provisional connection, not an outcome finding.</w:t>
      </w:r>
    </w:p>
    <w:p>
      <w:r>
        <w:t>Available abstract (not full text): Abstract In accordance with the goal approved by the Council of the European Union, a European climate-neutrality must be achieved by 2050. Namely, the European Union must significantly reduce greenhouse gas emissions and find ways to compensate for the remaining and unavoidable ones. Within the framework of the European Green Deal, which is a set of policy initiatives to achieve climate neutrality goals, energy communities are considered in the context of two initiatives: a just transition and clean and safe energy at an affordable price. Within the latter, energy community is seen as citizen-led actions in the energy sector that will help pave the way for the transition to clean energy.</w:t>
      </w:r>
    </w:p>
    <w:p>
      <w:r>
        <w:t>POSSIBLE 2024: The European Union — https://doi.org/10.1093/9780191987304.003.0004</w:t>
      </w:r>
    </w:p>
    <w:p>
      <w:r>
        <w:t>Shared claim-specific concepts: abstract, union, must, regulatory; EU scope visible. This is a provisional connection, not an outcome finding.</w:t>
      </w:r>
    </w:p>
    <w:p>
      <w:r>
        <w:t>Available abstract (not full text): Abstract This chapter analyses the green foreign energy policy and green power strategy of the EU. First, it explains how climate and technological sovereignty priorities have emerged in Europe, prompting a greening of the EU regulatory state and a shift towards a catalytic state. These processes intensified under the Juncker Commission and subsequent von der Leyen Commission; the latter, with the European Green Deal, has placed the energy transition at the centre of EU internal and external action. Moreover, the chapter illustrates the further innovations introduced after the Covid-19 crisis and the Russian invasion of Ukraine amid a deterioration of the international landscape and growing competition with China. These developments have produced an overall greening of the EU external action, although its green power strategy must still face important constraints that limit its ability to act as a leader in the emerging low-carbon world.</w:t>
      </w:r>
    </w:p>
    <w:p>
      <w:r>
        <w:t>POSSIBLE 2024: Infringement: Jurisdiction Under the European Union/European Free Trade Association Rules — https://doi.org/10.1093/law/9780198853312.003.0005</w:t>
      </w:r>
    </w:p>
    <w:p>
      <w:r>
        <w:t>Shared claim-specific concepts: abstract, union, must, also; EU scope visible. This is a provisional connection, not an outcome finding.</w:t>
      </w:r>
    </w:p>
    <w:p>
      <w:r>
        <w:t>Available abstract (not full text): Abstract This chapter explores the provisions related to jurisdiction under the European Union/European Free Trade Association rules and their application in infringement cases. After Brexit, the Brussels I Regulation and the Lugano Convention no longer apply in the UK and can no longer form a basis of jurisdiction for UK courts. However, even without the provisions, an action for infringement will be treated as a civil and commercial matter. On the other hand, an action for infringement of an intellectual property right brought against the European Commission must be heard by the Court of Justice instead of a national court. The chapter also considers the correlation between infringement, licensing agreements, and settlement agreements.</w:t>
      </w:r>
    </w:p>
    <w:p>
      <w:r>
        <w:t>POSSIBLE 2024: Countering the Phenomenon of Populism as a Pathology of Democratisation in the European Union — https://doi.org/10.37837/2707-7683-2024-34</w:t>
      </w:r>
    </w:p>
    <w:p>
      <w:r>
        <w:t>Shared claim-specific concepts: abstract, union, must, improve; EU scope visible. This is a provisional connection, not an outcome finding.</w:t>
      </w:r>
    </w:p>
    <w:p>
      <w:r>
        <w:t>Available abstract (not full text): Abstract. This article examines the latest trends in populism’s development in the European international political arena and the mechanisms for countering the ‘erosion of democracy’. The authors note that the phenomenon of democratic backsliding in the European Union is quite controversial. On one hand, since its inception, the European Union has upheld the principle of ‘the rule of law’ as one of its main pillars. On the other hand, the EU creates conditions that allow member states to backslide democratically. At the beginning of the 21st century, the EU faced its most ‘ironic’ problem — the institution that promotes democracy must fight against growing anti-democratic trends among its members. The most obvious examples are Hungary since 2010 and Poland since 2015, where the undemocratic actions of their governments have drawn the attention of all of Europe. Thus, in this article, the authors seek to answer the question: how can the European Union combat the erosion of democratic values? The authors outline three main approaches: (1) political pressure, (2) financial sanctions, and (3) legal prosecution for deviations from the principle of the rule of law. These three deterrent mechanisms closely link and require joint application to prevent democratic backsliding among new members. Studying the factors contributing to such backsliding shows that the European Parliament, the</w:t>
      </w:r>
    </w:p>
    <w:p>
      <w:r>
        <w:t>POSSIBLE 2024: European labour law as part of an economic union, monetary union and community of values—between harmonization and subsidiarity — https://doi.org/10.1093/yel/yeae008</w:t>
      </w:r>
    </w:p>
    <w:p>
      <w:r>
        <w:t>Shared claim-specific concepts: abstract, union, must, regulatory, but, areas; EU scope visible. This is a provisional connection, not an outcome finding.</w:t>
      </w:r>
    </w:p>
    <w:p>
      <w:r>
        <w:t>Available abstract (not full text): Abstract The development of European labour law was neither straightforward nor continuous but followed the development of the European single market for a long time. Today, European labour law is an essential part of the social market economy in the European Union, even if there is no uniform European social model. The European Pillar of Social Rights is a commitment to a social Europe and accelerated regulatory practice. From a political science perspective, the development of European labour law was and is dependent on the legitimacy of its actions of the European Union. Therefore, unlike in nation-states, no clearly defined concept of (European) labour law has emerged. Rather, three central areas can be identified: (1) transnational labour law, primarily the free movement of workers, as nucleus of European labour law, (2) European labour law as a result of the interference of business-related fundamental freedoms with the welfare states in the Member States, and (3) European labour law as a result of a proactive social policy. However, the European Union has and will have to continue to organise its legislation in coordination with the welfare states in the Member States. Politically, it must prove that its measures are necessary because it can regulate the issues in question better than the Member States would be able to. Crises affecting several Member States are often th</w:t>
      </w:r>
    </w:p>
    <w:p>
      <w:r>
        <w:t>POSSIBLE 2024: Climate Obstruction in the European Union — https://doi.org/10.1093/oso/9780197762042.003.0013</w:t>
      </w:r>
    </w:p>
    <w:p>
      <w:r>
        <w:t>Shared claim-specific concepts: abstract, union, not, reduce, but, also; EU scope visible. This is a provisional connection, not an outcome finding.</w:t>
      </w:r>
    </w:p>
    <w:p>
      <w:r>
        <w:t>Available abstract (not full text):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r>
        <w:t>POSSIBLE 2023: Crises and Integration in European Banking Union — https://doi.org/10.1093/oso/9780198889069.001.0001</w:t>
      </w:r>
    </w:p>
    <w:p>
      <w:r>
        <w:t>Shared claim-specific concepts: abstract, union, must, only; EU scope visible. This is a provisional connection, not an outcome finding.</w:t>
      </w:r>
    </w:p>
    <w:p>
      <w:r>
        <w:t xml:space="preserve">Available abstract (not full text): Abstract This book develops a theory of which crises are most likely to produce substantially deeper European integration based on the interaction of two dimensions of a crisis: the severity of the threat to the existing status quo and the origin of the crisis either within or outside of the sector of interest. In order to produce truly fundamental reform, a crisis must both be severe enough that reform is undeniably necessary and have originated within the sector of interest, such that reform could plausibly prevent future recurrences of the crisis. The theory is tested by examining the relative impact of a series of crises on the centralization of European banking regulation in the twenty-first century, and in particular on efforts to complete a European banking and capital markets union. It looks in turn at the 2007–09 Banking Crisis, the 2010–14 Debt Crisis, the 2016 Brexit Crisis, and the 2020–21 COVID Pandemic. In brief, Brexit, a moderate exogenous crisis, produced no notable reform, while both the moderate endogenous 2007–09 Banking Crisis and the severe exogenous COVID-19 Pandemic produced modest reforms, in form of the creation of the European Banking Authority and an accelerated timeline for using the European Stability Mechanism to backstop funding of bank resolution respectively. Only the severe endogenous 2010–14 Debt Crisis produced the substantial reform out of </w:t>
      </w:r>
    </w:p>
    <w:p>
      <w:pPr>
        <w:pStyle w:val="Heading2"/>
      </w:pPr>
      <w:r>
        <w:t>Agent‐Based Modeling of Alternative Futures in the British Land Use System</w:t>
      </w:r>
    </w:p>
    <w:p>
      <w:r>
        <w:t>Original source (2022): https://doi.org/10.1029/2022ef002905</w:t>
      </w:r>
    </w:p>
    <w:p>
      <w:r>
        <w:t>Original wording (abstract; indexed_source_text_not_full_document_verified): Abstract Socio‐economic scenarios such as the Shared Socioeconomic Pathways (SSPs) have been widely used to analyze global change impacts, but representing their diversity is a challenge for the analytical tools applied to them. Taking Great Britain as an example, we represent a set of stakeholder‐elaborated UK‐SSP scenarios, linked to climate change scenarios (Representative Concentration Pathways), in a globally‐embedded agent‐based modeling framework.</w:t>
      </w:r>
    </w:p>
    <w:p>
      <w:r>
        <w:t>POSSIBLE 2026: Abstract DP015: Integrating Systemic and Socio-economic Factors Into Stroke Prognostic Models: Findings From the ELAN International Survey — https://doi.org/10.1161/str.57.suppl_1.dp015</w:t>
      </w:r>
    </w:p>
    <w:p>
      <w:r>
        <w:t>Shared claim-specific concepts: abstract, widely, but; EU scope not established. This is a provisional connection, not an outcome finding.</w:t>
      </w:r>
    </w:p>
    <w:p>
      <w:r>
        <w:t>Available abstract (not full text): Prognosis after acute stroke varies widely and is usually guided by imaging and clinical markers. Factors such as frailty, cognition, comorbidities, mental health, social support, and financial status strongly influence recovery but are rarely considered. To address this gap, we developed the ELAN Score, a structured 10-point tool across six domains: cognition, pre-existing disability/frailty, comorbidities, mental health, social support and financial factors. Using a global survey, we aimed to evaluate associations between individual ELAN domains and clinicians’ prediction of recovery and coping potential after a stroke. In an international online survey, stroke neurologists, neurointerventionalists, and allied specialists were randomly assigned 30 of 324 case vignettes. Each vignette described a patient with large vessel occlusion, good ASPECTS who achieved TICI 3 reperfusion, and systematically varied the severity of ELAN-specific domains. Participants were blinded to the ELAN score; scores were calculated in the background using pre-specified domain weights. Respondents were asked to estimate: the probability of return to pre-stroke functional status, and the probability of coping with an unfavorable outcome. Associations between ELAN score, individual domains, and perceived outcomes were examined using mixed-effects Poisson regression adjusted for clinician demographics, s</w:t>
      </w:r>
    </w:p>
    <w:p>
      <w:r>
        <w:t>POSSIBLE 2025: Socio-Economic Conditions Of Coir Workers And Problems Of Coir Industry East Godavari District in Andhra Pradesh — https://doi.org/10.71097/ijsat.v16.i4.8529</w:t>
      </w:r>
    </w:p>
    <w:p>
      <w:r>
        <w:t>Shared claim-specific concepts: abstract, socio; EU scope not established. This is a provisional connection, not an outcome finding.</w:t>
      </w:r>
    </w:p>
    <w:p>
      <w:r>
        <w:t>Available abstract (not full text): Abstract Socio-economic status refers to a wide range of interrelated and diverse aspects and variables relating to or involving a combination of social and economic factors. These aspects and variables could, in general, be categorized into several categories including, economic, demographic, public services, fiscal and social. Socio economics an important determinant of the livelihood assist influences levels of knowledge, skills and income conditions which means for their living. For the purpose of analyses the present divided into two parts, the first part deals with the socio- economic status of coir workers in the study area.The second part analyses the problems of coir industry.</w:t>
      </w:r>
    </w:p>
    <w:p>
      <w:r>
        <w:t>POSSIBLE 2024: Abstract WMP47: Neighborhood Socio-Economic Status as a Predictor of All-Cause Long-Term Post-Stroke Mortality — https://doi.org/10.1161/str.55.suppl_1.wmp47</w:t>
      </w:r>
    </w:p>
    <w:p>
      <w:r>
        <w:t>Shared claim-specific concepts: abstract, socioeconomic, used; EU scope not established. This is a provisional connection, not an outcome finding.</w:t>
      </w:r>
    </w:p>
    <w:p>
      <w:r>
        <w:t>Available abstract (not full text): Background: Previous studies have shown that neighborhood socioeconomic status may be associated with post-stroke mortality. However, these studies did not adjust for stroke severity. We aim to determine the association between neighborhood of residence on long-term mortality after stroke. Methods: Within our population of 1.3 million in the Greater Cincinnati Northern Kentucky area, incident strokes among adult residents were ascertained at all area hospitals during calendar years 2005, 2010 and 2015. Participants addresses were used to geocode and determine their census tract and then used a validated index to determine neighborhood socio-economic status. We used national death index data to determine mortality status at 5 years post stroke. Individuals who survived at least 30 days were included in the analysis. We used cox proportional hazards to determine the association between neighborhood of residence deprivation and case fatality rate after stroke. Results: Among 4514 incident ischemic strokes, there were 1719 deaths over 5 years; for an all-cause post-stroke mortality rate of 38.08% among survivors of 30 days post-stroke. Similarly, there were 552 intracerebral hemorrhages with 224 deaths over 5 years: yielding an all-cause post-stroke mortality rate of 40.58%. Individuals in the quartile of neighborhoods with lowest neighborhood socio-economic status had 1.3 times th</w:t>
      </w:r>
    </w:p>
    <w:p>
      <w:r>
        <w:t>POSSIBLE 2024: The socio-economic performance of agroecology. A review — https://doi.org/10.1007/s13593-024-00945-9</w:t>
      </w:r>
    </w:p>
    <w:p>
      <w:r>
        <w:t>Shared claim-specific concepts: abstract, used, them; EU scope not established. This is a provisional connection, not an outcome finding.</w:t>
      </w:r>
    </w:p>
    <w:p>
      <w:r>
        <w:t xml:space="preserve">Available abstract (not full text): Abstract Agroecology is identified as an important solution to increase the sustainability of agricultural and food systems. Despite the increasing number of publications assessing the socio-economic outcomes of agroecology, very few studies have consolidated the scattered results obtained on various case studies. This paper provides new insights by consolidating evidence on the varied socio-economic effects of agroecology across a large number of cases at a global level. To this purpose, we used a rapid review methodology, screening more than 13,000 publications to retrieve evidence on the socio-economic outcomes of the implementation of agroecological practices. The results of the review indicate that (1) agroecological practices are associated more often with positive socio-economic outcomes across the broad range of evaluated metrics (51% positive, 30% negative, 10% neutral, and 9% inconclusive outcomes); (2) the socio-economic metrics associated with financial capital represent the vast majority of evaluated metrics (83% of total) and are affected positively in a large share of cases (53%), due to favourable outcomes on income, revenues, productivity and efficiency; (3) human capital metrics (16%) are associated with a larger number of negative outcomes (46% versus 38% positive), due to higher labour requirements and costs that are however partly compensated by an overall </w:t>
      </w:r>
    </w:p>
    <w:p>
      <w:r>
        <w:t>POSSIBLE 2024: Socio-economic Status Scales in India &amp; Globally: A Review — https://doi.org/10.4103/pmrr.pmrr_133_24</w:t>
      </w:r>
    </w:p>
    <w:p>
      <w:r>
        <w:t>Shared claim-specific concepts: abstract, socio, used, applied; EU scope not established. This is a provisional connection, not an outcome finding.</w:t>
      </w:r>
    </w:p>
    <w:p>
      <w:r>
        <w:t>Available abstract (not full text): Abstract Socio Economic Status (SES) Scales as used for investigating social status and related health conditions are comprehensively reviewed for their background, development, strengths, weaknesses and popularity. They measure components such as education, occupation, income and possessions either individually or in combination for urban/rural population. Level of socio-economic status is in turn related to health status. Although carrying limitations, yet Kuppuswamy, BG Prasad and Udai Pareek remain the most accepted, updated and longstanding Indian scales. Others scales such as Tiwari and Kumar, Gaur and Agarwal can also be harnessed. Below Poverty Line (BPL) scale and multidimensional poverty index, Hashim and identical scales should also be applied to identify BPL families for delivering medical benefits through a government initiative such as- Ayushman Bharat Pradhan Mantri Jan Arogya Yojana. Few international scales are also discussed. Nevertheless, a combination of scales or an all-encompassing scale with the most relevant classification of the Indian society and identification of the poor is always desired by researchers and policy makers for a reasonable outcome.</w:t>
      </w:r>
    </w:p>
    <w:p>
      <w:r>
        <w:t>POSSIBLE 2024: ONTOLOGY OF SOCIO-ECONOMIC RESEARCH — https://doi.org/10.30838/ep.194.66-73</w:t>
      </w:r>
    </w:p>
    <w:p>
      <w:r>
        <w:t>Shared claim-specific concepts: used, applied, taking; EU scope not established. This is a provisional connection, not an outcome finding.</w:t>
      </w:r>
    </w:p>
    <w:p>
      <w:r>
        <w:t>Available abstract (not full text): Introduction. The ontology of socio-economic research contributes to a deeper understanding of the foundations of social and economic phenomena, which helps in the development of effective policies and strategies for solving problems at different levels of methodological knowledge. The development of modern science requires a detailed study of the ontological aspects of socio-economic processes for the analysis and forecasting of socio-economic phenomena. Research hypothesis: socio-economic processes can be more effectively analysed and predicted through the development of a formalized ontological system that describes the main concepts, methods and principles of ontological research. Purpose. Systematize the latest knowledge about the basic elements of socio-economic phenomena and develop the concept of the ontology of socio-economic research to improve the interpretation of the relationships between the elements of the knowledge system. Methodology. The theoretical and methodological basis of the research is based on philosophical, sociological and economic concepts. In the course of the research, the following methods were used: historical and logical approaches, systematization, comparative analysis (when studying the genesis of ontological principles), theoretical generalization, abstract-logical (when arguing the research concept), classification, decomposition, modelling</w:t>
      </w:r>
    </w:p>
    <w:p>
      <w:r>
        <w:t>POSSIBLE 2023: Abstract 728: Socio-economic and health disparity determinants of breast cancer prevalence in low-income counties in Alabama and Mississippi: An analysis of Deep South cancer epidemic — https://doi.org/10.1158/1538-7445.am2023-728</w:t>
      </w:r>
    </w:p>
    <w:p>
      <w:r>
        <w:t>Shared claim-specific concepts: abstract, socioeconomic, analyze; EU scope not established. This is a provisional connection, not an outcome finding.</w:t>
      </w:r>
    </w:p>
    <w:p>
      <w:r>
        <w:t>Available abstract (not full text): Abstract Background: Studies underscore evidence that socioeconomic status (SES) is associated with breast cancer (BC)prevalence and especially poor SES is closely related to the cancer epidemic. Exploring the high and low SES status concerning BC prevalence is timely and noteworthy. Two impoverished Deep South states Alabama and Mississippi are the focus of this research. Alabama and Mississippi are well known for the historical and cultural landscape of Black Belt Counties (BBC), predominantly occupied by African American populations who were systematically undermined in many socioeconomic, healthcare, educational, and political aspects. Our investigation explores BC prevalence in the major ethnic groups (African American and White) in both southern states, mainly in the BBC. Hypothesis/Objectives: We hypothesized that SES is closely associated with BC prevalence. In particular, the poor status of SES severely influences BC patients' access to healthcare, healthy food, obesity, education, employment, transportation, prevention, and screening. Our study explores the impact of selected SES factors to understand BC prevalence in both states, particularly in impoverished BBC. Methods: We utilized Geospatial Technology (GT) to analyze the connection between BC prevalence and SES. This study incorporates county-level BC prevalence and association with SES, education, healthy food a</w:t>
      </w:r>
    </w:p>
    <w:p>
      <w:r>
        <w:t>POSSIBLE 2023: Cooperative adaptive management of the Nile River with climate and socio-economic uncertainties — https://doi.org/10.1038/s41558-022-01556-6</w:t>
      </w:r>
    </w:p>
    <w:p>
      <w:r>
        <w:t>Shared claim-specific concepts: abstract, challenge; EU scope not established. This is a provisional connection, not an outcome finding.</w:t>
      </w:r>
    </w:p>
    <w:p>
      <w:r>
        <w:t>Available abstract (not full text): Abstract The uncertainties around the hydrological and socio-economic implications of climate change pose a challenge for Nile River system management, especially with rapidly rising demands for river-system-related services and political tensions between the riparian countries. Cooperative adaptive management of the Nile can help alleviate some of these stressors and tensions. Here we present a planning framework for adaptive management of the Nile infrastructure system, combining climate projections; hydrological, river system and economy-wide simulators; and artificial intelligence multi-objective design and machine learning algorithms. We demonstrate the utility of the framework by designing a cooperative adaptive management policy for the Grand Ethiopian Renaissance Dam that balances the transboundary economic and biophysical interests of Ethiopia, Sudan and Egypt. This shows that if the three countries compromise cooperatively and adaptively in managing the dam, the national-level economic and resilience benefits are substantial, especially under climate projections with the most extreme streamflow changes.</w:t>
      </w:r>
    </w:p>
    <w:p>
      <w:r>
        <w:t>POSSIBLE 2023: Amenity complexity and urban locations of socio-economic mixing — https://doi.org/10.1140/epjds/s13688-023-00413-6</w:t>
      </w:r>
    </w:p>
    <w:p>
      <w:r>
        <w:t>Shared claim-specific concepts: abstract, but, diversity; EU scope visible. This is a provisional connection, not an outcome finding.</w:t>
      </w:r>
    </w:p>
    <w:p>
      <w:r>
        <w:t>Available abstract (not full text): Abstract Cities host diverse people and their mixing is the engine of prosperity. In turn, segregation and inequalities are common features of most cities and locations that enable the meeting of people with different socio-economic status are key for urban inclusion. In this study, we adopt the concept of economic complexity to quantify the sophistication of amenity supply at urban locations. We propose that neighborhood complexity and amenity complexity are connected to the ability of locations to attract diverse visitors from various socio-economic backgrounds across the city. We construct the measures of amenity complexity based on the local portfolio of diverse and non-ubiquitous amenities in Budapest, Hungary. Socio-economic mixing at visited third places is investigated by tracing the daily mobility of individuals and by characterizing their status by the real-estate price of their home locations. Results suggest that measures of ubiquity and diversity of amenities do not, but neighborhood complexity and amenity complexity are correlated with the urban centrality of locations. Urban centrality is a strong predictor of socio-economic mixing, but both neighborhood complexity and amenity complexity add further explanatory power to our models. Our work combines urban mobility data with economic complexity thinking to show that the diversity of non-ubiquitous amenities, centr</w:t>
      </w:r>
    </w:p>
    <w:p>
      <w:pPr>
        <w:pStyle w:val="Heading2"/>
      </w:pPr>
      <w:r>
        <w:t>Balancing GHG mitigation and land-use conflicts: Alternative Northern European energy system scenarios</w:t>
      </w:r>
    </w:p>
    <w:p>
      <w:r>
        <w:t>Original source (2022): https://doi.org/10.1016/j.apenergy.2022.118557</w:t>
      </w:r>
    </w:p>
    <w:p>
      <w:r>
        <w:t>Original wording (abstract; indexed_source_text_not_full_document_verified): The results show that the least-cost solution requires 1.2%–3.6% of the land in the modeled countries in 2040 for onshore wind and solar PV installations. Nuclear energy may also be an option if both onshore and offshore areas are to be reduced, or in a less flexible system.</w:t>
      </w:r>
    </w:p>
    <w:p>
      <w:r>
        <w:t>POSSIBLE 2025: Attribution of flood impacts shows strong benefits of adaptation in Europe since 1950 — https://doi.org/10.1126/sciadv.adt7068</w:t>
      </w:r>
    </w:p>
    <w:p>
      <w:r>
        <w:t>Shared claim-specific concepts: show, land, also, less; EU scope visible. This is a provisional connection, not an outcome finding.</w:t>
      </w:r>
    </w:p>
    <w:p>
      <w:r>
        <w:t>Available abstract (not full text):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r>
        <w:t>POSSIBLE 2025: Geospatial Planning for Least-Cost Electrification in Developing Countries — https://doi.org/10.3390/en18071784</w:t>
      </w:r>
    </w:p>
    <w:p>
      <w:r>
        <w:t>Shared claim-specific concepts: least-cost, countries, also, both; EU scope not established. This is a provisional connection, not an outcome finding.</w:t>
      </w:r>
    </w:p>
    <w:p>
      <w:r>
        <w:t>Available abstract (not full text): This paper presents two innovative procedures developed for rural electrification planning. To address the challenges of processing vast geospatial data, handling complex and computationally intensive network design, and making detailed yet accessible economic assessments, this work introduces a Buffering plugin for community identification and a Grid Routing and Cost Allocation plugin for network design and economic assessment, both integrated into the open-source QGIS platform. The first enables the identification of potential electrification zones through dual methodologies, while the second introduces three key processes: hierarchical clustering, a modified minimum spanning tree, and a novel cost allocation methodology that provides village-specific LCOE calculations. Testing in Zambia has proven that this approach is not only effective but also—compared to existing tools—offers significant advantages in terms of computational efficiency and accessibility, while providing practical solutions to large-scale challenges. This synergistic approach enables planners to move from granular geospatial data to actionable electrification decisions through a streamlined process. The analysis covered over 3 million buildings, grouped into 162,142 settlement clusters, and subsequently determined optimal electrification strategies for 3025 villages—40.4% connected to grid extensions and 5</w:t>
      </w:r>
    </w:p>
    <w:p>
      <w:r>
        <w:t>POSSIBLE 2024: Levelized cost of hydrogen production in Northern Africa and Europe in 2050: A Monte Carlo simulation for Germany, Norway, Spain, Algeria, Morocco, and Egypt — https://doi.org/10.1016/j.ijhydene.2024.04.319</w:t>
      </w:r>
    </w:p>
    <w:p>
      <w:r>
        <w:t>Shared claim-specific concepts: countries, onshore, wind; EU scope visible. This is a provisional connection, not an outcome finding.</w:t>
      </w:r>
    </w:p>
    <w:p>
      <w:r>
        <w:t>Available abstract (not full text): The production of green hydrogen through electrolysis, utilizing renewable energies, is recognized as a pivotal element in the pursuit of decarbonization. In order to attain cost competitiveness for green hydrogen, reasonable generation costs are imperative. To identify cost-effective import partners for Germany, given its limited green hydrogen production capabilities, this study undertakes an exhaustive techno-economic analysis to determine the potential Levelized Cost of Hydrogen in Germany, Norway, Spain, Algeria, Morocco, and Egypt for the year 2050, which represents a critical milestone in European decarbonization efforts. Employing a stochastic approach with Monte Carlo simulations, the paper marks a significant contribution for projecting future cost ranges, acknowledging the multitude of uncertainties inherent in related cost parameters and emphasizing the importance of randomness in these assessments. Country-specific Weighted Average Cost of Capital are calculated in order to create a refined understanding of political and economic influences on cost formation, rather than using a uniform value across all investigated nations. Key findings reveal that among the evaluated nations, PV-based hydrogen emerges as the most cost-efficient alternative in all countries except Norway, with Spain presenting the lowest Levelized Cost of Hydrogen at 1.66 €/kg to 3.12 €/kg, follow</w:t>
      </w:r>
    </w:p>
    <w:p>
      <w:r>
        <w:t>POSSIBLE 2024: Autarky penalty versus system cost effects for Europe of large-scale renewable energy imports from North Africa — https://doi.org/10.1016/j.esr.2023.101289</w:t>
      </w:r>
    </w:p>
    <w:p>
      <w:r>
        <w:t>Shared claim-specific concepts: show, wind, solar, energy, system; EU scope visible. This is a provisional connection, not an outcome finding.</w:t>
      </w:r>
    </w:p>
    <w:p>
      <w:r>
        <w:t>Available abstract (not full text):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r>
        <w:t>POSSIBLE 2024: A Cost Effective Solution to an Automated Valet Parking System — https://doi.org/10.1007/s12239-024-00031-9</w:t>
      </w:r>
    </w:p>
    <w:p>
      <w:r>
        <w:t>Shared claim-specific concepts: solution, requires, system; EU scope not established. This is a provisional connection, not an outcome finding.</w:t>
      </w:r>
    </w:p>
    <w:p>
      <w:r>
        <w:t>Available abstract (not full text): Abstract Automated Valet Parking Systems (AVPS) relieve the driver of the entire parking process. Many of the systems known today rely on a combination of automotive sensors with sensors of the infrastructure. For this purpose, parking facilities are equipped with comprehensive sensor technology to support the vehicles in environment sensing and route planning. This approach is comparatively expensive which is why many parking operators don’t provide that technology to their customers. This paper proposes a lean AVPS system architecture that requires minimal effort to adapt the infrastructure. At the same time, state-of-the-art vehicle technology is used to make AVPS more profitable overall. At the beginning, an overview will be given describing the state of the art of AVPS. Subsequently, requirements for the AVPS will be elaborated, whereby the system can be designed and implemented in the following. Finally, the presentation of simulation results shows that one doesn’t have to extend the infrastructure with sensors to develop a safe and reliable AVPS.</w:t>
      </w:r>
    </w:p>
    <w:p>
      <w:r>
        <w:t>POSSIBLE 2023: A method for finding a least-cost corridor on an ordinal-scaled raster cost surface — https://doi.org/10.1080/19475683.2023.2166585</w:t>
      </w:r>
    </w:p>
    <w:p>
      <w:r>
        <w:t>Shared claim-specific concepts: show, least-cost, solution, areas; EU scope not established. This is a provisional connection, not an outcome finding.</w:t>
      </w:r>
    </w:p>
    <w:p>
      <w:r>
        <w:t>Available abstract (not full text): The least-cost path problem is a widely studied problems in geographic information science. In raster space, the problem is to find a path that accumulates the least amount of cost between two locations based on the assumptions that the path is a one-dimensional object (represented by a string of cells) and that the cost (per unit length) is measured on a quantitative scale. Efficient methods are available for solution of this problem when at least one of these assumptions is upheld. This is not the case when the path has a width and is a two-dimensional object called a corridor (represented by a swath of cells) and the cost (per unit area) is measured on an ordinal scale. In this paper, we propose one additional model that characterizes a least-cost corridor on an ordinal-scaled raster cost surface – or a least ordinal-scaled cost corridor for short – and show that it can be transformed into an instance of a multiobjective optimization problem known as the preferred path problem with a lexicographic preference relation and solved accordingly. The model is tested through computational experiments with artificial landscape data as well as real-world data. Results show that least ordinal-scaled cost corridors are guaranteed to contain smaller areas of higher cost than conventional least-cost corridors at the expense of more elongated and winding forms. The least ordinal-scaled co</w:t>
      </w:r>
    </w:p>
    <w:p>
      <w:r>
        <w:t>POSSIBLE 2023: Towards a European supply chain for CO2 capture, utilization, and storage by mineralization: Insights from cost-optimal design — https://doi.org/10.1016/j.jcou.2023.102496</w:t>
      </w:r>
    </w:p>
    <w:p>
      <w:r>
        <w:t>Shared claim-specific concepts: show, requires, energy, also; EU scope visible. This is a provisional connection, not an outcome finding.</w:t>
      </w:r>
    </w:p>
    <w:p>
      <w:r>
        <w:t>Available abstract (not full text):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r>
        <w:t>POSSIBLE 2023: Implications of uncertainty in technology cost projections for least-cost decarbonized electricity systems — https://doi.org/10.1016/j.isci.2023.108685</w:t>
      </w:r>
    </w:p>
    <w:p>
      <w:r>
        <w:t>Shared claim-specific concepts: least-cost, energy, system; EU scope not established. This is a provisional connection, not an outcome finding.</w:t>
      </w:r>
    </w:p>
    <w:p>
      <w:r>
        <w:t>Available abstract (not full text): Plans for decarbonized electricity systems rely on projections of highly uncertain future technology costs. We use a stylized model to investigate the influence of future cost uncertainty, as represented by different projections in the National Renewable Energy Laboratory 2021 Annual Technology Baseline dataset, on technology mixes comprising least-cost decarbonized electricity systems. Our analysis shows that given the level of future cost uncertainty as represented by these projections, it is not possible to predict with confidence which technologies will play a dominant role in future least-cost carbon emission-free energy systems. Successful efforts to reduce costs of individual technologies may or may not lead to system cost reductions and widespread deployments, depending on the success of cost-reduction efforts for competing and complementary technologies. These results suggest a portfolio approach to reducing technology costs. Reliance on uncertain cost breakthroughs risks costly outcomes. Iterative decision-making with learning can help mitigate these risks.</w:t>
      </w:r>
    </w:p>
    <w:p>
      <w:r>
        <w:t>POSSIBLE 2023: The cost of an ALP solution to the neutral B-anomalies — https://doi.org/10.1007/jhep02(2023)138</w:t>
      </w:r>
    </w:p>
    <w:p>
      <w:r>
        <w:t>Shared claim-specific concepts: solution, energy, also; EU scope not established. This is a provisional connection, not an outcome finding.</w:t>
      </w:r>
    </w:p>
    <w:p>
      <w:r>
        <w:t>Available abstract (not full text): Abstract The neutral anomalies in B decays are analysed in terms of the tree-level exchange of an axion-like-particle (ALP), within the effective field theory framework. The complete two-dimensional parameter space for ALP couplings to electrons and muons is explored. The solutions to RK and to the two energy bins of $$ {R}_{K^{\ast }} $$ R K ∗ are confronted with the impact of ALP exchange on other observables (meson oscillations, leptonic and semileptonic decays of B mesons including searches for new resonances, astrophysical constraints), as well as with the theoretical domain of validity of the effective theory. Solutions based on ALPs heavier than B mesons, or lighter than twice the muon mass, are shown to be excluded. In contrast, the exchange of on-shell ALPs provides solutions to RK and/or $$ {R}_{K^{\ast }} $$ R K ∗ within 2σ sensitivity which are technically compatible with those constraints. Furthermore, a “golden ALP mass” is identified at the frontier between the two energy bin windows of $$ {R}_{K^{\ast }} $$ R K ∗ , which could simultaneously explain these two $$ {R}_{K^{\ast }} $$ R K ∗ anomalies together with RK; this calls for the convenience of different energy binning which would easily clear up this (unlikely) possibility. The impact of smearing on data analysis is also discussed. When loop effects are taken into account, the solutions found can be in addit</w:t>
      </w:r>
    </w:p>
    <w:p>
      <w:r>
        <w:t>POSSIBLE 2023: Quantifying the effects of nature-based solutions in reducing risks from hydrometeorological hazards: Examples from Europe — https://doi.org/10.1016/j.ijdrr.2023.103771</w:t>
      </w:r>
    </w:p>
    <w:p>
      <w:r>
        <w:t>Shared claim-specific concepts: show, areas, flexible; EU scope visible. This is a provisional connection, not an outcome finding.</w:t>
      </w:r>
    </w:p>
    <w:p>
      <w:r>
        <w:t>Available abstract (not full text):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r>
        <w:t>POSSIBLE 2023: Taxing reproduction: the full transfer cost of rearing children in Europe — https://doi.org/10.1098/rsos.230759</w:t>
      </w:r>
    </w:p>
    <w:p>
      <w:r>
        <w:t>Shared claim-specific concepts: countries, also, less; EU scope visible. This is a provisional connection, not an outcome finding.</w:t>
      </w:r>
    </w:p>
    <w:p>
      <w:r>
        <w:t>Available abstract (not full text): What are the intergenerational resource transfer contributions of parents and non-parents in Europe? Using National Transfer Accounts and National Time Transfer Accounts for 12 countries around 2010, we go beyond public transfers (net taxes) to also value two statistically much less visible transfers in the family realm: of market goods and of unpaid household labour (time). Non-parents contribute almost exclusively to public transfers. But parents additionally provide still larger private transfers: mothers mainly time, fathers mainly market goods. Estimating transfer stocks over the working life, the average parental/non-parental contribution ratio in Europe flips from 0.73 (public transfers alone) to 2.66 (all three transfers combined). The highest combined parental/non-parental contribution ratios are in Sweden and Finland. The metaphorical tax rates implicitly imposed thereby on rearing children in Europe are multiples of the value-added tax rates in place on consumption goods. Unveiling the sheer magnitude of these invisible transfer asymmetries carries multiple implications for policy debates. For instance, it raises the question whether ageing European societies unwittingly tax, rather than subsidise, their own reproduction. Family friendly policy models, such as the Nordic welfare states, do not mitigate this effect. They help parents work, but do not lower the implici</w:t>
      </w:r>
    </w:p>
    <w:p>
      <w:pPr>
        <w:pStyle w:val="Heading2"/>
      </w:pPr>
      <w:r>
        <w:t>Business ecosystems and the view from the future: The use of corporate foresight by stakeholders of the Ro-Ro shipping ecosystem in the Baltic Sea Region</w:t>
      </w:r>
    </w:p>
    <w:p>
      <w:r>
        <w:t>Original source (2022): https://doi.org/10.1016/j.techfore.2022.121966</w:t>
      </w:r>
    </w:p>
    <w:p>
      <w:r>
        <w:t>Original wording (abstract; indexed_source_text_not_full_document_verified): Corporate foresight tools, as applied to an ecosystem: 1) Target a diverse set of ecosystem actors beyond the segment's focal firm, including complementary firms, investors, and non-market actors; 2) Engage ecosystem actors, rather than only the focal firm, in shared strategy development based on a diverse mix of foresight tools; and 3) serve to orient and reify the ecosystem by charting the collective anticipation of innovations, policies, etc., in a shared set of future options.</w:t>
      </w:r>
    </w:p>
    <w:p>
      <w:r>
        <w:t>POSSIBLE 2026: Corporate foresight and innovation: The mediating role of innovation culture — https://openalex.org/W7221733502</w:t>
      </w:r>
    </w:p>
    <w:p>
      <w:r>
        <w:t>Shared claim-specific concepts: corporate, foresight, complementary; EU scope visible. This is a provisional connection, not an outcome finding.</w:t>
      </w:r>
    </w:p>
    <w:p>
      <w:r>
        <w:t>Available abstract (not full text): In an era characterized by rapid and unpredictable change, corporate foresight has become increasingly important as a strategic tool to promote innovation. Nonetheless, questions persist about how effectively organizations leverage corporate foresight to enhance new product portfolio innovativeness (NPI). This doctoral investigation addresses this gap by posing the following research question: How does corporate foresight relate to NPI? Accordingly, the purpose of this study is to examine the relationship between corporate foresight and NPI and to explore the mediating role of innovation culture and the moderating effect of environmental uncertainty (EU). This empirical investigation employed a cross- sectional quantitative design. The hypotheses were evaluated through a survey of 113 companies in Colombia's food and beverage sector, and the results were analyzed using partial least squares structural equation modeling (PLS-SEM). The findings indicate a significant association between corporate foresight and NPI, with innovation culture serving as a complementary mediator. Moreover, corporate foresight is positively associated with innovation culture. However, no evidence was found for the moderating effect of EU. This doctoral research contributes to the body of knowledge on business management by addressing a gap in the literature on the mechanisms that link corporate foresig</w:t>
      </w:r>
    </w:p>
    <w:p>
      <w:r>
        <w:t>POSSIBLE 2026: Anticipating tomorrow: The role of corporate foresight and prospective sensemaking in managing digital changes by established organizations — https://doi.org/10.1111/emre.70054</w:t>
      </w:r>
    </w:p>
    <w:p>
      <w:r>
        <w:t>Shared claim-specific concepts: corporate, foresight, tools; EU scope visible. This is a provisional connection, not an outcome finding.</w:t>
      </w:r>
    </w:p>
    <w:p>
      <w:r>
        <w:t>Available abstract (not full text): Abstract In the digital era, established organizations face significant challenges in adapting to unfolding changes. This study explores the reciprocal relationship between prospective sensemaking and corporate foresight within a large European bank engaged in digital transformation through its corporate accelerator program. By employing a qualitative single‐case study design, this research explores how an established organization interprets and responds to digital changes, fostering innovation, and strategic flexibility. Data were collected through 38 semi‐structured interviews with top and middle managers from the bank, its corporate accelerators, and the startups they support. Our findings reveal that environmental scanning, making sense of the future, and reflexive influencing support the development of corporate foresight capabilities, which in turn facilitate organizational adaptation to digital changes. The study also highlights the crucial role of corporate accelerators as strategic tools in navigating the complexities of digital transformation, emphasizing the importance of an innovative culture for maintaining competitiveness.</w:t>
      </w:r>
    </w:p>
    <w:p>
      <w:r>
        <w:t>POSSIBLE 2026: Foresight: the general course. Foresight technology as a tool for innovative development — https://doi.org/10.12737/2223654</w:t>
      </w:r>
    </w:p>
    <w:p>
      <w:r>
        <w:t>Shared claim-specific concepts: corporate, foresight, applied, including; EU scope not established. This is a provisional connection, not an outcome finding.</w:t>
      </w:r>
    </w:p>
    <w:p>
      <w:r>
        <w:t>Available abstract (not full text): The basics of foresight are considered as a specific form of forecasting the most important areas of research in which technologies that are significant for society may appear. Foresight is also presented as a socio-humanitarian technology for creating an image of the future in a particular field. The role of foresight in innovative development and strategic planning is revealed. The foresight methodology is presented. The foresight project management is considered, the main stages of its implementation are presented. The features of different types of foresight, including regional and corporate ones, are revealed. The possibility of conducting an individual foresight is substantiated, and the technology for conducting it has been developed. The content of the textbook corresponds to the federal state educational standards of higher education of the latest generation. It is intended for Master's degree students studying in the fields of Economics, Management and Applied Informatics, and for anyone interested in modern management.</w:t>
      </w:r>
    </w:p>
    <w:p>
      <w:r>
        <w:t>POSSIBLE 2026: Double AI Simulations Supported by Synthetic Data in Smart Tourism Innovation for Corporate Foresight — https://doi.org/10.4324/9781003661368-11</w:t>
      </w:r>
    </w:p>
    <w:p>
      <w:r>
        <w:t>Shared claim-specific concepts: corporate, foresight, applied, only; EU scope not established. This is a provisional connection, not an outcome finding.</w:t>
      </w:r>
    </w:p>
    <w:p>
      <w:r>
        <w:t>Available abstract (not full text): This chapter aims to demonstrate how AI-on-AI systems enhanced with synthetic data can support companies operating in the tourism sector in simultaneously developing their innovation capabilities, corporate foresight, and risk management. The chapter presents the concept of EWS and the role of AI-on-AI solutions, in which two AI models collaborate: one focuses on forecasting and early risk detection, while the other is utilised for strategic simulations and decision support. The application of AI functions as a tool for proactive decision-making and resilience through strategic simulations and EWS. Three case studies empirically confirm the effectiveness of the concept. AI can only reach its full potential when it is applied in a strategically integrated, ethical, human-centred, and transparent way. The chapter also addresses the usability of synthetic data as a tool for both data protection and innovation. The approach presented may contribute to a sustainable, resilient, and competitive vision for the future of tourism, while strengthening the role of local communities and businesses in the digital transition. The conclusions highlight the importance of responsible AI use for sustainable and inclusive development. The chapter concludes with recommendations for future research directions and a summary of the chapter’s key messages.</w:t>
      </w:r>
    </w:p>
    <w:p>
      <w:r>
        <w:t>POSSIBLE 2026: Evaluating the Role of Strategic Foresight in Enhancing Corporate Governance: An Analytical Study at the Baghdad Provincial Council — https://doi.org/10.59992/ijfaes.2026.v5n4p4</w:t>
      </w:r>
    </w:p>
    <w:p>
      <w:r>
        <w:t>Shared claim-specific concepts: corporate, foresight, including; EU scope not established. This is a provisional connection, not an outcome finding.</w:t>
      </w:r>
    </w:p>
    <w:p>
      <w:r>
        <w:t>Available abstract (not full text): This study aims to examine the relationship of correlation and impact between strategic foresight as an independent (explanatory) variable and corporate governance as a dependent (responsive) variable, through their respective dimensions. The dimensions of strategic foresight include environmental scanning, strategic choice, and integration capability, while the dimensions of corporate governance comprise the effective governance framework, board of directors’ responsibilities, the role of stakeholders in organizational governance, as well as disclosure and transparency. The study was conducted at the Baghdad Provincial Council. The study population included all departments and committees within the Council. A purposive sample was selected, consisting of administrative leaders, including directors, heads of departments, officials of divisions and units, and heads of permanent committees (such as the Health Committee, Electricity Committee, Services Committee, etc.). The researcher adopted a descriptive-analytical approach. A questionnaire was used as the primary data collection tool, consisting of (42) items distributed across the study variables. The number of valid responses analyzed reached (77) out of (85) distributed questionnaires, in addition to diagnosing the actual situation of the organization under study. The study was guided by the following central question: To wha</w:t>
      </w:r>
    </w:p>
    <w:p>
      <w:r>
        <w:t>POSSIBLE 2025: Corporate foresight and intellectual capital robustness: a literature review — https://doi.org/10.24023/futurejournal/2175-5825/2025.v17i1.932</w:t>
      </w:r>
    </w:p>
    <w:p>
      <w:r>
        <w:t>Shared claim-specific concepts: corporate, foresight, tools; EU scope not established. This is a provisional connection, not an outcome finding.</w:t>
      </w:r>
    </w:p>
    <w:p>
      <w:r>
        <w:t>Available abstract (not full text): Purpose: This study aims to identify the evolution of the field of corporate foresight over the last decade and its association with the theme of intellectual capital to capture factors that aid organizations succeed in the long term. Originality/value: When it refers to foresight and resource-based management, the effect of dynamic capabilities on intangible assets has already been discussed, but there has been no direct mention of futures studies and intellectual capital. Method: A systematic literature review was performed to investigate works published on the Web of Science database between January 2015 and June 2024. Results: The relationship with intellectual capital was predominant in structural capital factors of product and process innovations, advanced technologies and management tools. Besides that, anticipatory studies about human and relational capital factors seemed to be relevant for decision-making in future. Conclusions: This study demonstrated that through corporate foresight analysis it was possible to identify the changes needed to improve key intellectual capital factors that can be responsible for differentiating products and services in the market in terms of innovation and competitive advantage.</w:t>
      </w:r>
    </w:p>
    <w:p>
      <w:r>
        <w:t>POSSIBLE 2025: Corporate Foresight in a Global Enterprise - A Case Study Approach — https://openalex.org/W7216959097</w:t>
      </w:r>
    </w:p>
    <w:p>
      <w:r>
        <w:t>Shared claim-specific concepts: corporate, foresight, including, shared, strategy, based; EU scope not established. This is a provisional connection, not an outcome finding.</w:t>
      </w:r>
    </w:p>
    <w:p>
      <w:r>
        <w:t xml:space="preserve">Available abstract (not full text): The global business environment is becoming increasingly complex and unpredictable due to rapid technological change, shifting consumer expectations, environmental challenges, and geopolitical instability. As a result, the need for long-term thinking has become more urgent than ever. To navigate this, corporate foresight has emerged as a strategic tool that enables organizations to identify, interpret, and act on signals of future change. This thesis investigates the role of corporate foresight in shaping strategic decision-making within a large, global enterprise. Specifically, the study explores how foresight activities are conducted and connected to strategy in a multinational company operating in the automotive sector. The study follows a qualitative single case study approach based on semi-structured interviews with employees engaged in foresight and strategy within the organization. The empirical findings show that corporate foresight is conducted centrally within the case organization on an annual basis, guided by a partially structured process. While insights are shared across the organization, the process ends at the point of presentation and foresight is not linked to strategy in any formal way. This disconnect is explained by structural and cultural factors, including the absence of formalized frameworks, a lack of tailored insights for specific business units, weak </w:t>
      </w:r>
    </w:p>
    <w:p>
      <w:r>
        <w:t>POSSIBLE 2025: FORESIGHT AS A STRATEGIC MANAGEMENT TOOL: INTERNATIONAL EXPERIENCE AND RUSSIAN PROSPECTS — https://doi.org/10.36871/ek.up.p.r.2025.11.05.027</w:t>
      </w:r>
    </w:p>
    <w:p>
      <w:r>
        <w:t>Shared claim-specific concepts: corporate, foresight, strategy; EU scope visible. This is a provisional connection, not an outcome finding.</w:t>
      </w:r>
    </w:p>
    <w:p>
      <w:r>
        <w:t>Available abstract (not full text): This article provides a comprehensive analysis of international foresight initiatives as a tool for strategic planning and management in the face of increasing global uncertainty. Using examples from five developed economies–the United Kingdom, Finland, South Korea, Japan, and Australia–it examines various national models of foresight organization, methodological approaches, mechanisms for engaging multiple stakeholders, and the specifics of implementing foresight research results into public policy and corporate strategy. The paper synthesizes best practices and lessons that can be adapted to Russian conditions to develop strategic thinking, improve the quality of innovation policy, and ensure sustainable socioeconomic development. Specific recommendations are offered for the implementation of foresight at the federal, regional, and municipal levels of government, as well as in the corporate sector, taking into account the institutional and cultural characteristics of the Russian Federation.</w:t>
      </w:r>
    </w:p>
    <w:p>
      <w:r>
        <w:t>POSSIBLE 2025: Intellectual Structure of the Research on Corporate Foresight and Innovation: Thinking inside the Box — https://doi.org/10.15388/tibe.2025.24.2.17</w:t>
      </w:r>
    </w:p>
    <w:p>
      <w:r>
        <w:t>Shared claim-specific concepts: corporate, foresight, applied, based; EU scope not established. This is a provisional connection, not an outcome finding.</w:t>
      </w:r>
    </w:p>
    <w:p>
      <w:r>
        <w:t>Available abstract (not full text): The aim of this study is to identify the scholarly works that have had the greatest impact on the research on corporate foresight (CF) and innovation and to analyze the intellectual structure of the knowledge base of the research developed in this field. The methodology is based on the bibliometric techniques of citation and co-citation analysis, which are applied to a total of 129 articles published between 2006 and 2023* (database consultation date: January 3, 2024). Clarivate Analytics' Web of Science™ (WoS) database is used in this study. We chose bibliometric analysis over other traditional methods like systematic literature review (SLR) as bibliometric techniques are replicable, objective, unbiased, and rigorous, and thus superior to other techniques for conducting literature reviews.</w:t>
      </w:r>
    </w:p>
    <w:p>
      <w:r>
        <w:t>POSSIBLE 2025: Foresight Evaluation Frameworks — https://doi.org/10.5281/zenodo.17686267</w:t>
      </w:r>
    </w:p>
    <w:p>
      <w:r>
        <w:t>Shared claim-specific concepts: corporate, foresight, tools; EU scope not established. This is a provisional connection, not an outcome finding.</w:t>
      </w:r>
    </w:p>
    <w:p>
      <w:r>
        <w:t>Available abstract (not full text): Foresight Evaluation Frameworks is a systemic, practice-oriented book focused on the evaluation and assessment of foresight outputs. It presents an individual effort to enhance futures work, transitioning from intuitive and speculative approaches to rigorous, evidence-based, and professionally produced outputs. The book provides concrete tools, frameworks, scales, and criteria for assessing the quality, trustworthiness, and impact of foresight work, whether manifested as scenarios, trend reports, academic dissertations, corporate foresight reports, or public-policy horizon scans. At its core, the book addresses a key question: “Given the uncertain nature of the future, how can we determine when a piece of foresight is not just imaginative or eloquent, but truly trustworthy, methodologically sound, and capable of generating real-world impact?”</w:t>
      </w:r>
    </w:p>
    <w:p>
      <w:r>
        <w:t>POSSIBLE 2024: The use of foresight in corporate innovation — https://doi.org/10.4337/9781035301607.00040</w:t>
      </w:r>
    </w:p>
    <w:p>
      <w:r>
        <w:t>Shared claim-specific concepts: corporate, foresight, tools, applied, including, firms; EU scope not established. This is a provisional connection, not an outcome finding.</w:t>
      </w:r>
    </w:p>
    <w:p>
      <w:r>
        <w:t>Available abstract (not full text): Foresight methods have proven useful for improving innovation processes and outcomes in corporations. Strategic foresight tools including scenarios, backcasting, and design ethnography help firms create empathy with future customers, manage innovation portfolios, and enable innovations to reach the market. This chapter reviews how foresight addresses common innovation challenges. Scenario planning builds understanding of future contexts where innovations must succeed. Incasting projects user personas into these futures to uncover latent needs. Backcasting then sets external milestones for the innovation’s market readiness. These techniques create headroom for long development times and indicate when to persist or pivot investment based on changing conditions. Foresight also builds urgency for change and pathways for innovation to reach customers. While historically used in strategic planning, foresight is now applied earlier in ideation and portfolio management to maximize innovation success. This chapter shares examples demonstrating how firms obtain competitive advantage by anticipating change with foresight. It provides an overview of foresight applications in corporate innovation and highlights benefits documented through recent scholarly research.</w:t>
      </w:r>
    </w:p>
    <w:p>
      <w:r>
        <w:t>POSSIBLE 2024: Corporate foresight for the benefit of corporates' innovation climate — https://doi.org/10.1002/ffo2.195</w:t>
      </w:r>
    </w:p>
    <w:p>
      <w:r>
        <w:t>Shared claim-specific concepts: corporate, foresight, only; EU scope not established. This is a provisional connection, not an outcome finding.</w:t>
      </w:r>
    </w:p>
    <w:p>
      <w:r>
        <w:t>Available abstract (not full text): Abstract Corporate foresight (CF) can be considered a future‐oriented capability that incorporates perceiving and prospecting. Extant CF‐related studies tackle the CF−innovation relationship but do not provide details on how CF relates to innovation climate. As we assume that the innovation climate of companies is a relevant antecedent to innovation, we conduct a quantitative empirical study with 147 upper‐tier managers to investigate how CF and the respective training of managers relate to a corporate's innovation climate. Results show that strong perceiving and prospecting positively influence the innovation climate, whereby prospecting is of particular importance. Further, we find that training managers in future‐oriented capabilities is only under certain circumstances (i.e., low prospecting) beneficial to the innovation climate in companies.</w:t>
      </w:r>
    </w:p>
    <w:p>
      <w:pPr>
        <w:pStyle w:val="Heading2"/>
      </w:pPr>
      <w:r>
        <w:t>Carbon intensity of the Ukrainian industry: current state and foresight</w:t>
      </w:r>
    </w:p>
    <w:p>
      <w:r>
        <w:t>Original source (2022): https://doi.org/10.15407/econindustry2022.01.061</w:t>
      </w:r>
    </w:p>
    <w:p>
      <w:r>
        <w:t>Original wording (abstract; indexed_source_text_not_full_document_verified): According to the basic scenario of the decarbonization of the Ukrainian industry (preservation of current trends and phenomena), an exhaustion of the national quota for greenhouse gas emissions by 2040, further deindustrialization of the economy, an increase in technological gaps with the developed countries of the world and an aggravate in the competitive vulnerability of national exporters are expected. The optimistic scenario assumes successful decarbonization and digitalization of the technological structure of the industrial complex.</w:t>
      </w:r>
    </w:p>
    <w:p>
      <w:r>
        <w:t>POSSIBLE 2025: Design-for-decarbonization: a framework for decarbonizing cyber-physical production systems at the design stage — https://doi.org/10.1017/pds.2025.10143</w:t>
      </w:r>
    </w:p>
    <w:p>
      <w:r>
        <w:t>Shared claim-specific concepts: decarbonization, emissions, developed; EU scope not established. This is a provisional connection, not an outcome finding.</w:t>
      </w:r>
    </w:p>
    <w:p>
      <w:r>
        <w:t>Available abstract (not full text): ABSTRACT: Cyber-physical production systems (CPPS) are responsible for a significant portion of manufacturers’ carbon emissions. Since 80% of product-related environmental impacts are determined at the design stage, there is a need for CPPS manufacturers to focus on decarbonization at the design stage. To date, there is a lack of design-for-decarbonization guidance for CPPS. This paper proposes a procedural framework for the effective selection of decarbonization measures for the design of CPPS. A Decarbonization Wheel is developed to establish a product-specific decarbonization strategy. This tool is linked to a catalogue of decarbonization measures. A measure prioritization logic provides a structure for systematizing selected measures. The framework is validated in the case of an intelligent industrial control valve.</w:t>
      </w:r>
    </w:p>
    <w:p>
      <w:r>
        <w:t>POSSIBLE 2025: Towards the Necessary Decarbonization of Historic Buildings: A Review — https://doi.org/10.3390/en18030502</w:t>
      </w:r>
    </w:p>
    <w:p>
      <w:r>
        <w:t>Shared claim-specific concepts: according, decarbonization, preservation; EU scope not established. This is a provisional connection, not an outcome finding.</w:t>
      </w:r>
    </w:p>
    <w:p>
      <w:r>
        <w:t>Available abstract (not full text): The critical and urgent issue of decarbonization by 2050 needs to include the existing historical built environment in the process of energy requalification. These buildings, subjected to heritage preservation, are extremely inadequate to the modern standards of energy efficiency and thermal comfort, and they exhibit the poorest energy performance. In this study, a review of the existing scientific literature on the matter of energy renovation processes applied to historic buildings is provided. The reviewed papers, selected from scientific databases, were initially categorized according to their reference scale—either individual buildings or urban contexts. Subsequently, the papers were grouped on the basis of the main energy efficiency levels they investigated. The goal is to offer a comprehensive overview of the materials, technologies and strategies currently in use, as well as future perspectives, to aid the ecological transition and foster sustainable development, all while preserving the artistic, cultural and architectural heritage of these buildings.</w:t>
      </w:r>
    </w:p>
    <w:p>
      <w:r>
        <w:t>POSSIBLE 2025: The US dollar and decarbonization: Exploring constraints — https://doi.org/10.1017/fas.2025.10</w:t>
      </w:r>
    </w:p>
    <w:p>
      <w:r>
        <w:t>Shared claim-specific concepts: decarbonization, emissions, increase; EU scope not established. This is a provisional connection, not an outcome finding.</w:t>
      </w:r>
    </w:p>
    <w:p>
      <w:r>
        <w:t>Available abstract (not full text): Abstract This research essay explores how US dollar centrality and strength may impede decarbonization. First, I suggest that because US dollar centrality enables higher US household consumption and imports, and US household consumption is comparatively carbon-intensive, centrality can increase per capita emissions and carbon-intensive consumption in the United States. Second, I explore how US dollar strength can compromise the monetary autonomy and capacity to finance decarbonization for dollar-exposed emerging market economies. They are negatively impacted most notably in the areas of trade, external debt, and investment. Finally, US dollar strength also has the potential to limit the competitiveness of US green manufacturing and exports. US currency overvaluation means that green technologies produced in the United States can be comparatively expensive in global markets. I conclude with a discussion of future research and policy implications.</w:t>
      </w:r>
    </w:p>
    <w:p>
      <w:r>
        <w:t>POSSIBLE 2024: Paving the way for sustainable decarbonization of the European cement industry — https://doi.org/10.1038/s41893-024-01320-y</w:t>
      </w:r>
    </w:p>
    <w:p>
      <w:r>
        <w:t>Shared claim-specific concepts: decarbonization, industry, current, emissions, technological, countries; EU scope visible. This is a provisional connection, not an outcome finding.</w:t>
      </w:r>
    </w:p>
    <w:p>
      <w:r>
        <w:t>Available abstract (not full text):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r>
        <w:t>POSSIBLE 2024: Decarbonization and the Capitalist State — https://doi.org/10.1111/soc4.70011</w:t>
      </w:r>
    </w:p>
    <w:p>
      <w:r>
        <w:t>Shared claim-specific concepts: decarbonization, further, economy; EU scope not established. This is a provisional connection, not an outcome finding.</w:t>
      </w:r>
    </w:p>
    <w:p>
      <w:r>
        <w:t>Available abstract (not full text): ABSTRACT Decarbonization is the most important challenge of our time. Though quite modest, states are taking more climate action. How should we approach these efforts? Sociologists have paid less attention to decarbonization overall but frameworks in political sociology can make sense of state power and climate politics. In this review, I first discuss two sets of literature. The first extends “state‐capacity” and institutionalist frameworks. The second is based on radical and Marxist state theories. Following this, I draw from Mann's concept of “infrastructural power” which combines elements of both and can situate state power in a transnational context. Using this concept and recent literature in political economy, I discuss three infrastructures—finance, trade, and energy—and consequential ways states have altered them in recent years. These actions reveal profound geoeconomic contradictions which will undermine decarbonization. Together, this review provides a wide survey of state theories and macroscopic climate politics with the hope of spurring further discussion and debate.</w:t>
      </w:r>
    </w:p>
    <w:p>
      <w:r>
        <w:t>POSSIBLE 2024: Decarbonization potential of floating solar photovoltaics on lakes worldwide — https://doi.org/10.1038/s44221-024-00251-4</w:t>
      </w:r>
    </w:p>
    <w:p>
      <w:r>
        <w:t>Shared claim-specific concepts: decarbonization, national, countries; EU scope not established. This is a provisional connection, not an outcome finding.</w:t>
      </w:r>
    </w:p>
    <w:p>
      <w:r>
        <w:t>Available abstract (not full text): Abstract As climate change progresses, there is increasing emphasis on net zero and energy system decarbonization. Several technologies are contributing to this agenda, but among these, the growth of solar photovoltaics has consistently exceeded all projections. With increasing land-use pressures, and the expense of building-mounted photovoltaics, water surfaces are increasingly being exploited to host these technologies. However, to date, we lack an understanding of the global potential of floating solar photovoltaics and, as such, we do not yet have sufficient insight to inform decisions on (in)appropriate areas for future deployment. Here we quantify the energy generation potential of floating solar photovoltaics on over 1 million water bodies worldwide (14,906 TWh). Our analysis suggests that with a conservative 10% surface area coverage, floating solar photovoltaics could produce sufficient energy to contribute a considerable fraction (16%, on average) of the electricity demand of some countries, thus playing an important role in decarbonizing national economies.</w:t>
      </w:r>
    </w:p>
    <w:p>
      <w:r>
        <w:t>POSSIBLE 2024: Azerbaijan: pathways for decarbonization in a global context — https://doi.org/10.1080/14693062.2024.2330378</w:t>
      </w:r>
    </w:p>
    <w:p>
      <w:r>
        <w:t>Shared claim-specific concepts: decarbonization, emissions, economy, increase, countries, world; EU scope not established. This is a provisional connection, not an outcome finding.</w:t>
      </w:r>
    </w:p>
    <w:p>
      <w:r>
        <w:t>Available abstract (not full text): As economies around the world are increasing their mitigation ambitions, Azerbaijan’s lingering dependency on fossil fuel exports threatens its medium – and long-term economic development prospects. Global decarbonization is expected to directly impact the country’s resource rents through lower fossil fuel demand and prices. In this regard, it is crucial to understand the potential implications of the global mitigation efforts on the economy of Azerbaijan and evaluate the domestic mitigation policies. To address this gap in the literature, we use a global dynamic computable general equilibrium model and explore a set of forward-looking climate policy scenarios till 2060. Our results suggest that while being adversely impacted by decarbonization efforts in countries around the world, it is in Azerbaijan’s self-interest to implement domestic mitigation policies. With proper sequencing and design of such policies, including a combination of fossil-fuel subsidies reform, the introduction of carbon prices post-2030 and recycling of the additionally collected revenue via reduced factor taxes, the country could achieve NDC targets, boost economic growth and increase economic diversification. More ambitious mitigation efforts, consistent with reaching net-zero emissions by 2060 would result in substantial health co-benefits from improved air quality, which could almost fully outweigh t</w:t>
      </w:r>
    </w:p>
    <w:p>
      <w:r>
        <w:t>POSSIBLE 2023: Methane-to-chemicals: a pathway to decarbonization — https://doi.org/10.1093/nsr/nwad116</w:t>
      </w:r>
    </w:p>
    <w:p>
      <w:r>
        <w:t>Shared claim-specific concepts: decarbonization, industry, current; EU scope not established. This is a provisional connection, not an outcome finding.</w:t>
      </w:r>
    </w:p>
    <w:p>
      <w:r>
        <w:t>Available abstract (not full text): ABSTRACT The utilization of methane for chemical production, often considered as the future of petrochemistry, historically could not compete economically with conventional processes due to higher investment costs. Achieving sustainability and decarbonization of the downstream industry by integration with a methane-to-chemicals process may provide an opportunity to unlock the future for these technologies. Gas-to-chemicals is an efficient tool to boost the decarbonization potential of renewable energy. While the current implementation of carbon capture utilization and storage (CCUS) technologies is of great importance for industrial decarbonization, a shift to greener CO2-free processes and CO2 utilization from external sources for manufacturing valuable goods is highly preferred. This review outlines potential options for how a methane-to-chemicals process could support decarbonization of the downstream industry.</w:t>
      </w:r>
    </w:p>
    <w:p>
      <w:r>
        <w:t>POSSIBLE 2023: A review on the decarbonization of high-performance computing centers — https://doi.org/10.1016/j.rser.2023.114019</w:t>
      </w:r>
    </w:p>
    <w:p>
      <w:r>
        <w:t>Shared claim-specific concepts: decarbonization, emissions, increase; EU scope not established. This is a provisional connection, not an outcome finding.</w:t>
      </w:r>
    </w:p>
    <w:p>
      <w:r>
        <w:t>Available abstract (not full text): High-performance computing relies on performance-oriented infrastructures with access to powerful computing resources to complete tasks that contribute to solve complex problems in society. The intensive use of resources and the increase in service demand due to emerging fields of science, combined with the exascale paradigm, climate change concerns, and rising energy costs, ultimately means that the decarbonization of these centers is key to improve their environmental and financial performance. Therefore, a review on the main opportunities and challenges for the decarbonization of high-performance computing centers is essential to help decision-makers, operators and users contribute to a more sustainable computing ecosystem. It was found that state-of-the-art supercomputers are growing in computing power, but are combining different measures to meet sustainability concerns, namely going beyond energy efficiency measures and evolving simultaneously in terms of energy and information technology infrastructure. It was also shown that policy and multiple entities are now targeting specifically HPC, and that identifying synergies with the energy sector can reveal new revenue streams, but also enable a smoother integration of these centers in energy systems. Computing-intensive users can continue to pursue their scientific research, but participating more actively in the decarboniz</w:t>
      </w:r>
    </w:p>
    <w:p>
      <w:r>
        <w:t>POSSIBLE 2023: Hydrogen in Decarbonization Strategies in Asia and the Pacific — https://doi.org/10.56506/jput8568</w:t>
      </w:r>
    </w:p>
    <w:p>
      <w:r>
        <w:t>Shared claim-specific concepts: decarbonization, national, further, countries; EU scope not established. This is a provisional connection, not an outcome finding.</w:t>
      </w:r>
    </w:p>
    <w:p>
      <w:r>
        <w:t>Available abstract (not full text): Hydrogen is regarded as one of the limited options for decarbonizing the hard-to-abate industrial sector. This work investigates the status and potential of green and blue hydrogen in some major industrial sectors, including oil refining, chemical production, iron and steel production, and high-temperature heat applications. The focus is put on the Asia and the Pacific (APAC) region, which accounts for half of the global industrial hydrogen demand. The status of the hydrogen market, the deployment actions of low-carbon hydrogen in industrial sectors in terms of national strategies, demonstration projects, and the regional hydrogen market of the APAC countries are summarized and analyzed. Perspectives are provided in support of accelerating the further decarbonization of the industrial sector in the APAC region with low-carbon hydrogen. Despite variations across countries in APAC in terms of low-carbon hydrogen production and application potentials due to different resource endowments, energy structures, and industrial structures, the region enjoys high potential overall, and in the ability for cross-border hydrogen trading in particular.</w:t>
      </w:r>
    </w:p>
    <w:p>
      <w:r>
        <w:t>POSSIBLE 2023: Global Transportation Decarbonization — https://doi.org/10.1257/jep.37.3.163</w:t>
      </w:r>
    </w:p>
    <w:p>
      <w:r>
        <w:t>Shared claim-specific concepts: decarbonization, emissions, countries, world; EU scope visible. This is a provisional connection, not an outcome finding.</w:t>
      </w:r>
    </w:p>
    <w:p>
      <w:r>
        <w:t>Available abstract (not full text): Replacing fossil fuels in the name of decarbonization is necessary but will be particularly difficult due to their as-yet unrivaled bundle of attributes: abundance, ubiquity, energy density, transportability and cost. There is a growing commitment to electrification as the dominant decarbonization pathway. While deep electrification is promising for road transportation in wealthy countries, it will face steep obstacles. In other sectors and in the developing world, it’s not even in pole position. Global transportation decarbonization will require decoupling emissions from economic growth, and decoupling emissions from growth will require not only new technologies, but cooperation in governance. The menu of policy options is replete with grim tradeoffs, particularly as the primacy of energy security and reliability (over emissions abatement) has once again been demonstrated in Europe and elsewhere.</w:t>
      </w:r>
    </w:p>
    <w:p>
      <w:pPr>
        <w:pStyle w:val="Heading2"/>
      </w:pPr>
      <w:r>
        <w:t>Carrying out a multi-model integrated assessment of European energy transition pathways: Challenges and benefits</w:t>
      </w:r>
    </w:p>
    <w:p>
      <w:r>
        <w:t>Original source (2022): https://doi.org/10.1016/j.energy.2022.124329</w:t>
      </w:r>
    </w:p>
    <w:p>
      <w:r>
        <w:t>Original wording (abstract; indexed_source_text_not_full_document_verified): Without the insights gained from an impact assessment framework reaching beyond the techno-economic perspective, the pursuit of direct emission reductions may lead to counterproductive outcomes in the long run. We find the highest added value of the framework in additional insights it provides on the technical feasibility of decarbonisation pathways, on vulnerability aspects and on unintended environmental and health impacts on national and sub-national scale.</w:t>
      </w:r>
    </w:p>
    <w:p>
      <w:r>
        <w:t>POSSIBLE 2026: Federated learning in Healthcare across Europe: Challenges and Insights from the BETTER Project — https://openalex.org/W7204062183</w:t>
      </w:r>
    </w:p>
    <w:p>
      <w:r>
        <w:t>Shared claim-specific concepts: without, insights, gained, perspective, technical; EU scope visible. This is a provisional connection, not an outcome finding.</w:t>
      </w:r>
    </w:p>
    <w:p>
      <w:r>
        <w:t>Available abstract (not full text): Healthcare advances through machine learning for personalized patient treatments require access to large-scale, diverse, and high-quality patient datasets. However, strict privacy regulations on such sensitive data cause data fragmentation across institutions, limiting its potential for broader clinical insights. Platforms such as the “Platform for Analytics and Distributed Machine Learning for Enterprises”(PADME) address this challenge by enabling federated learning on sensitive patient data. In PADME, patient data remains at its source, while only derived outputs, such as model parameters, are shared. Within the EU Horizon project “BETTER”, PADME facilitates three real-world clinical use cases for privacy-preserving federated learning without requiring patient data exchange across participating institutions. For the federated learning real-world use cases in BETTER, we structured the implementation along three layers: (1) a data layer for integration and harmonization of pseudonymized patient data via an extract-transform-load (ETL) pipeline, developed according to FAIR principles, mapping heterogeneous clinical, genomic, and laboratory data into a shared, standardized representation; (2) an infrastructure layer enabling the privacy-preserving federated learning orchestration through PADME; and (3) an algorithm layer supporting use-case-specific data pre-processing, model tra</w:t>
      </w:r>
    </w:p>
    <w:p>
      <w:r>
        <w:t>POSSIBLE 2025: Can democratic innovations tackle social-ecological challenges? Gaining insights on transformative governance across European cases — https://doi.org/10.1007/s42532-025-00225-0</w:t>
      </w:r>
    </w:p>
    <w:p>
      <w:r>
        <w:t>Shared claim-specific concepts: insights, framework, pursuit; EU scope visible. This is a provisional connection, not an outcome finding.</w:t>
      </w:r>
    </w:p>
    <w:p>
      <w:r>
        <w:t>Available abstract (not full text): Abstract In an era of democratic backsliding, the pursuit of sustainable development that addresses social-ecological challenges can become a daunting task. Participatory and deliberative practices have flourished over the last few decades, addressing, to varying extents, policy domains that can be understood within the framework of social-ecological governance and related challenges. By understanding these practices through the concept of democratic innovations (DIs), we critically examine the historical connections between practices implemented across Europe with a focus on social-ecological challenges. This work reveals the emerging potential for democratising policy and decision-making, particularly in the areas of climate action and social justice. Despite the potential of DIs for citizen engagement with social-ecological challenges, the evidence gathered so far indicates that the reproduction of social exclusion within DIs is a significant issue, reflecting barriers rooted in socio-economic cleavages and the myopia of political elites regarding long-term transformations. The capture and co-optation of DIs by powerful groups often reduces their potential to mere performative exercises that contribute little to creating inclusive settings. Therefore, while acknowledging the significant potential of DIs for social-ecological governance, we argue for the need to investigate t</w:t>
      </w:r>
    </w:p>
    <w:p>
      <w:r>
        <w:t>POSSIBLE 2024: Cross-Continental insights: Comparing food safety management systems in Europe and Latin America — https://doi.org/10.1016/j.foodcont.2024.110552</w:t>
      </w:r>
    </w:p>
    <w:p>
      <w:r>
        <w:t>Shared claim-specific concepts: insights, gained, perspective; EU scope visible. This is a provisional connection, not an outcome finding.</w:t>
      </w:r>
    </w:p>
    <w:p>
      <w:r>
        <w:t>Available abstract (not full text): This study investigates the implementation of Food Safety Management Systems (FSMSs) in agrofood firms across different regional contexts, focusing on the varying motivations behind their adoption in Europe and Latin America. The research aims to understand how these motivations influence the effectiveness of FSMSs in these distinct business environments. A questionnaire was administered to firms certified to the British Retail Consortium Global Standard for Food Safety (BRC-GS) in Spain and various Latin American countries. The data collected were analyzed using multigroup structural equations modeling to examine the relationships between the firms' motivations and the degree of effective FSMS implementation in these regions. The findings highlight that the institutional environment significantly moderates these relationships. In the European context, ethical considerations play a crucial role in driving effective FSMS implementation. Conversely, in Latin America, commercial motivations are a more significant influence, with legitimacy reasons having a negative impact. This study is pioneering in its comparative analysis of FSMS implementation in European and Latin American agrofood firms. The insights gained contribute to understanding the behavioral dynamics of these firms within different economic and regulatory frameworks and offer a broader perspective on the evolution of</w:t>
      </w:r>
    </w:p>
    <w:p>
      <w:r>
        <w:t>POSSIBLE 2024: Forest certification and economic insights: a European perspective — https://doi.org/10.3389/ffgc.2024.1464837</w:t>
      </w:r>
    </w:p>
    <w:p>
      <w:r>
        <w:t>Shared claim-specific concepts: insights, perspective, highest, added, provides; EU scope visible. This is a provisional connection, not an outcome finding.</w:t>
      </w:r>
    </w:p>
    <w:p>
      <w:r>
        <w:t>Available abstract (not full text): In recent years, there has been an increasing demand for forest certification and certified forest products in Europe. This trend is related to major worldwide challenges, such as the need to decarbonize the economy and mitigate climate change but also social and consumer demands for wider fair trade. However, whether forest certification influences economic valorization in forestry remains a question. The aim of this study is to analyze forest certification levels across Europe and identify potential relationships between the level of certification in forest areas and relevant economic indicators at country level. This study collected openly available data on total and certified forest areas, economic indicators, and environmental indicators for 28 European countries and explored the correlation between certified forest areas and economic performance in the forestry sector. Findings show that forest certification can significantly improve the economic performance of European forests. It has a more pronounced positive effect on economic incomes than on costs’ reduction. While certification costs do rise with the extent of forest area, they tend to stabilize at larger scales, suggesting that the certification process is economically sustainable and scale is relevant. Czechia and the Netherlands stand out for having the highest net values added related to forest certification, re</w:t>
      </w:r>
    </w:p>
    <w:p>
      <w:r>
        <w:t>POSSIBLE 2023: Towards a European supply chain for CO2 capture, utilization, and storage by mineralization: Insights from cost-optimal design — https://doi.org/10.1016/j.jcou.2023.102496</w:t>
      </w:r>
    </w:p>
    <w:p>
      <w:r>
        <w:t>Shared claim-specific concepts: insights; EU scope visible. This is a provisional connection, not an outcome finding.</w:t>
      </w:r>
    </w:p>
    <w:p>
      <w:r>
        <w:t>Available abstract (not full text): Carbon dioxide (CO2) capture, utilization, and storage (CCUS) by mineralization has been shown to reduce greenhouse gas (GHG) emissions not only in stand-alone plants but also in large-scale climate-optimal supply chains. Yet, implementing the large-scale supply chain for CCUS by mineralization requires a substantial financial investment and, thus, a deep understanding of its economics. The current literature estimates the economics of CO2 mineralization for stand-alone plants. While CO2 mineralization plants have their specific a) CO2 supply, b) solid feedstock supply, c) energy supply, and d) product market, the plant-level cost estimation does not account for a large and potentially shared supply chain. In our study, we assess the economics of mineralization by designing and analyzing cost-optimal supply chains for CCUS by mineralization in Europe. Our results show that the CO2e abatement costs of individual mineralization plants in a supply chain range from 110 to 312 €/ton CO2e avoided. The proposed supply chains for CCUS by mineralization can avoid 60 Mt CO2e/year in Europe at CO2e abatement costs comparable to CO2 capture and geological storage. Furthermore, we identify five locations that could offer a robust business case for CO2 mineralization. The analysis thus shows pathways on how to add CO2 mineralization to the GHG mitigation portfolio of Europe.</w:t>
      </w:r>
    </w:p>
    <w:p>
      <w:r>
        <w:t>POSSIBLE 2023: Conduction system pacing, a European survey: insights from clinical practice — https://doi.org/10.1093/europace/euad019</w:t>
      </w:r>
    </w:p>
    <w:p>
      <w:r>
        <w:t>Shared claim-specific concepts: insights, assessment, lead, highest, provides; EU scope visible. This is a provisional connection, not an outcome finding.</w:t>
      </w:r>
    </w:p>
    <w:p>
      <w:r>
        <w:t>Available abstract (not full text): AIMS: The field of conduction system pacing (CSP) is evolving, and our aim was to obtain a contemporary picture of European CSP practice. METHODS AND RESULTS: A survey was devised by a European CSP Expert Group and sent electronically to cardiologists utilizing CSP. A total of 284 physicians were invited to contribute of which 171 physicians (60.2%; 85% electrophysiologists) responded. Most (77%) had experience with both His-bundle pacing (HBP) and left bundle branch area pacing (LBBAP). Pacing indications ranked highest for CSP were atrioventricular block (irrespective of left ventricular ejection fraction) and when coronary sinus lead implantation failed. For patients with left bundle branch block (LBBB) and heart failure (HF), conventional biventricular pacing remained first-line treatment. For most indications, operators preferred LBBAP over HBP as a first-line approach. When HBP was attempted as an initial approach, reasons reported for transitioning to utilizing LBBAP were: (i) high threshold (reported as &gt;2 V at 1 ms), (ii) failure to reverse bundle branch block, or (iii) &gt; 30 min attempting to implant at His-bundle sites. Backup right ventricular lead use for HBP was low (median 20%) and predominated in pace-and-ablate scenarios. Twelve-lead electrocardiogram assessment was deemed highly important during follow-up. This, coupled with limitations from current capture man</w:t>
      </w:r>
    </w:p>
    <w:p>
      <w:r>
        <w:t>POSSIBLE 2023: Training religion teachers in Europe: insights from the “Rel-Edu” project and challenges for future research — https://doi.org/10.14220/9783737015837.135</w:t>
      </w:r>
    </w:p>
    <w:p>
      <w:r>
        <w:t>Shared claim-specific concepts: insights, beyond, provides; EU scope visible. This is a provisional connection, not an outcome finding.</w:t>
      </w:r>
    </w:p>
    <w:p>
      <w:r>
        <w:t>Available abstract (not full text): The education of religion teachers in Europeand the correspondinginternational transfer of knowledge is ac omplex research field.This article provides ac omparativer eligion teacher education country analysis based on the contributions to the "Religious Education at Schools in Europe" (Rel-Edu)p roject.The empirical analysis wasc onducted using grounded theory and wasfocused on the international transferofk nowledge (IKT).The comparativegrounded theory analysis identified eight development categories: 1. teacher education beyond RE at public schools; 2. historical background; 3. traininginstitutions for religious educationt eachers; 4. religion teacher training in relation to church and state; 5. effects of the Bologna process; 6. religious teacher trainingcontent; 7. further religious education teacher training; and 8. problems and challenges.It wasa lso concluded that regardless of its specific methodological limitations, the Rel-Edu project can make significant contributions to IKT.The analysis of impulse 10 led to an interesting conclusion regarding IKT and also revealed the further research needed in this area.</w:t>
      </w:r>
    </w:p>
    <w:p>
      <w:pPr>
        <w:pStyle w:val="Heading2"/>
      </w:pPr>
      <w:r>
        <w:t>Central Europe: Possible Scenarios</w:t>
      </w:r>
    </w:p>
    <w:p>
      <w:r>
        <w:t>Original source (2022): https://doi.org/10.20542/0131-2227-2022-66-11-14-20</w:t>
      </w:r>
    </w:p>
    <w:p>
      <w:r>
        <w:t>Original wording (abstract; indexed_source_text_not_full_document_verified): One of the most pressing issues of future development is meeting the needs for energy resources, which is still difficult to assess and will have a significant impact on the prospects of the region. The innovation sector is one of the weaknesses of the Central European countries, development dynamics of which indicates that the region is lagging behind and that the situation will continue in the future, which also determines its future development.</w:t>
      </w:r>
    </w:p>
    <w:p>
      <w:r>
        <w:t>POSSIBLE 2026: SPES Explorer European Pressing Issues Dashboard — https://doi.org/10.5281/zenodo.18479791</w:t>
      </w:r>
    </w:p>
    <w:p>
      <w:r>
        <w:t>Shared claim-specific concepts: pressing, issues, innovation, countries; EU scope visible. This is a provisional connection, not an outcome finding.</w:t>
      </w:r>
    </w:p>
    <w:p>
      <w:r>
        <w:t>Available abstract (not full text): The SPES Explorer - European Pressing Issues Dashboard is a web-based, interactive application that visualizes how citizens across European countries historically perceived their most pressing national problems over time. It offers country-level maps and time-series charts, with optional breakdowns by age and gender. Users can explore, compare, and download harmonized indicators derived from Eurobarometer surveys. The current release candidate can be reached via https://spes-test.shinyapps.io/spes-release/ and will be incorporated into the SPES website before end of project. The dashboard’s core innovation is that it is based on harmonized Eurobarometer time surveys. Multiple survey waves are cleaned, recoded, and harmonized into consistent indicators so that changes in public concern can be tracked comparably across countries and years. This enables robust temporal analysis (e.g., rising concern about prices, immigration, or the environment) rather than one-off snapshots. SPES examines productivity, equity, sustainability, participation and human security. The dashboard documents citizens' perspectives by showing how people prioritize problems in their countries. It supports scenario building and policy dialogue by revealing shifts in perceived challenges that may motivate, accelerate, or constrain sustainable development pathways. In this sense, it is tightly connected to the</w:t>
      </w:r>
    </w:p>
    <w:p>
      <w:r>
        <w:t>POSSIBLE 2026: State, law, and society: mechanisms of interaction and pressing issues — https://openalex.org/W7215667035</w:t>
      </w:r>
    </w:p>
    <w:p>
      <w:r>
        <w:t>Shared claim-specific concepts: pressing, issues, significant; EU scope not established. This is a provisional connection, not an outcome finding.</w:t>
      </w:r>
    </w:p>
    <w:p>
      <w:r>
        <w:t>Available abstract (not full text): The purpose of the study was to investigate the mechanisms of interaction between the state, law, society, and to identify the challenges of their functioning. To achieve this goal, an analysis of the current legislation of Kyrgyzstan regulating the interaction of the state, law, and society was carried out, with an emphasis on regulatory mechanisms for civil participation. As a result of the study, it was found that a model of interaction between the state, law, and society is being formed in Kyrgyzstan, characterised by a gradual transition to partner forms of governance. The creation of civil society institutions, the active participation of non-governmental groups in the implementation of social programmes, and the normative tools for public participation in administrative decision-making are the main mechanisms for such interaction. The analysis of the current legislation showed the existence of a legal framework for interaction between state bodies and citizens, in particular, through public councils, consulting procedures, and electronic participation platforms. However, other issues were noted, including the need to strengthen accountability and transparency processes, the lack of a legal culture in some areas, and limited access to participatory mechanisms. Kyrgyzstan’s legal system is gradually adapting to the principles of the rule of law, including through the refor</w:t>
      </w:r>
    </w:p>
    <w:p>
      <w:r>
        <w:t>POSSIBLE 2026: How can Europe address its pressing AI compute infrastructure shortfall? — https://doi.org/10.64153/shia4474</w:t>
      </w:r>
    </w:p>
    <w:p>
      <w:r>
        <w:t>Shared claim-specific concepts: pressing, resources, significant; EU scope visible. This is a provisional connection, not an outcome finding.</w:t>
      </w:r>
    </w:p>
    <w:p>
      <w:r>
        <w:t xml:space="preserve">Available abstract (not full text): Only two gigawatts of artificial-intelligence compute capacity, equating to five percent of the global total, is located in the European Union. Planned projects will barely change the EU’s global share. As local compute is a necessary condition for AI sovereignty, the EU should maximise domestic compute capacity, regardless of the origin of compute resources. Private capital is not the crucial constraint on Europe’s AI compute build-out. Speed-to-operation and grid access are more significant limitations. An attempt is being made to address permitting through the European Commission’s proposal for a Cloud and AI Development Act (CADA). Gigafactory subsidies could be redirected to competitive grants that put regions in competition with each other in terms of permitting times. Faster movers should get larger grants. Policy should also prioritise anticipatory grid investment and faster grid connections – grid access is left out of the scope of CADA. Global chip production capacity constraints turn regional chip allocations into a near zero-sum game. The EU could incentivise United States hyperscalers to install larger shares of their AI chip supply in EU data centres. Rather than putting stringent sovereignty conditions on the compute inputs side, it should put these on the AI services outputs side, for example through voluntary ‘processed in the EU’ labels on services sold to EU </w:t>
      </w:r>
    </w:p>
    <w:p>
      <w:r>
        <w:t>POSSIBLE 2025: Health Disparities: The Emerging Trends and Pressing Challenges — https://doi.org/10.3390/books978-3-7258-3147-0</w:t>
      </w:r>
    </w:p>
    <w:p>
      <w:r>
        <w:t>Shared claim-specific concepts: one, pressing, issues, dynamics; EU scope visible. This is a provisional connection, not an outcome finding.</w:t>
      </w:r>
    </w:p>
    <w:p>
      <w:r>
        <w:t>Available abstract (not full text): Health disparities represent one of the most pressing challenges in modern healthcare systems worldwide. Health disparities have a profound influence on communities and individuals, shaping their overall health, well-being, and social dynamics.These preventable differences in health outcomes, disease burden, and access to quality care continue to affect socially disadvantaged populations, perpetuating cycles of inequality and undermining the fundamental principle of health equity. As we delve deeper into the 21st century, the urgency to address these disparities has never been more apparent, with emerging trends highlighting both the persistence of long-standing issues and the rise of new challenges in our rapidly evolving global landscape.The European Journal of Investigation in Health, Psychology and Education has dedicated a Special Issue to the exploration of the critical topic of Health Disparities: The Emerging Trends and Pressing Challenges. This collection of research aims to shed light on the multifaceted nature of health disparities, their root causes, and potential solutions, bringing together insights from various disciplines to inform policy, practice, and future research directions.</w:t>
      </w:r>
    </w:p>
    <w:p>
      <w:r>
        <w:t>POSSIBLE 2025: Safe access to asylum in Europe: revisiting the litmus test of refugee law — https://doi.org/10.59350/fluchtforschung.14630</w:t>
      </w:r>
    </w:p>
    <w:p>
      <w:r>
        <w:t>Shared claim-specific concepts: one, pressing, issues, still; EU scope visible. This is a provisional connection, not an outcome finding.</w:t>
      </w:r>
    </w:p>
    <w:p>
      <w:r>
        <w:t>Available abstract (not full text): The question of safe and regulated entry for protection seekers into a state of refuge is still one of the most pressing issues of the asylum system in Europe.</w:t>
      </w:r>
    </w:p>
    <w:p>
      <w:r>
        <w:t>POSSIBLE 2024: Deliberation in times of crisis – how can citizens’ councils deal with pressing political issues like the Corona pandemic? — https://doi.org/10.1080/13511610.2024.2306236</w:t>
      </w:r>
    </w:p>
    <w:p>
      <w:r>
        <w:t>Shared claim-specific concepts: one, pressing, issues, situation; EU scope visible. This is a provisional connection, not an outcome finding.</w:t>
      </w:r>
    </w:p>
    <w:p>
      <w:r>
        <w:t>Available abstract (not full text): The Corona pandemic was one of the most challenging political events of the last decades in Europe in which many important political issues had to be decided within a very short space of time. Deliberative, sortition-based formats offer new approaches to strengthen democracy in times of crisis but have so far mainly been used for fundamental issues that have been under discussion for a long time. In Germany, four Corona Citizens’ Councils were organized at different levels to deal with the highly dynamic pandemic situation. The first was on local level and took place in the city of Augsburg, the next and most prominent one in the state of Baden-Wurttemberg (‘Bürgerforum Corona’), being held monthly over a period of 13 months. Another one was organized in the state of Saxony, a fourth one in Thuringia. The article examines the background, the methodological quality and the outcomes of three Corona Citizens’ Councils in Germany. The article compares the three Citizens’ Councils and draws conclusions about the crisis-management capacities of deliberative formats in dealing with pressing political issues in highly dynamic situations.</w:t>
      </w:r>
    </w:p>
    <w:p>
      <w:r>
        <w:t>POSSIBLE 2024: Pressing issues for oral care quality improvement: findings from the EU DELIVER project — https://doi.org/10.1186/s12889-024-19707-z</w:t>
      </w:r>
    </w:p>
    <w:p>
      <w:r>
        <w:t>Shared claim-specific concepts: pressing, issues, significant; EU scope visible. This is a provisional connection, not an outcome finding.</w:t>
      </w:r>
    </w:p>
    <w:p>
      <w:r>
        <w:t>Available abstract (not full text): BACKGROUND: While oral health often takes a backseat to other health domains, it silently affects nearly half of the Worldwide population. The DELIVER project, funded by the EU's Horizon Europe program, seeks to develop a blueprint model for improving the quality of oral health care for everyone. METHODS: Applying the Nominal Group Technique (NGT), 17 stakeholders from various backgrounds participated in identifying pressing issues for oral care quality improvement across practice, community, and policy levels. RESULTS: The results revealed significant differences at the different levels, with accessibility emerging as a prominent issue, encompassing affordability, availability, and acceptability of oral healthcare services. CONCLUSIONS: These findings emphasizes the need for policy reforms, increased investments, and a shift towards preventive and patient-centered dental care practices. It highlights the importance of collaborative efforts with multi-stakeholders and prioritizing pressing issues on a multi-level to drive positive change in improving oral care quality.</w:t>
      </w:r>
    </w:p>
    <w:p>
      <w:r>
        <w:t>POSSIBLE 2024: Complex Issues in the Management of Pericarditis. In Anticipation of the Release of Updated Recommendations of the European Society of Cardiology — https://doi.org/10.18087/cardio.2024.10.n2738</w:t>
      </w:r>
    </w:p>
    <w:p>
      <w:r>
        <w:t>Shared claim-specific concepts: one, pressing, issues; EU scope visible. This is a provisional connection, not an outcome finding.</w:t>
      </w:r>
    </w:p>
    <w:p>
      <w:r>
        <w:t>Available abstract (not full text): With the advent of new diagnostic and therapeutic methods, the management of pericarditis has not become an easier task. The well-studied, but currently rare tuberculosis, bacterial and malignant forms have been joined by pericarditis associated with infection or vaccination against SARS-CoV-2. While 2-3 years ago, cardiologists had to recall the schedule of managing acute viral pericarditis, today its complications are often encountered, including chronic, recurrent, effusive or constrictive pericarditis. The European guidelines were updated 10 years ago and are expected to be issued within the next year. We posed the most pressing questions on the management of pericarditis to the coordinator of the 2015 European Society of Cardiology (ESC) guidelines [1], who will also chair the 2025 ESC guidelines on myocarditis and pericarditis, one of the most cited scientists in the field of inflammatory diseases of the pericardium, Massimo Imazio. He is a Professor in the Department of Cardiology and Anatomy at the University of Turin, runs a school on pericarditis, and has initiated fundamental research of this pathology. We presented his answers with comments of the co-author in the form of a short interview.</w:t>
      </w:r>
    </w:p>
    <w:p>
      <w:r>
        <w:t>POSSIBLE 2024: THE SUBJECT OF ABUSE OF INFLUENCE: PRESSING ISSUES OF CRIMINAL LAW DOCTRINE AND LAW ENFORCEMENT — https://doi.org/10.32782/2786-9156.107.3.45-63</w:t>
      </w:r>
    </w:p>
    <w:p>
      <w:r>
        <w:t>Shared claim-specific concepts: one, pressing, issues; EU scope not established. This is a provisional connection, not an outcome finding.</w:t>
      </w:r>
    </w:p>
    <w:p>
      <w:r>
        <w:t>Available abstract (not full text): The article examines problematic issues of interpreting the subject of active (Part 1 of Article 369-2 of the Criminal Code of Ukraine) and passive (Part 2 of Article 369-2 of the Criminal Code of Ukraine) abuse of influence. It is established that the subject of active abuse of influence (Part 1 of Article 369-2 of the CC of Ukraine) is a general subject of the crime, which does not exclude cases of committing this tort by an official. At the same time, it would be logical to at least recognize the commission of a crime by an official in this and similar cases as an aggravating circumstance. An even better solution to the problem seems to be offered by the authors of the draft Criminal Code of Ukraine, who recognize the commission of certain crimes using official powers or professional duties or related opportunities as an element, which increases the severity of the crime by one degree. The author critically analyzes the position of the Joint Chamber of the Criminal Court of Cassation of the Supreme Court of March 29, 2021. Ways to solve the problem of interpreting the subject of passive abuse of influence have been proposed, their positive and negative aspects have been highlighted. The author recognizes that the best option is to define the subject of passive abuse of influence as a special one – that is any person who does not use the position of an employee of an enterpri</w:t>
      </w:r>
    </w:p>
    <w:p>
      <w:r>
        <w:t>POSSIBLE 2024: Poverty, inequality and material deprivation among the self-employed in Europe — https://doi.org/10.4337/9781800881860.00011</w:t>
      </w:r>
    </w:p>
    <w:p>
      <w:r>
        <w:t>Shared claim-specific concepts: one, pressing, significant, countries; EU scope visible. This is a provisional connection, not an outcome finding.</w:t>
      </w:r>
    </w:p>
    <w:p>
      <w:r>
        <w:t>Available abstract (not full text): In work-poverty has become a pressing social issue in Europe yet the self-employed remain relatively uncharted terrain. With about 15 percent of European workers in self-employment this group can no longer be ignored, especially since self-employment is on the rise in some countries, particularly own-account self-employment. Drawing on EU-SILC data we show that the self-employed in Europe generally face significantly higher income poverty risks than contracted workers. However, while income poverty levels are quite significant among the self-employed, material deprivation rates are generally much lower. The discrepancy between income poverty measures and material deprivation measures is much larger for the self-employed than for employees. One possible explanation is that the self-employed can more often draw on assets accumulated over the life cycle or on business assets they control. One group emerges as being particularly at-risk of poverty are own-account workers, substantiating worries about the rise of this form of self-employment. The self-employed constitute a very mixed segment of the workforce and within-group inequality is quite significant, complicating possible policy responses.</w:t>
      </w:r>
    </w:p>
    <w:p>
      <w:r>
        <w:t>POSSIBLE 2023: A Pressing Problem — https://doi.org/10.37773/ees.v6i1.1010</w:t>
      </w:r>
    </w:p>
    <w:p>
      <w:r>
        <w:t>Shared claim-specific concepts: one, pressing, energy, sector, countries; EU scope not established. This is a provisional connection, not an outcome finding.</w:t>
      </w:r>
    </w:p>
    <w:p>
      <w:r>
        <w:t>Available abstract (not full text): As hundreds of residents are evacuated from the Himalayan pilgrimage town of Joshimath, the realities of the scale of impact of extreme disasters associated with a changing climate and other uncertainties loom large in India.Globally, scientists have proven beyond belief that these disastrous events are caused by human action, that is, they are anthropogenic in nature.They agree that the anthropogenic emission of greenhouse gases, especially since the Industrial Revolution, originates from the energy sector: the mining and burning of coal, generation of thermal power, vehicular emissions, and other emissions, such as those from industries.One way to deal with the growing incidence of climate-related extreme events is to reduce fossil-fuel consumption and gradually move to a decarbonised world.This is why nations across the world have committed to reducing carbon emissions to achieve carbon neutrality by 2050 at the Conference of Parties (CoP) 21, held in Paris in 2015, and CoP 26, held in Glasgow in 2022.While the review of Ruth Gamble's book directly addresses the Himalayan problem, all the other book reviews in this issue address the question of climate change.Humanity's commitment to reducing carbon emissions to tackle climate change has culminated in focused action to realize an 'energy transition', which is perhaps better described as 'transitions', due to their multifacet</w:t>
      </w:r>
    </w:p>
    <w:p>
      <w:pPr>
        <w:pStyle w:val="Heading2"/>
      </w:pPr>
      <w:r>
        <w:t>Climate Change and Renewable Energy Generation in Europe—Long-Term Impact Assessment on Solar and Wind Energy Using High-Resolution Future Climate Data and Considering Climate Uncertainties</w:t>
      </w:r>
    </w:p>
    <w:p>
      <w:r>
        <w:t>Original source (2022): https://doi.org/10.3390/en15010302</w:t>
      </w:r>
    </w:p>
    <w:p>
      <w:r>
        <w:t>Original wording (abstract; indexed_source_text_not_full_document_verified): Thirteen future climate scenarios, including five global climate models (GCMs) and three representative concentration pathways (RCPs), are downscaled by the RCA4 regional climate model (RCM) over 90 years (2010–2099), divided into three 30-year periods. The results showed that the uncertainty caused by GCMs has the most substantial impact on projecting renewable energy generation.</w:t>
      </w:r>
    </w:p>
    <w:p>
      <w:r>
        <w:t>POSSIBLE 2026: Robust data integration methods for understanding associations between climate change and hantavirus infection in Europe are needed: A systematic-narrative hybrid literature review — https://doi.org/10.1016/j.envc.2026.101486</w:t>
      </w:r>
    </w:p>
    <w:p>
      <w:r>
        <w:t>Shared claim-specific concepts: thirteen, climate, including, pathways, substantial; EU scope visible. This is a provisional connection, not an outcome finding.</w:t>
      </w:r>
    </w:p>
    <w:p>
      <w:r>
        <w:t xml:space="preserve">Available abstract (not full text): The relationship between climate change and human hantavirus infection is complex, involving not only climate itself but also environmental conditions, rodent host ecology, and human behavior. Understanding this broader causal pathway requires careful integration of diverse data sources. Compared with well-studied vector-borne diseases, human hantavirus infection remains less explored, partly because its transmission pathways are more complicated to characterize. To assess how current evidence addresses this complexity, particularly the data and methods used, we reviewed empirical studies examining associations between climatic factors and human hantavirus infection in Europe. Thirteen studies were identified through a systematic approach. Using a tailored evaluation framework, we assessed their analytical approaches, including spatial and temporal resolution, lag effects, and handling of modifying and mediating variables. Across studies, we found substantial variation in data and methods. This heterogeneity, combined with differences in scale and variable selection, has led to inconsistent conclusions about whether and how climate influences hantavirus risk across different European regions. Our review highlights the need for more robust, coherent methodological strategies and explicit causal frameworks to clarify the relationships between climate and hantavirus infection and </w:t>
      </w:r>
    </w:p>
    <w:p>
      <w:r>
        <w:t>POSSIBLE 2026: Recent flood disasters in Europe (2007–2025): comparative analysis and policy implications for climate-resilient governance — https://doi.org/10.1080/15715124.2026.2694415</w:t>
      </w:r>
    </w:p>
    <w:p>
      <w:r>
        <w:t>Shared claim-specific concepts: climate, including, five, regional; EU scope visible. This is a provisional connection, not an outcome finding.</w:t>
      </w:r>
    </w:p>
    <w:p>
      <w:r>
        <w:t>Available abstract (not full text): Flood disasters in Europe have become increasingly frequent and severe due to factors including rapid urbanisation, infrastructure vulnerabilities and climate change-related weather anomalies. This paper summarises lessons from major flood events since 2007 using a harmonised framework aligned with Integrated Flood Risk Management (IFRM). The analysis is based on multi-country datasets and case studies. Hazards characteristics, exposure, vulnerability and governance responses are examined in order to identify recurring patterns and systemic gaps. The results of the study highlighted five critical themes: (i) the growing prevalence of riverine and flash floods in urban areas; (ii) the amplifying effects of urbanisation and inadequate drainage; (iii) the shaping of hazard profiles by climate-induced extremes; (iv) the persistent shortcomings in the dissemination of early warnings and last-mile communication and (v) the regional variability in vulnerability and coping capacity. The insights gathered have informed a series of recommendations for policy and practice, the enhancement of early warning systems, investment in sustainable infrastructure, cross-border cooperation and community resilience. The objective of these findings is to inform adaptive strategies and strengthen Europe’s capacity to manage evolving flood risks under increasing urbanisation, continuous economic develo</w:t>
      </w:r>
    </w:p>
    <w:p>
      <w:r>
        <w:t>POSSIBLE 2026: Climate Change Threatens Micronutrient Density of European Winter Wheat — https://doi.org/10.1002/advs.202513322</w:t>
      </w:r>
    </w:p>
    <w:p>
      <w:r>
        <w:t>Shared claim-specific concepts: climate, representative, uncertainty; EU scope visible. This is a provisional connection, not an outcome finding.</w:t>
      </w:r>
    </w:p>
    <w:p>
      <w:r>
        <w:t>Available abstract (not full text): ABSTRACT Micronutrients are vital for human health. Wheat is a major staple crop and a significant source of minerals and B‐vitamins. The impact of multifactorial climate change on their content remains largely unknown, introducing uncertainty to human nutrition and well‐being. Here, we used an Ecotron to evaluate micronutrient levels in European winter wheat ( Triticum aestivum var. Asory) under historical and projected climate conditions, incorporating gradients of atmospheric CO 2 , temperature, precipitation, and light intensity representative of ongoing climate change in Western Europe. Our findings indicate that future climates will strongly diminish multiple minerals and B‐vitamins in grains, thereby posing a significant challenge for global public health.</w:t>
      </w:r>
    </w:p>
    <w:p>
      <w:r>
        <w:t>POSSIBLE 2026: Thermal niche tracking in thirteen British temperate passerines — https://doi.org/10.22541/authorea.15010264/v1</w:t>
      </w:r>
    </w:p>
    <w:p>
      <w:r>
        <w:t>Shared claim-specific concepts: thirteen, climate, over; EU scope not established. This is a provisional connection, not an outcome finding.</w:t>
      </w:r>
    </w:p>
    <w:p>
      <w:r>
        <w:t>Available abstract (not full text): Identifying how and why species vary in their ability to adjust to rapidly changing climates is a key challenge in ecology. While phenological shifts are well documented for birds and often studied in the context of tracking resource availability, less is known about the extent to which adjustments in phenology allow populations to track a consistent thermal niche. In particular, there has been little examination of how the extent of phenological thermal niche tracking compares over time versus space; a comparison that has the potential to inform on the underlying mechanisms. Here, we use data on breeding phenology derived from BTO Nest Record Scheme data, to examine the extent to which 13 passerine bird species track a consistent incubation thermal niche across years (both interannually and a year gradient) and along latitudinal and elevational gradients, and whether migrant and resident species differ in their tracking ability. Overall, we find support across species for partial tracking, with all species showing trends consistent with partial tracking across one or more axis, though for one species we could not reject the null hypothesis of no tracking. When we looked at average trends across species, we find significant tracking across interannual variation, latitude, and elevation, but not across a year trend. However, we find no evidence that tracking differs between resi</w:t>
      </w:r>
    </w:p>
    <w:p>
      <w:r>
        <w:t>POSSIBLE 2025: Climate advisory committees in European climate governance: Expertise, representation and co‐production — https://doi.org/10.1111/reel.70019</w:t>
      </w:r>
    </w:p>
    <w:p>
      <w:r>
        <w:t>Shared claim-specific concepts: climate, including, substantial; EU scope visible. This is a provisional connection, not an outcome finding.</w:t>
      </w:r>
    </w:p>
    <w:p>
      <w:r>
        <w:t>Available abstract (not full text): Abstract This article examines the institutional design and statutory mandates of Climate Advisory Committees (CACs) in Denmark, Finland, Germany and the United Kingdom through comparative legal analysis. The CACs share the common feature of operating as boundary institutions mediating between scientific knowledge and policy implementation, with implications for climate governance. Through analysis of primary legal documents, official publications and governmental responses, the article demonstrates that CACs consistently encounter difficulties translating scientific advice into substantial policy change when recommendations conflict with economic interests embedded in legal frameworks. Despite variations in institutional design—including different appointment processes, mandate scope, and legal foundations—all four CACs face similar implementation challenges in sectors such as agriculture, forestry, aviation and transport. The article argues that these systematic constraints indicate limitations in current approaches to expert climate advice, as legal frameworks actively prioritise economic values while marginalising ecological and intergenerational considerations. The findings suggest that effective climate governance requires institutional innovations that address the underlying legal constitution of values rather than relying solely on improved scientific expertise or insti</w:t>
      </w:r>
    </w:p>
    <w:p>
      <w:r>
        <w:t>POSSIBLE 2025: The Impact of Climate Change on Eastern European Viticulture: A Review of Smart Irrigation and Water Management Strategies — https://doi.org/10.3390/horticulturae11111282</w:t>
      </w:r>
    </w:p>
    <w:p>
      <w:r>
        <w:t>Shared claim-specific concepts: climate, including, periods; EU scope visible. This is a provisional connection, not an outcome finding.</w:t>
      </w:r>
    </w:p>
    <w:p>
      <w:r>
        <w:t>Available abstract (not full text): Climate change poses significant challenges to viticulture worldwide, with Eastern European vineyards experiencing increased water stress due to rising temperatures, irregular precipitation patterns, and prolonged drought periods. These climatic shifts hurt vine phenology, grape quality, and overall productivity. In response, adaptive irrigation strategies such as Regulated Deficit Irrigation (RDI) have gained attention for optimizing water use while preserving grape quality. Concurrently, the adoption of smart agriculture technologies—including soil moisture sensors, automated weather stations, remote sensing, and data-driven decision support systems—enables precise monitoring and real-time management of vineyard water status. This review synthesizes recent studies from Eastern Europe, emphasizing the necessity of integrating climate adaptation measures with intelligent irrigation management to enhance vineyard resilience and sustainability under increasing climate variability.</w:t>
      </w:r>
    </w:p>
    <w:p>
      <w:r>
        <w:t>POSSIBLE 2023: Climate-wise models of biomass productivity for hybrid poplar clones in Europe — https://doi.org/10.3832/ifor4211-016</w:t>
      </w:r>
    </w:p>
    <w:p>
      <w:r>
        <w:t>Shared claim-specific concepts: climate, five, three, regional; EU scope visible. This is a provisional connection, not an outcome finding.</w:t>
      </w:r>
    </w:p>
    <w:p>
      <w:r>
        <w:t>Available abstract (not full text): Renewable bioenergy has the potential to contribute sustainably to the energy sector. Forestry is the main source of biomass for energy in Europe, and poplar (genus Populus) is widely used for short rotation coppice (SRC). Many studies have assessed poplar clones’ productivity but there is a lack of regional studies and links with the climate. We investigated the biomass productivity of twenty hybrid poplar clones for SRC. Clones were planted in sixteen locations across nine countries in Europe, although not all clones were replicated in all locations. In each location, clones were planted in three replicated plots. All plots were harvested after four years, and the aboveground dry biomass estimated. We fitted clone-specific linear mixed models of total aboveground dry biomass production at plot level as function of climatic variables. For many clones (eight) only annual heat moisture deficit negatively affected productivity, in few cases (3) together with a quadratic term for a smoother relationship. In some other clones (five) only the mean summer precipitation positively and linearly affected productivity. On average, the variance explained by the fixed effects in those models was 56%. For the remaining clones (seven), no climate variables resulted significant. Our study explicitly investigated the quantitative link between water availability and poplar SRC productivity, one</w:t>
      </w:r>
    </w:p>
    <w:p>
      <w:r>
        <w:t>POSSIBLE 2023: Silver lining to a climate crisis in multiple prospects for alleviating crop waterlogging under future climates — https://doi.org/10.1038/s41467-023-36129-4</w:t>
      </w:r>
    </w:p>
    <w:p>
      <w:r>
        <w:t>Shared claim-specific concepts: climate, caused; EU scope visible. This is a provisional connection, not an outcome finding.</w:t>
      </w:r>
    </w:p>
    <w:p>
      <w:r>
        <w:t>Available abstract (not full text): Extreme weather events threaten food security, yet global assessments of impacts caused by crop waterlogging are rare. Here we first develop a paradigm that distils common stress patterns across environments, genotypes and climate horizons. Second, we embed improved process-based understanding into a farming systems model to discern changes in global crop waterlogging under future climates. Third, we develop avenues for adapting cropping systems to waterlogging contextualised by environment. We find that yield penalties caused by waterlogging increase from 3-11% historically to 10-20% by 2080, with penalties reflecting a trade-off between the duration of waterlogging and the timing of waterlogging relative to crop stage. We document greater potential for waterlogging-tolerant genotypes in environments with longer temperate growing seasons (e.g., UK, France, Russia, China), compared with environments with higher annualised ratios of evapotranspiration to precipitation (e.g., Australia). Under future climates, altering sowing time and adoption of waterlogging-tolerant genotypes reduces yield penalties by 18%, while earlier sowing of winter genotypes alleviates waterlogging by 8%. We highlight the serendipitous outcome wherein waterlogging stress patterns under present conditions are likely to be similar to those in the future, suggesting that adaptations for future climates could</w:t>
      </w:r>
    </w:p>
    <w:p>
      <w:r>
        <w:t>POSSIBLE 2023: Possible Effects of Climate Change on the Occurrence and Distribution of the Rare Moss Buxbaumia viridis in Serbia (SE Europe) — https://doi.org/10.3390/plants12030557</w:t>
      </w:r>
    </w:p>
    <w:p>
      <w:r>
        <w:t>Shared claim-specific concepts: climate, including; EU scope visible. This is a provisional connection, not an outcome finding.</w:t>
      </w:r>
    </w:p>
    <w:p>
      <w:r>
        <w:t>Available abstract (not full text): have been reviewed in Serbia. Climatic conditions of its recent distribution in Serbia were involved in species distribution modeling and analyzed with the aim of obtaining a projection of unknown potential sites and future scenarios of its distribution dynamics. The results achieved suggest potential distribution range of the species will be significantly reduced. According to the climate change models, the habitat changes including the range loss of this species are predicted to be drastic, i.e., between 93% and 97% by the year 2050, and between 98% and 99.9% by the year 2070, affecting primarily lower elevations of its current range in Serbia. A major reason for the projected decline of the species is climate change combined with continued poor forest management.</w:t>
      </w:r>
    </w:p>
    <w:p>
      <w:pPr>
        <w:pStyle w:val="Heading2"/>
      </w:pPr>
      <w:r>
        <w:t>Climate, Energy – and Environment? Reconciliation of EU Environmental Law with the Implementation Realities of EU Climate Law</w:t>
      </w:r>
    </w:p>
    <w:p>
      <w:r>
        <w:t>Original source (2022): https://doi.org/10.1163/18786561-12030003</w:t>
      </w:r>
    </w:p>
    <w:p>
      <w:r>
        <w:t>Original wording (abstract; indexed_source_text_not_full_document_verified): The objective of environmental protection, ‘to preserve, protect and improve the quality of the environment’, does not fully align with the objectives of climate mitigation, which are designed to safeguard the needs of future generations and the long-term environment.</w:t>
      </w:r>
    </w:p>
    <w:p>
      <w:r>
        <w:t>POSSIBLE 2026: Urban Planning and Environmental Protection in the Mirror of the Case Law of the European Court of Human Rights — https://doi.org/10.14207/ejsd.2026.v15n1p903</w:t>
      </w:r>
    </w:p>
    <w:p>
      <w:r>
        <w:t>Shared claim-specific concepts: objective, environmental, protection, environment, not; EU scope visible. This is a provisional connection, not an outcome finding.</w:t>
      </w:r>
    </w:p>
    <w:p>
      <w:r>
        <w:t>Available abstract (not full text): The objective of this study is to identify and analyse the most important positions of the ECtHR concerning construction activities and implementation of urban development policies by states, while ensuring the rights of citizens and protecting the environment from the negative impact of construction. This research is necessary, in particular, for the development of the urban planning law, as well as for the purposes of the urban planning reform in Ukraine. In its decisions, the European Court of Human Rights promotes the idea of a crucial role of the state policy and state regulation of the urban development sector in protection and defence of human rights. In many decisions, the Court clarifies obligations of the state in this area, in particular, what they are in special situations such as construction in protected areas, unauthorised construction, and obligations to prevent natural disasters. The paper examines in sufficient detail various aspects of the relevant practice of the Court. The array of the ECtHR case law on protection of environmental rights violated or threatened by construction activities and urban planning has been examined separately. The Court's conclusions regarding the priority of public interest in compliance with building regulations over private interest in ownership of illegally constructed property (but not housing) are noteworthy. Numerous decision</w:t>
      </w:r>
    </w:p>
    <w:p>
      <w:r>
        <w:t>POSSIBLE 2026: COMBATING ENVIRONMENTAL CRIMINAL ILLEGALITIES IN A CROSS BORDER CONTEXT – ONE OF THE BASIC OBJECTIVES OF THE EUROPEAN UNION — https://doi.org/10.35219/across.2026.3.14</w:t>
      </w:r>
    </w:p>
    <w:p>
      <w:r>
        <w:t>Shared claim-specific concepts: objective, environmental, protection, quality, environment, objectives; EU scope visible. This is a provisional connection, not an outcome finding.</w:t>
      </w:r>
    </w:p>
    <w:p>
      <w:r>
        <w:t>Available abstract (not full text): In this scientific study we will analyze current issues regarding the phenomenon of illegal acts of a criminal nature against the environment in a cross-border context that constitute crimes and the ways in which the European Union fights against it. Moreover, the article highlights the objectives the European Union has set to combat this problem. The protection and improvement of the quality of the environment in the European Union have always been among the priorities, because crimes against the environment constitute an escalating international dilemma that has lately been taking on more and more forms, which in fact represent a serious threat to humanity. By their nature, once environmental crime has emerged, it requires international cooperation, given the cross-border nature of pollution and its global implications. Moreover, this reality, initially ignored, has led to the gradual affirmation of this objective on the European Union'sagenda. Such crimes pose a threat to the environment and therefore require an adequate and effective response, often necessitating cross-border cooperation.</w:t>
      </w:r>
    </w:p>
    <w:p>
      <w:r>
        <w:t>POSSIBLE 2026: Environmental Justice and the Protection of Human Dignity in the Era of Climate Transition — https://doi.org/10.13166/jms/225625</w:t>
      </w:r>
    </w:p>
    <w:p>
      <w:r>
        <w:t>Shared claim-specific concepts: objective, environmental, protection, climate, generations; EU scope visible. This is a provisional connection, not an outcome finding.</w:t>
      </w:r>
    </w:p>
    <w:p>
      <w:r>
        <w:t>Available abstract (not full text): The subject of this study is the relationship between environmental protection and the principle of human dignity in the context of the contemporary climate policy of the European Union. The aim of the article is to assess whether the mechanisms of climate transition remain consistent with the principle of the protection of human dignity and social justice. The research hypothesis assumes that climate protection cannot constitute an autonomous objective but should serve to ensure dignified living conditions for present and future generations. The study employs the dogmatic-legal method, institutional analysis, and elements of axiological and comparative analysis. The findings lead to the conclusion that the future of European climate policy should be based on the Human-Centric Climate Policy model, combining environmental protection with the protection of human dignity and social security.</w:t>
      </w:r>
    </w:p>
    <w:p>
      <w:r>
        <w:t>POSSIBLE 2026: Analysis of the institutional arrangement for environmental protection in Georgia — https://doi.org/10.36962/nec21012026-118</w:t>
      </w:r>
    </w:p>
    <w:p>
      <w:r>
        <w:t>Shared claim-specific concepts: objective, environmental, protection; EU scope visible. This is a provisional connection, not an outcome finding.</w:t>
      </w:r>
    </w:p>
    <w:p>
      <w:r>
        <w:t>Available abstract (not full text): Research Objective: The objective of this study is to provide a comprehensive analysis of the institutional arrangement for environmental protection in Georgia. It examines the organizational and legal framework, the roles and responsibilities of central and local authorities, inter-agency coordination mechanisms, and the alignment of national environmental governance with European integration standards. Given Georgia’s ecological diversity, growing environmental challenges, and commitment to EU directives, understanding the effectiveness of institutional arrangements is crucial for sustainable development and policy-making. Methodological Approach: This research employs a normative-legal and institutional analysis methodology. Primary sources include legislation, government regulations, policy documents, strategic plans, and international guidelines (including EU acquis). The study evaluates institutional interactions, decision-making processes, enforcement mechanisms, and public participation, integrating both qualitative and comparative approaches to assess the system’s efficiency and capacity for reform. Main Results and Implications: The findings indicate that while Georgia’s institutional framework for environmental protection has improved significantly over the past decade, challenges remain. Key weaknesses include limited inter-agency coordination, insufficient monitori</w:t>
      </w:r>
    </w:p>
    <w:p>
      <w:r>
        <w:t>POSSIBLE 2025: Environmental law of the European Union and its mechanisms for sustainability policies from a European perspective — https://doi.org/10.46941/2025.se1.18</w:t>
      </w:r>
    </w:p>
    <w:p>
      <w:r>
        <w:t>Shared claim-specific concepts: environmental, protection, quality, environment, objectives, climate; EU scope visible. This is a provisional connection, not an outcome finding.</w:t>
      </w:r>
    </w:p>
    <w:p>
      <w:r>
        <w:t xml:space="preserve">Available abstract (not full text): EU environmental law has a long tradition. During the last decade, however, EU environmental law developed into a cornerstone of EU policy. The European Green Deal aims to promote the combined policy objectives of sustainable development and protection of the environment for current and future generations. Within this policy framework, and based on a comprehensive legal framework, the EU has established mechanisms to address a wide range of environmental issues, including air and water quality, waste management, biodiversity conservation, and climate change mitigation. From a legal perspective, EU environmental law is characterized by its integration into all areas of EU policy and its binding nature on the Member States. The Treaty on the Functioning of the European Union (TFEU) already enshrines environmental protection as one of the EU's objectives and mandates the integration of environmental considerations into all policy areas, ensuring a coherent and holistic approach to sustainability. Key mechanisms for sustainable policies within EU environmental law include directives, regulations, and decisions, that set forth common standards and objectives for Member States to achieve. These legal instruments provide a framework for harmonizing environmental policies across the EU while allowing for flexibility to accommodate national circumstances and priorities. In summary, the </w:t>
      </w:r>
    </w:p>
    <w:p>
      <w:r>
        <w:t>POSSIBLE 2025: ENVIRONMENTAL PROTECTION GOALS AND SCOPE OF POLICIES IN THE EUROPEAN UNION BY 2030 — https://doi.org/10.46793/semsie25.159pr</w:t>
      </w:r>
    </w:p>
    <w:p>
      <w:r>
        <w:t>Shared claim-specific concepts: environmental, protection, fully; EU scope visible. This is a provisional connection, not an outcome finding.</w:t>
      </w:r>
    </w:p>
    <w:p>
      <w:r>
        <w:t>Available abstract (not full text): Environmental protection is one of the key focuses of the European Union’s activities, operating at various levels – from policy and legislation to financial investments. The European Green Deal, the EU’s main environmental policy plan, aims for Europe to become the first climate-neutral continent by 2050. This involves reducing carbon dioxide emissions, transitioning to renewable energy sources, investing in green technology, strengthening environmental legislation, and more. The Eighth Environmental Action Program, adopted in alignment with the European Green Deal, provides the framework for EU environmental policy until 2030. It sets the priority goals for environmental protection until 2030 and the conditions necessary for their achievement. At the same time, it forms the basis for the European Union’s contribution to achieving the United Nations Agenda for 2030 and its sustainable development goals. This paper analyzes six priority goals of the Eighth Environmental Action Program and the progress made toward achieving them, monitored through 26 indicators. The research results indicate that the European Union has successfully achieved some goals, but there are goals that require significantly greater efforts and resources to be fully realized.</w:t>
      </w:r>
    </w:p>
    <w:p>
      <w:r>
        <w:t>POSSIBLE 2025: Legal characterization of the principles of soil protection in the law of the European Union — https://doi.org/10.24144/2307-3322.2025.87.4.48</w:t>
      </w:r>
    </w:p>
    <w:p>
      <w:r>
        <w:t>Shared claim-specific concepts: environmental, protection, environment, not, objectives; EU scope visible. This is a provisional connection, not an outcome finding.</w:t>
      </w:r>
    </w:p>
    <w:p>
      <w:r>
        <w:t>Available abstract (not full text): This study has been focused on the principles of soil protection as the fundamental principles of the European Union environmental law. In particular, the author has examined the special principles whose main purpose in the field of environmental protection is to achieve a high level of environmental protection and to realize all the objectives of the European Union. The author has established that these principles are not limited to the field of environmental law protection, but also apply to the policies and actions of the European Union as a whole. At the same time, they have been constantly expressed and reflected in various founding treaties of the European Union and finally enshrined in the Lisbon Treaties. In particular, such fundamental principles of soil protection as the precautionary principle, primarily in the context of practical application, which includes the need to choose, having duly weighed the level of risk, action or inaction under conditions of uncertainty have been analyzed in the article. The principle of prevention is based on risk assessment, but its distinctive feature is the focus on avoiding foreseeable risks. In the article it has been also focused on the fact that states should not only refrain from causing harm, but also take measures aimed at protecting the environment. The author has analyzed the principle of eliminating pollution at the source</w:t>
      </w:r>
    </w:p>
    <w:p>
      <w:r>
        <w:t>POSSIBLE 2025: Rights of Nature in Europe: the Mar Menor and the Future of Ecocentric Environmental Protection — https://doi.org/10.1163/18760104-22030006</w:t>
      </w:r>
    </w:p>
    <w:p>
      <w:r>
        <w:t>Shared claim-specific concepts: environmental, protection, safeguard; EU scope visible. This is a provisional connection, not an outcome finding.</w:t>
      </w:r>
    </w:p>
    <w:p>
      <w:r>
        <w:t>Available abstract (not full text): Abstract This article examines the concept of Rights of Nature (RoN) and its potential application within the European Union (EU) water law framework, using the Mar Menor lagoon in Spain as a case study. The Mar Menor, the first natural entity in Europe to be granted legal personhood, exemplifies how RoN can be applied in practice to address severe ecological degradation. The article analyses the expected effectiveness of Spain’s Law 19/2022, which confers legal rights to the Mar Menor, highlighting the legal, ethical, and environmental implications of this rights-based approach. By analysing local-level implementation, the article also considers the possibility of integrating RoN more broadly into the EU’s water law framework, examining the notions of RoN already present within the Water Framework Directive. While RoN holds promise for enhancing environmental protection on a local scale in the EU, its success depends on the robustness of legal frameworks and active civil society involvement. The article concludes by discussing the logic and feasibility of adopting RoN more broadly within EU environmental law, advocating for a gradual shift towards more ecocentric legislation to safeguard natural ecosystems.</w:t>
      </w:r>
    </w:p>
    <w:p>
      <w:r>
        <w:t>POSSIBLE 2024: Environmental Protection: A Fundamental Right or a Social Objective? Comparative Constitutional Overview — https://doi.org/10.56345/ijrdv11n215</w:t>
      </w:r>
    </w:p>
    <w:p>
      <w:r>
        <w:t>Shared claim-specific concepts: objective, environmental, protection, environment, not; EU scope visible. This is a provisional connection, not an outcome finding.</w:t>
      </w:r>
    </w:p>
    <w:p>
      <w:r>
        <w:t>Available abstract (not full text): The protection of the environment is at the center of the current political debate in Europe and more widely, since the protection of human health is inevitably linked to the health of the environment. The relationship between environmental pollution and human health has been scientifically proven. The inclusion of environmental protection as a fundamental right in the Constitution on the one hand is very important because it affects the orientation and direction of the work of the parliament in relation to environmental policies in the future, while on the other hand it prevents the hegemony of the parliamentary majority in the implementation of some production policies to the detriment of the environment and therefore to the detriment of the health of the country's citizens. Initially, in this paper, the author will focus on the concept and importance of environmental protection, to continue later with the sources of environmental law at the international and national level. In this work, the question that was asked at the beginning of the time will be answered, that is, if the protection of the environment is a right that we can demand its respect in court or simply a social objective that the state wants to realize within its possibilities. I am sure that in the time of globalization, the modern lawyer cannot ignore the comparative analysis, since it now constitutes an esse</w:t>
      </w:r>
    </w:p>
    <w:p>
      <w:r>
        <w:t>POSSIBLE 2024: The European Union’s legislative process in the area of environmental protection in the context of the European environmental policy — https://doi.org/10.31648/aspal.9148</w:t>
      </w:r>
    </w:p>
    <w:p>
      <w:r>
        <w:t>Shared claim-specific concepts: environmental, protection, not; EU scope visible. This is a provisional connection, not an outcome finding.</w:t>
      </w:r>
    </w:p>
    <w:p>
      <w:r>
        <w:t>Available abstract (not full text): Motives: This research paper analyzes the legislative process and the implementation of the European Union’s (EU) environmental law as one of the principal tools for achieving and maintaining global ecological safety.Aim: The study was undertaken to determine how the priorities of the EU’s foreign and internal policy are reflected in the legislative process in the area of environmental protection. The problems associated with law enforcement and the implementation of EU legislative acts in national legislation were also examined, and the current state and prospects for policy-making in the area of environmental protection were assessed. The paper considers environmental policy issues and legal regulations in Azerbaijan in the context of EU experiences. The research covers political and legal relations.Results: An analysis of the historical transformation of the EU’s environmental law from an institutional and constitutional perspective was combined with an analysis of the principal aspects and the main trends in the EU’s environmental governance and lawmaking. The EU’s contribution to the development of environmental legislation highlights its approach to the multi-layered dimension of environmental governance internally, in terms of the dynamic relationship between the EU and the Member States, as well as internationally. The EU’s policy and legal regulations in the area of en</w:t>
      </w:r>
    </w:p>
    <w:p>
      <w:r>
        <w:t>POSSIBLE 2024: Environmental Protection, Rights of Nature, and Religious Beliefs in Europe — https://doi.org/10.1007/s11196-024-10193-5</w:t>
      </w:r>
    </w:p>
    <w:p>
      <w:r>
        <w:t>Shared claim-specific concepts: environmental, protection, not; EU scope visible. This is a provisional connection, not an outcome finding.</w:t>
      </w:r>
    </w:p>
    <w:p>
      <w:r>
        <w:t>Available abstract (not full text): Abstract This paper examines the rights of nature (RoN) as a product of religious beliefs and how the increasing abandonment of religious beliefs in Europe could impact the development of RoN on the continent. As a concept rooted in religious and Indigenous peoples’ practices, this article argues that there are no religious and Indigenous peoples’ ideologies in Europe upon which RoN of nature could be anchored. Furthermore, since hardly any groups in Europe identify as Indigenous peoples in the strict sense of the term, except some groups in Scandinavia, RoN in Europe cannot be effective as there is no special attachment of most Europeans to natural entities. To achieve this argument, the Enlightenment period is pointed out as the starting point for the abandonment of religion in Europe. Because of this, the article contends that the recent law on RoN for Mar Menor in Spain may fail as it is not rooted in religious philosophies. To transplant RoN to Europe and for it to be effective, a new religion with spiritual traditions and insights consistent with the worldview of RoN would have to be developed. However, for such a view to be protected under Article 9 of the European Convention on Human Rights, it must “attain a certain level of cogency, seriousness, cohesion, and importance.” It is not certain if RoN has attained such a threshold in Europe or will ever attain it. Using th</w:t>
      </w:r>
    </w:p>
    <w:p>
      <w:r>
        <w:t>POSSIBLE 2024: THE IMPORTANCE OF ENVIRONMENTAL PROTECTION CONCEPT IN EUROPEAN CENTRAL BANK LAW — https://doi.org/10.56461/spz_24305kj</w:t>
      </w:r>
    </w:p>
    <w:p>
      <w:r>
        <w:t>Shared claim-specific concepts: environmental, protection, preserve; EU scope visible. This is a provisional connection, not an outcome finding.</w:t>
      </w:r>
    </w:p>
    <w:p>
      <w:r>
        <w:t>Available abstract (not full text): The subject of this paper is the introduction of the environmental protection concept in the central banking law to preserve natural resources and contribute to ensuring sustainable economic development. In that sense, the author will attempt to describe the potential contribution of green central bank legislation in managing and mitigating environmental issues, aiming to identify the ecological dimension of the European Central Bank (ECB) mandate, as the supreme monetary institution of the European Union (EU). The following text focuses on the functional analysis of the ECB’s potential legal mandate for environmental activities, their scope, limitations, and practical justification where the introduction of these new activities must be carefully managed without creating a collision with its primary task of maintaining monetary and financial stability.tability.</w:t>
      </w:r>
    </w:p>
    <w:p>
      <w:pPr>
        <w:pStyle w:val="Heading2"/>
      </w:pPr>
      <w:r>
        <w:t>Convergence of Population Structures of the European Union Member States—The Past and the Future</w:t>
      </w:r>
    </w:p>
    <w:p>
      <w:r>
        <w:t>Original source (2022): https://doi.org/10.3390/su14021024</w:t>
      </w:r>
    </w:p>
    <w:p>
      <w:r>
        <w:t>Original wording (abstract; indexed_source_text_not_full_document_verified): The Eurostat projections indicate that, by 2050, most of the European Union member states will see a fall in their population size, a drop in the share of young people, and a simultaneous rise in the share of elderly persons. The goal of the study was to assess the stage of advancement and diversity of the ageing of population in the past and in the year 2050.</w:t>
      </w:r>
    </w:p>
    <w:p>
      <w:r>
        <w:t>POSSIBLE 2026: Beyond the IRENA baseline: Mapping end-of-life photovoltaic waste flows across EU-27 using Weibull lifetime distributions screened against Eurostat data and updated efficiency scenarios — https://doi.org/10.1016/j.renene.2026.126404</w:t>
      </w:r>
    </w:p>
    <w:p>
      <w:r>
        <w:t>Shared claim-specific concepts: eurostat, projections, indicate, union; EU scope visible. This is a provisional connection, not an outcome finding.</w:t>
      </w:r>
    </w:p>
    <w:p>
      <w:r>
        <w:t>Available abstract (not full text):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r>
        <w:t>POSSIBLE 2026: Impact of climate change on human mortality patterns — https://doi.org/10.48676/unibo/amsdottorato/13040</w:t>
      </w:r>
    </w:p>
    <w:p>
      <w:r>
        <w:t>Shared claim-specific concepts: eurostat, projections, indicate, population; EU scope visible. This is a provisional connection, not an outcome finding.</w:t>
      </w:r>
    </w:p>
    <w:p>
      <w:r>
        <w:t>Available abstract (not full text): The increasing frequency and intensity of extreme weather events pose a growing public health threat. Evidence consistently demonstrates that the mortality risks associated with weather and climate extremes are not uniformly distributed, reflecting substantial geographical and social disparities. This thesis investigates global and European patterns of mortality risks related to extreme weather events, emphasizing population heterogeneity, regional and social vulnerabilities. Specifically, the thesis advances current understanding by (1) systematically synthesizing global evidence on climate-related mortality, (2) empirically examining the determinants of temperature related mortality across Europe, and (3) projecting future mortality under varying climate and socioeconomic scenarios. In the first part, a systematic review of quantitative observational studies is conducted using Web of Science and Scopus, following PRISMA guidelines. The second study involves an empirical analysis of Eurostat sub-national mortality data for adults aged 65 and above across 30 European countries (2014–2023) based on Poisson fixed-effects regression. In the third study, future projections of temperature-related mortality outcomes for 28 European countries are performed using socioeconomic and greenhouse gas emissions (SSP–RCP) scenarios. Key findings from the systematic literature review highlight</w:t>
      </w:r>
    </w:p>
    <w:p>
      <w:r>
        <w:t>POSSIBLE 2025: Prevalence of Glaucoma in Europe and Projections to 2050 — https://doi.org/10.1016/j.ophtha.2025.06.002</w:t>
      </w:r>
    </w:p>
    <w:p>
      <w:r>
        <w:t>Shared claim-specific concepts: projections, population, people, assess; EU scope visible. This is a provisional connection, not an outcome finding.</w:t>
      </w:r>
    </w:p>
    <w:p>
      <w:r>
        <w:t>Available abstract (not full text): PURPOSE: To provide updated glaucoma prevalence estimates and to quantify the current and future burden of disease in Europe. DESIGN: Two-stage, individual participant data meta-analysis. PARTICIPANTS: We included 55 415 adults ≥40 years of age (mean age, 65.6 years; 53.9% women) from 14 population-based studies (1991-2020) with case ascertainment based on direct ophthalmic examination. METHODS: Within each study, age- and sex-stratified glaucoma prevalence was calculated, before pooling results using random-effects meta-analysis and performing age standardization. Meta-regression and subgroup analyses were used to assess for temporal trends and to investigate heterogeneity across clinically relevant subgroups. Estimates were applied to European population projections to predict the number of individuals with glaucoma. MAIN OUTCOME MEASURES: Age-standardized prevalence (European Standard Population, 2013) of total and previously undiagnosed glaucoma for individuals ≥40 years of age and annual projected number of glaucoma cases (UN World Population Prospects, 2022) in Europe to 2050. RESULTS: Overall, 2021 participants (3.65%) received a diagnosis of glaucoma with an age-standardized European prevalence of 2.99% (95% confidence interval [CI], 2.86%-3.12%). Older age (odds ratio [OR], 1.32 per 5-year increase; 95% CI, 1.29-1.36; P &lt; 0.001) and male sex (OR, 1.18; 95% CI, 1.08-1.3</w:t>
      </w:r>
    </w:p>
    <w:p>
      <w:r>
        <w:t>POSSIBLE 2025: High-resolution income projections over the 21st century in Europe consistent with the Shared Socioeconomic Pathways — https://doi.org/10.1088/1748-9326/adcb53</w:t>
      </w:r>
    </w:p>
    <w:p>
      <w:r>
        <w:t>Shared claim-specific concepts: projections, population, people; EU scope visible. This is a provisional connection, not an outcome finding.</w:t>
      </w:r>
    </w:p>
    <w:p>
      <w:r>
        <w:t>Available abstract (not full text): Abstract Climate risk in Europe is unevenly distributed among the population and is projected to increase substantially over the 21st century due to evolving climatic and socioeconomic conditions. Projections of vulnerability drivers, such as income distribution, are needed for assessing future climate risk. In Europe, existing studies typically rely on inadequate proxies, such as gross domestic product per capita, to account for future vulnerability associated with income levels. This study presents a novel top–down iterative methodology to produce decadal, high-resolution (1 km) maps of disposable income across Europe for the 21st century consistent with the Shared Socioeconomic Pathways (SSPs). More specifically, our method aligns with SSP narratives on future economic growth, income distribution, population dynamics and settlement expansion. We illustrate two possible applications of these projections by analysing future shifts in income distribution and estimating the evolution of the number of people at risk of poverty across different development pathways. In highly unequal pathways (SSP3 and SSP4), poverty levels across Europe are projected to increase significantly, with over 30% of the population at risk of poverty by 2100. On the other hand, pathways with high economic growth, specifically SSP1 and SSP5, result in a decrease in poverty rates. This dataset can serve a</w:t>
      </w:r>
    </w:p>
    <w:p>
      <w:r>
        <w:t>POSSIBLE 2025: The burden of informal family caregiving in Europe, 2000–2050: a microsimulation modelling study — https://doi.org/10.1016/j.lanepe.2025.101295</w:t>
      </w:r>
    </w:p>
    <w:p>
      <w:r>
        <w:t>Shared claim-specific concepts: eurostat, projections, indicate, union, population, share; EU scope visible. This is a provisional connection, not an outcome finding.</w:t>
      </w:r>
    </w:p>
    <w:p>
      <w:r>
        <w:t>Available abstract (not full text):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r>
        <w:t>POSSIBLE 2023: European projections of West Nile virus transmission under climate change scenarios — https://doi.org/10.1016/j.onehlt.2023.100509</w:t>
      </w:r>
    </w:p>
    <w:p>
      <w:r>
        <w:t>Shared claim-specific concepts: projections, population, people; EU scope visible. This is a provisional connection, not an outcome finding.</w:t>
      </w:r>
    </w:p>
    <w:p>
      <w:r>
        <w:t>Available abstract (not full text):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pPr>
        <w:pStyle w:val="Heading2"/>
      </w:pPr>
      <w:r>
        <w:t>Czech Republic as A Deferring Factor for European Union to Achieve Climate Change Measures</w:t>
      </w:r>
    </w:p>
    <w:p>
      <w:r>
        <w:t>Original source (2022): https://doi.org/10.7454/jsgs.v5i2.1099</w:t>
      </w:r>
    </w:p>
    <w:p>
      <w:r>
        <w:t>Original wording (abstract; indexed_source_text_not_full_document_verified): The researcher conducts an analysis based on two research questions: what are causal factors for Czech Republic yet to decide on phasing out coal-fired power plant and what impact will it have on the EU's efforts to reduce greenhouse gas emissions by 2030 and become fully carbon neutral by 2050.</w:t>
      </w:r>
    </w:p>
    <w:p>
      <w:r>
        <w:t>POSSIBLE 2026: European Researcher — https://doi.org/10.13187/issn.2219-8229</w:t>
      </w:r>
    </w:p>
    <w:p>
      <w:r>
        <w:t>Shared claim-specific concepts: researcher, based, gas; EU scope visible. This is a provisional connection, not an outcome finding.</w:t>
      </w:r>
    </w:p>
    <w:p>
      <w:r>
        <w:t>Available abstract (not full text): The container gas transportation for low and medium level consumers as an alternative to pipelines is considered. The options for gas supply schemes, based on road and rail transport are given. The advantages and disadvantages of both types of gas transporting are described, the areas of their effective using are separated in the article. Promising implementations of technology in environment of economic crisis and also considering world trends of energy development are presented. The most advanced organization of compressed gas condensate transportation of unprepared gas fields in large diameter universal cylindrical balloons (up to 1000 mm) are reasoned. The problem of compressed gas sea transportation are well disclosed, but the alternative ways of gas transportation by land are not investigated enough. Compressed Natural Gas (CNG) Technology - is new promising technology for natural gas transportation by specially designed vessels – CNG-vessels. The feature of this technology is that natural gas can be downloaded directly near gas deposits and unloaded - directly into the customer's network. This eliminates significant capital investments in underwater pipelining or gas liquefaction plants. The main objects of investment are CNG-vessels themselves. The most attractive places for implementation of CNG-technology are sea (offshore) natural gas deposits. Numerous international</w:t>
      </w:r>
    </w:p>
    <w:p>
      <w:r>
        <w:t>POSSIBLE 2024: Contemporary European conducting process: educational models — https://doi.org/10.34064/khnum1-72.05</w:t>
      </w:r>
    </w:p>
    <w:p>
      <w:r>
        <w:t>Shared claim-specific concepts: based, two, out; EU scope visible. This is a provisional connection, not an outcome finding.</w:t>
      </w:r>
    </w:p>
    <w:p>
      <w:r>
        <w:t>Available abstract (not full text): Statement of the problem. The process of transformation of modern conducting art as a phenomenon of today’s musical culture is characterized by multi-vector nature. Beside specifically musical skills, the art of conducting synthesizes a whole range of others ones, including comprehension of organizational and communication processes, openness to mastering modern electronic and digital technologies, knowledge of foreign languages. All this implies a thorough training of the future specialist. Considering the scale of the above components, as well as the significant role of them in the formation of an opera and symphony conductor, it is relevant to reveal the process of mastering this profession at the current stage. Objectives, methods, and novelty of the research. The purpose of the study is a theoretical justification of the principles of professional training of opera and symphony conductors of the 21st century in higher education institutions of Ukraine and Italy. The leading method of research in this article is the method of comparative analysis, which makes it possible to assess the advantages and disadvantages of European and domestic education systems in the field of professional training of opera and symphony conductors. The scientific novelty of the study is due to the fact that a comparative analysis of two educational models of opera and orchestra conducting, in Ita</w:t>
      </w:r>
    </w:p>
    <w:p>
      <w:r>
        <w:t>POSSIBLE 2023: Promoting schizophrenia research in Europe: the contribution of the European Group for Research in Schizophrenia — https://doi.org/10.1002/wps.21100</w:t>
      </w:r>
    </w:p>
    <w:p>
      <w:r>
        <w:t>Shared claim-specific concepts: based, two, czech, republic; EU scope visible. This is a provisional connection, not an outcome finding.</w:t>
      </w:r>
    </w:p>
    <w:p>
      <w:r>
        <w:t>Available abstract (not full text): The European Group for Research in Schizophrenia (EGRIS) was founded in the late 1990s to develop strategies for the promotion and coordination of schizophrenia research in Europe. The founding members were W. Fleischhacker (Austria), J. Peuskens (Belgium), D. Naber (Germany), I. Bitter (Hungary), J. Gerlach (Denmark), J.-J. Lopez-Ibor (Spain), S. Galderisi (Italy), J. Libiger (Czech Republic), M. Paes de Sousa (Portugal) and T. Burns (UK). W. Fleischhacker was the chairperson of the group, and J. Peuskens the co-chair. The primary aim of the group was to encourage independent collaboration in schizophrenia research across Europe, by identifying research gaps, exploring innovative approaches, and favoring "technology transfer" across centers joining the research proj- ects designed by the group. The group met two times per year. Open as well as in-depth scientific discussions, together with a friendly and pleasant atmosphere, characterized the meetings. The group discussed drafts of research protocols prepared and presented by one or more members, sometimes enriching them or, more often, after an in-depth discussion, either tabling them until the next meeting, with some suggestions for revision, or rejecting them. Of the many protocols drafted and discussed during the meetings, very few survived the criticisms of the group members and were proposed to external bodies for fundin</w:t>
      </w:r>
    </w:p>
    <w:p>
      <w:pPr>
        <w:pStyle w:val="Heading2"/>
      </w:pPr>
      <w:r>
        <w:t>Efficiency of the European Union farm types: Scenarios with and without the 2013 CAP measures</w:t>
      </w:r>
    </w:p>
    <w:p>
      <w:r>
        <w:t>Original source (2022): https://doi.org/10.1515/opag-2022-0071</w:t>
      </w:r>
    </w:p>
    <w:p>
      <w:r>
        <w:t>Original wording (abstract; indexed_source_text_not_full_document_verified): We analyse the evolution of the EU farm types in the last two decades with significant scenario changes like two large common agricultural policy (CAP) reforms (2003 and 2013) and suggest new approaches to the design for future measures. The analysis of these impacts may bring relevant insights, especially, for adjustments in the design of future strategies and plans.</w:t>
      </w:r>
    </w:p>
    <w:p>
      <w:r>
        <w:t>POSSIBLE 2026: ANALYSIS OF FARMS IN ROMANIA IN THE CONTEXT OF THE EUROPEAN UNION — https://doi.org/10.46793/zbiep25.153ms</w:t>
      </w:r>
    </w:p>
    <w:p>
      <w:r>
        <w:t>Shared claim-specific concepts: analyse, evolution, large, agricultural; EU scope visible. This is a provisional connection, not an outcome finding.</w:t>
      </w:r>
    </w:p>
    <w:p>
      <w:r>
        <w:t>Available abstract (not full text): The current state of the economy and society in the Romanian agricultural sector, as well as the development of rural space, are, to a large extent, influenced by the country’s agrarian structure, which is deeply not adapted to the requirements of a modern agriculture, capable of ensuring food safety and security. This situation is mainly the result of the ineficient or defective application of land laws in Romania, which negatively affects productivity, land redistribution, and sustainable development of rural areas. The authors of the paper comparatively analyse the situation of agricultural farms in Romania in the context of the EU. The analysis highlights that the evolution and differences in the structure of farms in the EU vary from one country to another. In order to remedy these problems, a profound reform of the legislative framework and agricultural practices is necessary in Romania, oriented towards the consolidation of agricultural households and the implementation of policies that promote the sustainability and competitiveness of the Romanian agricultural sector.</w:t>
      </w:r>
    </w:p>
    <w:p>
      <w:r>
        <w:t>POSSIBLE 2026: Historical Evolution of Farm Machinery in Bangladesh: A Review — https://doi.org/10.61361/jambe.v10i1.157</w:t>
      </w:r>
    </w:p>
    <w:p>
      <w:r>
        <w:t>Shared claim-specific concepts: evolution, farm, significant, agricultural; EU scope not established. This is a provisional connection, not an outcome finding.</w:t>
      </w:r>
    </w:p>
    <w:p>
      <w:r>
        <w:t>Available abstract (not full text): Bangladesh has undergone one of the most significant agricultural transformations in South Asia, driven by the rapid evolution of farm machinery since the mid- 20th century. From a purely manual and animal-driven farming system to a modernized agricultural landscape characterized by power tillers, tractors, combine harvesters, mechanical irrigation, and emerging digital tools. Farm mechanization has reshaped production practices, rural labour dynamics, and food security. This historical review synthesizes existing research, national policies, sectoral reports, and development project documents to examine the chronological evolution of farm machinery in Bangladesh. The study identifies four key phases: pre-mechanization (before 1960), early mechanization (1960-1990), rapid mechanization (1990-2010), and advanced mechanization with modern and digital integration (2010-present). It explores the technological drivers, socio-economic influences, and institutional roles behind this transformation. The review highlights significant gains in productivity, expansion of irrigated area, labour savings, and growth of rural machinery service market. Despite these achievements, challenges remain in land fragmentation, import dependency, sustainability of diesel-based machinery, and shortage of skilled operators. The paper concludes by suggesting directions for future research and policy, foc</w:t>
      </w:r>
    </w:p>
    <w:p>
      <w:r>
        <w:t>POSSIBLE 2026: Contract Design for "Enterprise+Farmer" Sharecropping Family Farms — A Comparison of Institutional Evolution in American and French Family Farms — https://doi.org/10.62177/apemr.v3i1.1034</w:t>
      </w:r>
    </w:p>
    <w:p>
      <w:r>
        <w:t>Shared claim-specific concepts: evolution, farm, two, agricultural, design; EU scope visible. This is a provisional connection, not an outcome finding.</w:t>
      </w:r>
    </w:p>
    <w:p>
      <w:r>
        <w:t>Available abstract (not full text): In the process of agricultural modernization in the United States and France, land concentration and farm mergers have been carried out. However, due to the differences in the initial conditions of land resource endowment and the dependence on the path of institutional development, the two countries have formed different institutional evolution results. China's agricultural development urgently needs to take the road of scale. Based on the existing agricultural basic conditions, small and medium-sized family farms have become a realistic choice. However, compared with professional farmers in developed countries, small farmers in China have congenital shortcomings, and it is difficult to spontaneously grow into the main body of modern large-scale agricultural business. The "enterprise + farmers" proposed in this article is divided into a cooperation model. Enterprises provide all-round support to small farmers with their capital, technical and management advantages, providing an important growth path for small farmers to grow into family farms, which will become the main organizational form of China's agricultural modernization suitable for national conditions.</w:t>
      </w:r>
    </w:p>
    <w:p>
      <w:r>
        <w:t>POSSIBLE 2024: On Farm Non-Agricultural Activities: Recent Evolution and Dynamics in Portugal — https://doi.org/10.30682/nm2404d</w:t>
      </w:r>
    </w:p>
    <w:p>
      <w:r>
        <w:t>Shared claim-specific concepts: analyse, evolution, farm, insights; EU scope visible. This is a provisional connection, not an outcome finding.</w:t>
      </w:r>
    </w:p>
    <w:p>
      <w:r>
        <w:t>Available abstract (not full text): An increasing share of farmer revenues derives from on-farm non-agricultural activities (OFNAA), which constitute a complement to the farmer’s income and can function as a factor for the development of farms, enhancing the endogenous resources of the territories and contributing to the multifunctionality of rural areas. Therefore, it is important to understand the importance of these non-agriculture activities in the territory, their diversification, spatial trends at local level and the relation with farm’s orientation. This paper intends to analyse the OFNAA, using as object of study the Portuguese municipalities. In order to analyse the diversification of the OFNAA, a diversification index based on entropy is proposed. The relationships between OFNAA diversification and the farms’ technical-economic orientation (TEO) are also analysed using correlation matrixes, while the spatial patterns are studied, using the global Moran I and local Moran-LISA. The results provide important insights of the OFNAA dynamics and diversification. Therefore, this study provides an important tool for policy management and implementation.</w:t>
      </w:r>
    </w:p>
    <w:p>
      <w:r>
        <w:t>POSSIBLE 2024: The eco-social aspects of the European Green Deal and the Farm to Fork — https://doi.org/10.1177/14680181241261068</w:t>
      </w:r>
    </w:p>
    <w:p>
      <w:r>
        <w:t>Shared claim-specific concepts: analyse, farm, two, measures; EU scope visible. This is a provisional connection, not an outcome finding.</w:t>
      </w:r>
    </w:p>
    <w:p>
      <w:r>
        <w:t xml:space="preserve">Available abstract (not full text): With the publication of the European Green Deal (EGD) in December 2019, the European Union (EU) has recognised a link between environmental and social challenges and the need to tackle them together. A body of literature publishing under the umbrella concept of sustainable welfare and the term eco-social policies has acknowledged the environmental and social nexus and has been characterised by six prominent eco-social aspects namely, the integration between environmental and social policy goals, their link with economic growth, just transition, redistribution and compensation, citizens’ participation, and the state’s role. However, an in-depth analysis of the eco-social aspects contained in recent European policy documents that can be traced back to the eco-social literature is missing. To address this gap, this article focuses on two policy documents considered at the heart of the European ambition of achieving carbon neutrality by 2050, namely the EGD Communication and the Farm to Fork (F2F) Strategy. The article applies a document content analysis of these two documents and uses the six eco-social aspects as a heuristic to analyse and provide descriptive examples of the EGD and the F2F. The content analyses of these documents reveal several elements that advance the understanding of recent EU policies from an eco-social perspective. The study provides knowledge of envisaged </w:t>
      </w:r>
    </w:p>
    <w:p>
      <w:r>
        <w:t>POSSIBLE 2024: The Evolution of Family Farms in Poland: Present Time and the Weight of the Past — https://doi.org/10.12775/eec-2016-0002</w:t>
      </w:r>
    </w:p>
    <w:p>
      <w:r>
        <w:t>Shared claim-specific concepts: evolution, farm, two, decades, agricultural, cap; EU scope visible. This is a provisional connection, not an outcome finding.</w:t>
      </w:r>
    </w:p>
    <w:p>
      <w:r>
        <w:t>Available abstract (not full text): The author provides an analysis of family farming in Poland during the period 1990-2012, with special attention towards the close links of ownership and the operation of the farm by family members. The weight of various factors is given close attention, including the historical context of the farm, current conditions, and future intentions for the farm. The historical context acknowledges and stresses the importance of the late abolition of serfdom made by the partitioning powers, various agricultural reforms during the period 1919-1944, and the period 1948-1989 (when family farming was incorporated into a deficient centrally planned economy). This latter period saw family farms developing specific mechanisms of functioning, which can be seen two decades later. Analysis of the period 1990-2012 is based on data of the Central Statistical Office, the present study, and other published materials. The data series includes individual farms of more than 1 ha, based on family labour. Separated are two sub-periods: the post-communist transformation period from the early 1990s, and the period 2002-2012. The latter almost coincides with the accession to the EU. In the first period, the article outlines the process of creating duality in Polish agriculture. This describes a group of family farms where the household strongly reacted to the market and became larger and modernised (professio</w:t>
      </w:r>
    </w:p>
    <w:p>
      <w:r>
        <w:t>POSSIBLE 2024: Why do corporate farms survive in Central and Eastern Europe? — https://doi.org/10.1016/j.agsy.2024.103965</w:t>
      </w:r>
    </w:p>
    <w:p>
      <w:r>
        <w:t>Shared claim-specific concepts: farm, significant, large, agricultural, relevant; EU scope visible. This is a provisional connection, not an outcome finding.</w:t>
      </w:r>
    </w:p>
    <w:p>
      <w:r>
        <w:t>Available abstract (not full text): This article examines the process of the transformation of agricultural systems in post-communist Central and Eastern European (CEE) countries. It focuses on the survival of large agricultural firms, known as corporate farms, during periods of economic liberalization, privatization, land reform, and the restructuring of economies and the agricultural sector. The survival of corporate farms plays a significant role in driving structural changes within the farming sector and facilitating the transition from centrally planned to market-driven farming systems in the respective countries. The study investigates the factors correlated to the survival of corporate farms based on cross-country data analysis for 17 CEE countries. The survival of corporate farms can be correlated with a combination of farm-specific characteristics, sector-specific factors within the agricultural industry, country-specific natural and other resource endowments, and external factors related to a conducive economic environment. The study examines the viability of corporate farms by utilizing a comprehensive dataset encompassing 17 CEE countries between 2007 and 2019. The accelerated failure time model is employed to estimate the survival probabilities of these farms. The study uses the Nelson-Aalen estimator to calculate the cumulative hazard function and Kaplan-Meier survival function. Additionally, the ba</w:t>
      </w:r>
    </w:p>
    <w:p>
      <w:r>
        <w:t>POSSIBLE 2024: High pathogenic avian influenza A(H5) viruses of clade 2.3.4.4b in Europe—Why trends of virus evolution are more difficult to predict — https://doi.org/10.1093/ve/veae027</w:t>
      </w:r>
    </w:p>
    <w:p>
      <w:r>
        <w:t>Shared claim-specific concepts: evolution, two; EU scope visible. This is a provisional connection, not an outcome finding.</w:t>
      </w:r>
    </w:p>
    <w:p>
      <w:r>
        <w:t xml:space="preserve">Available abstract (not full text): Since 2016, A(H5Nx) high pathogenic avian influenza (HPAI) virus of clade 2.3.4.4b has become one of the most serious global threats not only to wild and domestic birds, but also to public health. In recent years, important changes in the ecology, epidemiology, and evolution of this virus have been reported, with an unprecedented global diffusion and variety of affected birds and mammalian species. After the two consecutive and devastating epidemic waves in Europe in 2020-2021 and 2021-2022, with the second one recognized as one of the largest epidemics recorded so far, this clade has begun to circulate endemically in European wild bird populations. This study used the complete genomes of 1,956 European HPAI A(H5Nx) viruses to investigate the virus evolution during this varying epidemiological outline. We investigated the spatiotemporal patterns of A(H5Nx) virus diffusion to/from and within Europe during the 2020-2021 and 2021-2022 epidemic waves, providing evidence of ongoing changes in transmission dynamics and disease epidemiology. We demonstrated the high genetic diversity of the circulating viruses, which have undergone frequent reassortment events, providing for the first time a complete overview and a proposed nomenclature of the multiple genotypes circulating in Europe in 2020-2022. We described the emergence of a new genotype with gull adapted genes, which offered the </w:t>
      </w:r>
    </w:p>
    <w:p>
      <w:r>
        <w:t>POSSIBLE 2024: Assessment of Cleaning and Disinfection Practices on Pig Farms across Ten European Countries — https://doi.org/10.3390/ani14040593</w:t>
      </w:r>
    </w:p>
    <w:p>
      <w:r>
        <w:t>Shared claim-specific concepts: measures, relevant, insights; EU scope visible. This is a provisional connection, not an outcome finding.</w:t>
      </w:r>
    </w:p>
    <w:p>
      <w:r>
        <w:t>Available abstract (not full text): This study delves into the assessment of cleaning and disinfection (C&amp;D) measures within the context of European pig farming, employing the Biocheck.UGent™ tool as an effective instrument for evaluation. A comprehensive set of relevant parameters was examined to enable meaningful comparisons across farms from 10 European countries during four years (2019-2022). Findings indicate a notable increase in C&amp;D measure implementation in select countries (Belgium, Finland, Italy, and Spain), reflecting heightened awareness and responsibility among farmers. Additionally, the overall score for the C&amp;D subcategory highlights variation across countries, with Italy (75), Poland (74), and Belgium (72) displaying the highest scores, while Ireland (56), Slovenia (55), and Serbia (50) reported the lowest scores. However, the considerable variation in the number of participating farms necessitates cautious comparisons. The study identifies well-implemented C&amp;D measures in the frame of external biosecurity but underscores gaps in the application of C&amp;D measures for the material introduction practices across farms (22% of farms), which are attributed to awareness gaps and resource limitations. In the areas of internal biosecurity, strong points include C&amp;D procedures after each production cycle (79%), implementing different stages in the C&amp;D process (65%) and sufficient sanitary break (82%), while</w:t>
      </w:r>
    </w:p>
    <w:p>
      <w:r>
        <w:t>POSSIBLE 2023: Farm typologies for understanding farm systems and improving agricultural policy — https://doi.org/10.1016/j.agsy.2023.103800</w:t>
      </w:r>
    </w:p>
    <w:p>
      <w:r>
        <w:t>Shared claim-specific concepts: farm, types, two, common, agricultural, design; EU scope not established. This is a provisional connection, not an outcome finding.</w:t>
      </w:r>
    </w:p>
    <w:p>
      <w:r>
        <w:t>Available abstract (not full text): Farm typologies help to identify patterns across a wide range of farm systems and describe heterogeneity in agriculture concisely. They can also support the design of agricultural policies by providing information and knowledge about policy target groups. For example, voluntary agri-environmental schemes could be tailored to specific agricultural landscapes and farm types. Farm typologies, however, are often developed from scratch, with limited connection to previous studies and policy making. The objective of this study is to clarify the purposes of farm typologies in research and agricultural policy making and to develop a framework that allows to increase the usefulness and usability of farm typologies for agricultural policy making. Based on a review of 13 systematically identified overview studies on farm typologies, we develop a framework that establishes connections between the purposes of farm typologies along the different stages of the policy process. We find multiple purposes for farm typologies, the two most common of which are for understanding the characteristics, heterogeneity, and development of farm systems and for policy making. The newly developed framework suggests that connecting knowledge across these purposes could improve the validity, transferability, and relevance of farm typologies for agricultural policy making. Our framework also provides an entry p</w:t>
      </w:r>
    </w:p>
    <w:p>
      <w:pPr>
        <w:pStyle w:val="Heading2"/>
      </w:pPr>
      <w:r>
        <w:t>Eliciting knowledge from stakeholders to identify critical issues of the transition to climate neutrality in Greece, the Nordic Region, and the European Union</w:t>
      </w:r>
    </w:p>
    <w:p>
      <w:r>
        <w:t>Original source (2022): https://doi.org/10.1016/j.erss.2022.102836</w:t>
      </w:r>
    </w:p>
    <w:p>
      <w:r>
        <w:t>Original wording (abstract; indexed_source_text_not_full_document_verified): They also reveal cross-cutting issues and challenges among the three case studies, which could lead to further improvement of the cross-country collaboration to foster the European energy transition. The European Union's commitment to climate neutrality by 2050 requires a better understanding of the energy transition in different contexts and scales to improve cooperation of involved actors.</w:t>
      </w:r>
    </w:p>
    <w:p>
      <w:r>
        <w:t>POSSIBLE 2026: Cultural Production Reveals Transitions to Sustained Human Development in both European and Non-European Societies — https://openalex.org/W7124669595</w:t>
      </w:r>
    </w:p>
    <w:p>
      <w:r>
        <w:t>Shared claim-specific concepts: also, reveal, understanding; EU scope visible. This is a provisional connection, not an outcome finding.</w:t>
      </w:r>
    </w:p>
    <w:p>
      <w:r>
        <w:t>Available abstract (not full text): Sustained human development is often seen as a recent phenomenon, primarily linked to Europe's Industrial Revolution. This perspective has shaped much of our historical understanding, but it relies on a limited set of economic indicators with restricted temporal and geographic coverage. In this article, we introduce Cultural Production as a complementary proxy for human development, particularly suited to long-term and cross-regional comparisons. Cultural production reflects the extent to which societies enable individuals to acquire knowledge, develop skills, and contribute to intellectual and artistic life-conditions closely tied to education, health, material security, and institutional support. We construct a global dataset tracking 122,634 distinct cultural producers (e.g., scientists, artists, writers) and apply ecological methods to estimate the number of unrecorded figures, correcting for differential survivorship bias. The resulting measure enables a broader and deeper reconstruction of human development across time and space. Our results challenge the prevailing view that meaningful development began only in modern Europe. We confirm that Western Europe experienced continuous gains from the 11th century onward, but we also uncover sustained growth in non-Western regions long before the 19th century. Japan shows multiple developmental phases, including a continuous ris</w:t>
      </w:r>
    </w:p>
    <w:p>
      <w:r>
        <w:t>POSSIBLE 2026: Spatio-Temporal Diagnostics Reveal Early Signals of Sand Fly Range Shift in Europe — https://doi.org/10.5194/egusphere-egu26-18432</w:t>
      </w:r>
    </w:p>
    <w:p>
      <w:r>
        <w:t>Shared claim-specific concepts: also, reveal, further, climate; EU scope visible. This is a provisional connection, not an outcome finding.</w:t>
      </w:r>
    </w:p>
    <w:p>
      <w:r>
        <w:t>Available abstract (not full text): Climate change is reshaping the distribution of vector-borne disease risk in Europe by altering the environmental suitability and phenology of disease vectors such as phlebotomine sand flies, which transmit leishmaniasis. Despite regional observational evidence of sand fly range expansion from Mediterranean areas toward more temperate latitudes, quantitative multi-year diagnostics of such shifts remain limited. Building on the Sand Flies Extreme Prediction Population (FEPO) model, which provides high-resolution daily predictions of sand fly densities across Europe, we introduce a suite of spatio-temporal diagnostics to quantify distributional shifts in density predictions.We applied these diagnostics to FEPO output for 2021 and 2022 across four Phlebotomus species (P. papatasi, P. perniciosus, P. sergenti, and P. tobbi), using a threshold-based occupancy metric, a density-weighted centroid, and the 95th-percentile front latitude as indicators of spatial redistribution. Using mid-month sampling (one day per month) to balance computational efficiency with seasonal coverage, we detect consistent northward shifts between the two years. Centroid latitude increased by approximately 0.09–0.39° (about 11–44 km) across species, while the 95th-percentile front latitude advanced by approximately 0.17–0.49° (about 19–54 km). The occupied area exceeding a density threshold of 0.1 (model uni</w:t>
      </w:r>
    </w:p>
    <w:p>
      <w:r>
        <w:t>POSSIBLE 2025: Landscape reconstructions for Europe during the late Last Glacial (60–20 ka BP): a pollen-based REVEALS approach — https://doi.org/10.5194/essd-17-5997-2025</w:t>
      </w:r>
    </w:p>
    <w:p>
      <w:r>
        <w:t>Shared claim-specific concepts: also, three, further, climate, requires, better; EU scope visible. This is a provisional connection, not an outcome finding.</w:t>
      </w:r>
    </w:p>
    <w:p>
      <w:r>
        <w:t xml:space="preserve">Available abstract (not full text): Abstract. Vegetation change during the Last Glacial period in Europe plays a crucial role in better understanding the ecosystem dynamics response to abrupt climate change. Yet, quantitative reconstructions of land-cover primarily focus on the Holocene period and aim to disentangle the impact of anthropogenic and climatic stress on the vegetation. Here, we present temporally continuous land-cover reconstructions from Europe for the latter half of the Last Glacial period (60–20 ka BP) using the “Regional Estimates of Vegetation Abundance from Large Sites” (REVEALS) model. The pollen-based REVEALS model uniquely factors in plant-specific parameters, such as relative pollen productivity (RPP) and pollen fall speed to model pollen dispersal and thus provides more accurate representation of past vegetation cover than fossil pollen data. We compiled a total of 61 datasets from Europe and its bordering regions to model land-cover estimates across 60 time steps in 1000 year increments. By grouping the 38 analysed taxa into 5 land-cover types (LCTs), we simplify the interpretation of our results and demonstrate this using three crucial periods during the Last Glacial: Greenland Interstadial 14 (GI-14), Greenland Stadial 9 (GS-9), and the Last Glacial Maximum (LGM). These periods provide insight into stadial-interstadial vegetation variability as well as extreme glacial conditions, which </w:t>
      </w:r>
    </w:p>
    <w:p>
      <w:r>
        <w:t>POSSIBLE 2024: Assessing nitrate groundwater hotspots in Europe reveals an inadequate designation of Nitrate Vulnerable Zones — https://doi.org/10.1016/j.chemosphere.2024.141830</w:t>
      </w:r>
    </w:p>
    <w:p>
      <w:r>
        <w:t>Shared claim-specific concepts: also, reveal, union; EU scope visible. This is a provisional connection, not an outcome finding.</w:t>
      </w:r>
    </w:p>
    <w:p>
      <w:r>
        <w:t>Available abstract (not full text): Monitoring networks show that the European Union Nitrates Directive (ND) has had mixed success in reducing nitrate concentrations in groundwater. By combining machine learning and monitored nitrate concentrations (1992–2019), we estimate the total area of nitrate hotspots in Europe to be 401,000 km2, with 47% occurring outside of Nitrate Vulnerable Zones (NVZs). We also found contrasting increasing or decreasing trends, varying per country and time periods. We estimate that only 5% of the 122,000 km2 of hotspots in 2019 will meet nitrate quality standards by 2040 and that these may be offset by the appearance of new hotspots. Our results reveal that the effectiveness of the ND is limited by both time-lags between the implementation of good practices and pollution reduction and an inadequate designation of NVZs. Significant improvements in the designation and regulation of NVZs are necessary, as well as in the quality of monitoring stations in terms of spatial density and information available concerning sampling depth, if the objectives of EU legislation to protect groundwater are to be achieved.</w:t>
      </w:r>
    </w:p>
    <w:p>
      <w:r>
        <w:t>POSSIBLE 2023: Testing the Effect of Relative Pollen Productivity on the REVEALS Model: A Validated Reconstruction of Europe-Wide Holocene Vegetation — https://doi.org/10.3390/land12050986</w:t>
      </w:r>
    </w:p>
    <w:p>
      <w:r>
        <w:t>Shared claim-specific concepts: issues, three, understanding; EU scope visible. This is a provisional connection, not an outcome finding.</w:t>
      </w:r>
    </w:p>
    <w:p>
      <w:r>
        <w:t>Available abstract (not full text):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r>
        <w:t>POSSIBLE 2023: Patterns of European Ant Communities Reveal a Functionally Coherent Holarctic Fauna — https://doi.org/10.3390/d15030341</w:t>
      </w:r>
    </w:p>
    <w:p>
      <w:r>
        <w:t>Shared claim-specific concepts: reveal, three, understanding; EU scope visible. This is a provisional connection, not an outcome finding.</w:t>
      </w:r>
    </w:p>
    <w:p>
      <w:r>
        <w:t>Available abstract (not full text): Here we examine the extent to which European patterns of ant diversity and functional composition conform with those documented in North America. Following protocols previously used in North America, ant species distribution and behavioural dominance were quantified at fifteen sites on two environmental gradients, one following elevation (140–1830 m) in France and the other tree cover (0–95%) in Denmark. Pitfall traps were used to assess species distributions, and behaviour at tuna baits was used to inform behavioural dominance. We specifically test three predictions based on North American patterns: (1) Species richness and overall levels of behavioural dominance will decline with increasing thermal stress. (2) Geographic patterns of key taxa in Europe will be consistent with those in North America. (3) Behavioural dominance of European taxa will be consistent with related taxa in North America. We then use our results to classify the European ant fauna into functional groups, as had been done for North American ants. Based on these functional groups, we analyse distributional patterns along our gradients and re-analyse ant community data from published studies to provide a more comprehensive understanding of the structure of European ant communities. Distributional and behavioural predictions of the European ant taxa were consistent with those in North America. Geographical p</w:t>
      </w:r>
    </w:p>
    <w:p>
      <w:r>
        <w:t>POSSIBLE 2023: The impact of board characteristics on environmentally friendly production: A cross country study in Asia and Europe — https://doi.org/10.1016/j.jclepro.2023.136257</w:t>
      </w:r>
    </w:p>
    <w:p>
      <w:r>
        <w:t>Shared claim-specific concepts: also, reveal, lead, further, better, understanding; EU scope visible. This is a provisional connection, not an outcome finding.</w:t>
      </w:r>
    </w:p>
    <w:p>
      <w:r>
        <w:t>Available abstract (not full text): The present study investigates the impact of board characteristics on environmentally friendly production. The current research uses secondary data extracted from the Refinitiv Eikon database. The data is extracted from the database for a sample of 8094 corporates from 2 continents, Asia and Europe, from 2016 to 2021. Panel data analysis with fixed effect models is used to estimate the results. The findings reveal that board size, independence, and industry expertise significantly impact environmentally friendly production. The results also indicate that board diversity correlates positively with environmentally friendly production in European corporates but negatively in Asian corporates. Findings show that the moderating role of environmental teams has a greater interaction effect with board characteristics in Europe than in Asia. Finally, the results also show that higher environmental performance and environmental, social, and governance scores lead to higher levels of environmentally friendly production. The study has valuable insights and implications for board members, practitioners, academicians, and policymakers. Further, the study contributes to the strand literature by investigating the role of environmental teams on the relationship between board characteristics and environmentally friendly production. The findings are supported by agency, legitimacy, and stakeholde</w:t>
      </w:r>
    </w:p>
    <w:p>
      <w:r>
        <w:t>POSSIBLE 2023: The European Universities Initiative and European spatial imaginaries — https://doi.org/10.1080/14767724.2023.2210515</w:t>
      </w:r>
    </w:p>
    <w:p>
      <w:r>
        <w:t>Shared claim-specific concepts: also, further, collaboration, different; EU scope visible. This is a provisional connection, not an outcome finding.</w:t>
      </w:r>
    </w:p>
    <w:p>
      <w:r>
        <w:t>Available abstract (not full text):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r>
        <w:t>POSSIBLE 2023: A scoping review of seismic risk communication in Europe — https://doi.org/10.3389/feart.2023.1155576</w:t>
      </w:r>
    </w:p>
    <w:p>
      <w:r>
        <w:t>Shared claim-specific concepts: they, also, reveal, transition, different; EU scope visible. This is a provisional connection, not an outcome finding.</w:t>
      </w:r>
    </w:p>
    <w:p>
      <w:r>
        <w:t>Available abstract (not full text):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pPr>
        <w:pStyle w:val="Heading2"/>
      </w:pPr>
      <w:r>
        <w:t>Emerging smart city, transport and energy trends in urban settings: Results of a pan-European foresight exercise with 120 experts</w:t>
      </w:r>
    </w:p>
    <w:p>
      <w:r>
        <w:t>Original source (2022): https://doi.org/10.1016/j.techfore.2022.121915</w:t>
      </w:r>
    </w:p>
    <w:p>
      <w:r>
        <w:t>Original wording (abstract; indexed_source_text_not_full_document_verified): In this work, we explore how the domains of smart cities, smart transport, and smart energy will evolve until 2030 from a scientific and technological perspective, as a means to inform future policies for urban development in Europe. According to our empirical findings, there will be several speedy and structural changes in the three domains: we were able to identify a set of 18 statements that are highly probable to become reality in the next decade, whereas 17 statements were classified as plausible but not highly probable, and three statements raised controversiality.</w:t>
      </w:r>
    </w:p>
    <w:p>
      <w:r>
        <w:t>POSSIBLE 2026: Diversity management in European companies: intersectionality and individual experiences of bias at work — https://doi.org/10.4337/9781035361243.00012</w:t>
      </w:r>
    </w:p>
    <w:p>
      <w:r>
        <w:t>Shared claim-specific concepts: work, domains, findings, structural; EU scope visible. This is a provisional connection, not an outcome finding.</w:t>
      </w:r>
    </w:p>
    <w:p>
      <w:r>
        <w:t>Available abstract (not full text): This chapter explores diversity management viewed by working individuals with diverse identities, depicting how identity shapes work experiences in European companies, predominantly small- and medium-sized enterprises (SMEs). Drawing on Intersectionality as a theoretical and analytical lens, we analyse survey data from Austria, Finland, Germany, and Lithuania to examine how diverse individuals experience fairness and opportunities in human resource management domains, such as recruitment, inclusion at work, career advancement, access to training, promotions, and workplace adjustments. Our findings show that more complex profiles are not automatically associated with the most extreme levels of bias in every domain, while some less-complex profiles can still experience intense discrimination. We also identify some structural challenges to be addressed in European SMEs. Blending personal narratives and structural patterns, this chapter expands the approach to intersectionality research and provides managerial guidance on reducing bias at work and manage emerging demographic trends in Europe more effectively.</w:t>
      </w:r>
    </w:p>
    <w:p>
      <w:r>
        <w:t>POSSIBLE 2025: R-AI-diographers: exploring the changing professional role and identity of radiographers in Europe in the era of artificial intelligence — https://doi.org/10.1016/j.rcro.2024.100176</w:t>
      </w:r>
    </w:p>
    <w:p>
      <w:r>
        <w:t>Shared claim-specific concepts: work, domains, technological; EU scope visible. This is a provisional connection, not an outcome finding.</w:t>
      </w:r>
    </w:p>
    <w:p>
      <w:r>
        <w:t>Available abstract (not full text): Purpose: This study offers unique insights into the changing roles and identity of radiographers in the era of artificial intelligence (AI) and proposes ways by which to better support the workforce in the face of fast technological changes. Methods: A European-wide, cross-sectional study utilising a mixed methods online survey. Survey was translated from English into eight additional European languages. Snowball sampling allowed qualified radiographers, and radiography students, to answer the survey irrespective of their current professional role. The survey explored the following areas of interest: a) general radiographer demographics, b) how radiographers foresee the short-term impact of AI on radiographer roles, responsibilities and professional identity, c) the potential medium-to-long-term impact of AI on radiographer roles, d) perceived opportunities and threats of AI implementation for radiographers and e) the preparedness of radiographers to work with AI. Questions also captured radiographer opinions across three domains of radiographer responsibilities: patient care, technological skills and ‘other’ responsibilities. Results: A total of 2,208 valid responses from 37 different European and UK countries. 40.4% of radiographers disagree they will focus mainly on patient care with the implementation of AI but 47.8% agree they will have more time to spend with patients. 77</w:t>
      </w:r>
    </w:p>
    <w:p>
      <w:r>
        <w:t>POSSIBLE 2025: Exploring a high-level programming model for the NWP domain using ECMWF microphysics schemes — https://doi.org/10.5194/gmd-18-529-2025</w:t>
      </w:r>
    </w:p>
    <w:p>
      <w:r>
        <w:t>Shared claim-specific concepts: work, explore, scientific; EU scope visible. This is a provisional connection, not an outcome finding.</w:t>
      </w:r>
    </w:p>
    <w:p>
      <w:r>
        <w:t>Available abstract (not full text): Abstract. We explore the domain-specific Python library GT4Py (GridTools for Python) for implementing a representative physical parametrization scheme and the related tangent-linear and adjoint algorithms from the Integrated Forecasting System (IFS) of ECMWF. GT4Py encodes stencil operators in an abstract and hardware-agnostic fashion, thus enabling more concise, readable and maintainable scientific applications. The library achieves high performance by translating the application into targeted low-level coding implementations. Here, the main goal is to study the correctness and performance-portability of the Python rewrites with GT4Py against the reference Fortran code and a number of automatically and manually ported variants created by ECMWF. The present work is part of a larger cross-institutional effort to port weather and climate models to Python with GT4Py. The focus of the current work is the IFS prognostic cloud microphysics scheme, a core physical parametrization represented by a comprehensive code that takes a significant share of the total forecast model execution time. In order to verify GT4Py for Numerical Weather Prediction (NWP) systems, we put additional emphasis on the implementation and validation of the tangent-linear and adjoint model versions which are employed in data assimilation. We benchmark all prototype codes on three European supercomputers characte</w:t>
      </w:r>
    </w:p>
    <w:p>
      <w:r>
        <w:t>POSSIBLE 2025: Exploring the Cultural Domain of Hausa Colour Terms — https://doi.org/10.51732/njssh.v10i2.203</w:t>
      </w:r>
    </w:p>
    <w:p>
      <w:r>
        <w:t>Shared claim-specific concepts: according, findings, there; EU scope not established. This is a provisional connection, not an outcome finding.</w:t>
      </w:r>
    </w:p>
    <w:p>
      <w:r>
        <w:t>Available abstract (not full text): The study of colour terms has been an interesting phenomenon in linguistics. The power ofcolour terms to name and classify things, animals and persons in purely traditional way cannotbe over emphasized across cultures. Of course, there are universal tendencies on the nature ofcolour naming across languages but such universality does not apply to the socio-cultural aspectof all societies. This was supported by Durbin (1971), Casson (1994, 1997), Downman 92003),Bature (2005), Danladi (2010) and Aujara (2021) who believed that the size of colour vocabularyis certainly a measure of its cultural complexity, the smaller the vocabulary, the simpler thesociety. Hence, this paper examines the socio-cultural domain of colours terms in Hausasocieties. Hausa is a member of Afro- Asiatic family and is estimated to have about 1 billion L1users according to ethnologue .com. Purposeful Random Sampling and survey method wereused and 160 research subjects were selected from the speakers of Hausa language in Sokotostate to source data for the study. The findings, from 154 respondents, reveal that colour is verysignificant to Hausa culture as it cut across every aspect of socio-cultural, economic, political andreligious angles of a typical Hausa social group. It names and classifies traditional cloths anddomestic animals on one hand and describes/classifies people or race on the other. The paperal</w:t>
      </w:r>
    </w:p>
    <w:p>
      <w:r>
        <w:t>POSSIBLE 2024: A new perspective on balancing life domains: work–nonwork balance crafting — https://doi.org/10.1186/s12889-024-18646-z</w:t>
      </w:r>
    </w:p>
    <w:p>
      <w:r>
        <w:t>Shared claim-specific concepts: work, domains, perspective, findings; EU scope visible. This is a provisional connection, not an outcome finding.</w:t>
      </w:r>
    </w:p>
    <w:p>
      <w:r>
        <w:t>Available abstract (not full text): BACKGROUND: Self-initiated and proactive changes in working conditions through crafting are essential for shaping work and improving work-related well-being. Recently, the research stream of job crafting has been extended to other life domains. The present paper aims to study a novel crafting concept-work-nonwork balance crafting-investigating the role of its antecedents and identifying relevant outcomes. Work-nonwork balance crafting is defined as individuals' unofficial techniques and activities to shape their work-nonwork balance, here considering their life domain boundary preferences. METHODS: In the study, 1,060 employees in three European countries (Austria, Germany and Switzerland) were surveyed in a longitudinal three-wave study with three-month intervals. We explored the influences of job/home demands and resources as antecedents of work-nonwork balance crafting. Important constructs for employee health and well-being (i.e., work engagement, work-related burnout, mental well-being and detachment from work) were investigated as outcomes. RESULTS: The findings suggest that resources and demands in the context of work or home are key antecedents of work-nonwork balance crafting. Work-nonwork balance crafting was also predictive for important employee health and well-being outcomes over three months, mainly in a positive and health-promoting way. CONCLUSION: This study pr</w:t>
      </w:r>
    </w:p>
    <w:p>
      <w:r>
        <w:t>POSSIBLE 2024: Rights of Nature in Europe — https://doi.org/10.4324/9781003318989</w:t>
      </w:r>
    </w:p>
    <w:p>
      <w:r>
        <w:t>Shared claim-specific concepts: work, domains; EU scope visible. This is a provisional connection, not an outcome finding.</w:t>
      </w:r>
    </w:p>
    <w:p>
      <w:r>
        <w:t>Available abstract (not full text): This book addresses the recognition of the Rights of Nature (RoN) in Europe, examining their conceptualisation and implementation. RoN refers to a diverse set of legal developments that seek to redefine Nature's status within the law, gradually emerging as a novel template for environmental protection. Countries like Ecuador and New Zealand, each with distinct histories and ways of dwelling in the world, have pioneered a new era in environmental governance by legally acknowledging rights or personhood for nature, ecosystems, and more-than-human populations. In recent years, Europe has witnessed growing interest in RoN, with academic, legislative, and political initiatives gaining momentum. A significant development is the September 2022 passage of a law in the Spanish Parliament, granting legal personhood and rights to the Mar Menor, a saltwater lagoon severely affected by environmental degradation. Given the diversity in interpretations and articulations of ‘Rights of Nature’, this edited volume argues that their arrival in Europe fosters different kinds of interactions across distinct areas of law, knowledge, practices, and societal domains. The book employs a multidisciplinary approach, exploring these interactions in law and policy, anthropology, Indigenous worldviews and jurisprudence, philosophy, spiritual traditions, critical theory, animal communication, psychology, and</w:t>
      </w:r>
    </w:p>
    <w:p>
      <w:r>
        <w:t>POSSIBLE 2023: Exploring the effects of protected area networks on the European land system — https://doi.org/10.1016/j.jenvman.2023.117741</w:t>
      </w:r>
    </w:p>
    <w:p>
      <w:r>
        <w:t>Shared claim-specific concepts: explore, findings; EU scope visible. This is a provisional connection, not an outcome finding.</w:t>
      </w:r>
    </w:p>
    <w:p>
      <w:r>
        <w:t>Available abstract (not full text):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r>
        <w:t>POSSIBLE 2023: Exploring Gender Bias in Six Key Domains of Academic Science: An Adversarial Collaboration — https://doi.org/10.1177/15291006231163179</w:t>
      </w:r>
    </w:p>
    <w:p>
      <w:r>
        <w:t>Shared claim-specific concepts: domains, empirical, findings, structural; EU scope not established. This is a provisional connection, not an outcome finding.</w:t>
      </w:r>
    </w:p>
    <w:p>
      <w:r>
        <w:t xml:space="preserve">Available abstract (not full text): We synthesized the vast, contradictory scholarly literature on gender bias in academic science from 2000 to 2020. In the most prestigious journals and media outlets, which influence many people's opinions about sexism, bias is frequently portrayed as an omnipresent factor limiting women's progress in the tenure-track academy. Claims and counterclaims regarding the presence or absence of sexism span a range of evaluation contexts. Our approach relied on a combination of meta-analysis and analytic dissection. We evaluated the empirical evidence for gender bias in six key contexts in the tenure-track academy: (a) tenure-track hiring, (b) grant funding, (c) teaching ratings, (d) journal acceptances, (e) salaries, and (f) recommendation letters. We also explored the gender gap in a seventh area, journal productivity, because it can moderate bias in other contexts. We focused on these specific domains, in which sexism has most often been alleged to be pervasive, because they represent important types of evaluation, and the extensive research corpus within these domains provides sufficient quantitative data for comprehensive analysis. Contrary to the omnipresent claims of sexism in these domains appearing in top journals and the media, our findings show that tenure-track women are at parity with tenure-track men in three domains (grant funding, journal acceptances, and recommendation </w:t>
      </w:r>
    </w:p>
    <w:p>
      <w:r>
        <w:t>POSSIBLE 2023: European Environment, Social, and Governance Norms and Decent Work: Seeking a Consensus in the Literature — https://doi.org/10.3390/socsci12110592</w:t>
      </w:r>
    </w:p>
    <w:p>
      <w:r>
        <w:t>Shared claim-specific concepts: work, scientific; EU scope visible. This is a provisional connection, not an outcome finding.</w:t>
      </w:r>
    </w:p>
    <w:p>
      <w:r>
        <w:t>Available abstract (not full text): Decent Work is considered essential to the facilitation of a transition to greener, fairer, more prosperous, and more just societies. Decent Work represents a fundamental component of the Sustainable Development Goals (SDGs) and a crucial facet of European Union (EU) environment, social, and governance (ESG) norms. Despite its prominence, the precise definition and materiality of Decent Work is obscure and remains subject to limited consensus. To understand these critical gaps, we conducted a comprehensive review with a systematic search of the literature on the subject, encompassing both scientific research and institutional publications. Our review encompassed 517 papers, with a particular focus on three key areas: (1) delineating the constituents of Decent Work, (2) exploring the materiality of Decent Work, and (3) examining how firms value, measure, and report Decent Work. The domain of regulated reporting for Decent Work and its material impact is relatively nascent, resulting in limitations in effectively measuring its tangible, material effects towards a green and just transition. Consequently, our review, with a systematic search of the literature, uncovered notable gaps within the body of literature concerning Decent Work, its substance for ESG materiality regulations, and its conspicuousness for a just transition. Furthermore, our review serves as a critical foundatio</w:t>
      </w:r>
    </w:p>
    <w:p>
      <w:pPr>
        <w:pStyle w:val="Heading2"/>
      </w:pPr>
      <w:r>
        <w:t>Enabling forecasts of environmental exposure to chemicals in European agriculture under global change</w:t>
      </w:r>
    </w:p>
    <w:p>
      <w:r>
        <w:t>Original source (2022): https://doi.org/10.1016/j.scitotenv.2022.156478</w:t>
      </w:r>
    </w:p>
    <w:p>
      <w:r>
        <w:t>Original wording (abstract; indexed_source_text_not_full_document_verified): We discuss current knowledge in these three areas, the impact global change drivers may have on them, and we identify knowledge and data gaps that must be overcome to enable predictive scenario-based forecasts of environmental exposure under global change. The type and quantity of chemicals used, emitted, and cycled through agricultural systems in Europe will change, driven by shifts in the use patterns of pesticides, veterinary pharmaceuticals, reclaimed wastewater used for irrigation, and biosolids.</w:t>
      </w:r>
    </w:p>
    <w:p>
      <w:r>
        <w:t>POSSIBLE 2025: A REVIEW OF THE CURRENT KNOWLEDGE ON AMPHIBIAN CHYTRIDIOMYCOSES AND THEIR EPIDEMIOLOGY IN EASTERN EUROPE — https://doi.org/10.17930/agl2025216</w:t>
      </w:r>
    </w:p>
    <w:p>
      <w:r>
        <w:t>Shared claim-specific concepts: current, knowledge, environmental; EU scope visible. This is a provisional connection, not an outcome finding.</w:t>
      </w:r>
    </w:p>
    <w:p>
      <w:r>
        <w:t>Available abstract (not full text): Amphibian chytridiomycoses are emerging fungal diseases caused by Batrachochytrium dendrobatidis (Bd) and Batrachochytrium salamandrivorans (Bsal). They pose a significant threat to amphibians worldwide, driving catastrophic species declines and extinctions with knock-on impacts on the ecosystem and human health. This review examines the expanding distribution of Bd and Bsal, with a focus on Eastern Europe. Advances in diagnostics - including histopathology, PCR, and environmental DNA detection -, including their strengths and limitations, are discussed. This review considers morphological characteristics, pathogen life cycles, mechanisms of pathogenesis, and clinical signs useful for guiding infection and disease detection. Innate and acquired host immune responses in response to Bd and Bsal infection are discussed within the context of host resistance and tolerance. Finally, potential transmission routes are explored, with a focus on the role the pet trade plays in pathogen spread, and current treatment and mitigation approaches for both wild and captive amphibians are summarised. Insights into the epidemiology of Bd and Bsal and environmental factors influencing pathogen spread and resistance can inform proactive conservation and disease management strategies essential for protecting at-risk amphibian populations.</w:t>
      </w:r>
    </w:p>
    <w:p>
      <w:r>
        <w:t>POSSIBLE 2025: Current Knowledge on UTUC Epidemiology in Poland Compared to Europe — https://doi.org/10.3390/cancers18010126</w:t>
      </w:r>
    </w:p>
    <w:p>
      <w:r>
        <w:t>Shared claim-specific concepts: current, knowledge, them, data; EU scope visible. This is a provisional connection, not an outcome finding.</w:t>
      </w:r>
    </w:p>
    <w:p>
      <w:r>
        <w:t>Available abstract (not full text): Background: Upper tract urothelial carcinoma (UTUC) is a rare malignancy with limited epidemiological data from Central and Eastern Europe. This study aimed to evaluate long-term trends in UTUC incidence, mortality, and survival in Poland and to compare them with other European countries. Methods: Incidence and mortality data were acquired from Polish National Cancer Registry, Statistics Poland and European Cancer Information System. Age-standardized incidence and mortality rates were calculated using the European Standard Population (ESP 2013). Temporal trends were assessed using Joinpoint regression, and five-year relative survival was estimated with the Pohar–Perme method. Results: Our study demonstrated significantly higher incidence and mortality rates of UTUC across Europe compared to the initial observation period, consistent with the data from Poland. UTUC incidence increased in Poland between 2000 and 2017 (average annual percent change [AAPC] 5.6% in women and 9.9% in men), followed by a decline among women after 2017 (AAPC −1.3%). Mortality initially rose in both sexes but decreased in recent years, particularly in men (AAPC −5.47%). Renal pelvis cancer showed higher incidence and mortality than ureteral cancer. Compared with other European countries, Poland exhibited a smaller gap between incidence and mortality. Five-year relative survival improved over time, reach</w:t>
      </w:r>
    </w:p>
    <w:p>
      <w:r>
        <w:t>POSSIBLE 2025: Animal Protein Sources in Europe: Current Knowledge and Future Perspectives—A Review — https://doi.org/10.3390/app152111749</w:t>
      </w:r>
    </w:p>
    <w:p>
      <w:r>
        <w:t>Shared claim-specific concepts: current, knowledge, environmental; EU scope visible. This is a provisional connection, not an outcome finding.</w:t>
      </w:r>
    </w:p>
    <w:p>
      <w:r>
        <w:t>Available abstract (not full text): The pursuit of sustainable animal protein sources is critical in light of the environmental, social, and economic challenges associated with conventional livestock production. Although meat, including organic production, remains a valuable source of high-quality protein, diversification is essential to sustainably meet future demand. This review summarizes current knowledge on alternative animal protein sources, with a particular focus on insects and cultured meat in Europe. Insects demonstrate high feed conversion efficiency, require minimal land and water resources, and provide essential amino acids, lipids, and micronutrients, while contributing to circular economy models. Cultured meat presents potential advantages for environmental sustainability and animal welfare; however, its large-scale application depends on technological advances, cost reduction, and supportive regulation. Consumer acceptance remains a challenge influenced by cultural heritage, food neophobia, and product presentation. Policy frameworks, including the European Green Deal and the Farm to Fork Strategy, seek to foster innovation and sustainable food systems. Future perspectives emphasize that conventional and organic meat, insect-based protein, and cultured meat should be regarded as complementary solutions for a balanced and resilient protein supply in Europe.</w:t>
      </w:r>
    </w:p>
    <w:p>
      <w:r>
        <w:t>POSSIBLE 2025: Diabetologists’ Knowledge and Prescription of Physical Activity in Southeast Europe — https://doi.org/10.3390/medicina61071244</w:t>
      </w:r>
    </w:p>
    <w:p>
      <w:r>
        <w:t>Shared claim-specific concepts: current, knowledge, data; EU scope visible. This is a provisional connection, not an outcome finding.</w:t>
      </w:r>
    </w:p>
    <w:p>
      <w:r>
        <w:t>Available abstract (not full text): Background and Objectives: Physical activity represents a cornerstone in the management of diabetes mellitus; however, the majority of persons with diabetes remain insufficiently active. Current guidelines emphasise the need to educate individuals with diabetes on physical activity at each clinical visit. The aim of the study was to develop an adequate instrument and test diabetologists’ knowledge on physical activity and related guidelines in diabetes, as well as investigate their prescribing habits. Materials and Methods: The instrument was developed with four diabetologists using Delphi and RAND appropriateness methods, then distributed to diabetologist societies in 12 Southeast European countries for anonymous completion by their members. Data were analysed using Mann–Whitney U test and Pearson x2 test. Results: Out of 302 analysed respondents, 123 (41%) worked at university hospitals, at average four days a week in outpatient departments, mean number of patients was 16 a day; 95 (32%) had a PhD, and 105 (35%) university teaching positions. Median overall knowledge was 15 (Q1–Q3, 13–17) out of 22 maximum points. 26% diabetologists knew recommended level of physical activity for people with diabetes. Physical activity goals were discussed during check-ups in 53.0% of cases; re-education and goal adjustments were provided in 33.4% when health status changed; and clear instruc</w:t>
      </w:r>
    </w:p>
    <w:p>
      <w:r>
        <w:t>POSSIBLE 2025: Who is local and what do they know? Braiding knowledges within carnivore management in Europe — https://doi.org/10.1002/pan3.10797</w:t>
      </w:r>
    </w:p>
    <w:p>
      <w:r>
        <w:t>Shared claim-specific concepts: current, knowledge, areas; EU scope visible. This is a provisional connection, not an outcome finding.</w:t>
      </w:r>
    </w:p>
    <w:p>
      <w:r>
        <w:t>Available abstract (not full text): Abstract Growing recognition of Indigenous Peoples and traditional local communities as stewards of biodiversity has brought to the fore the issues of knowledge and value pluralism in conservation policy and practice. Given their basis in practical and multi‐generational experience, Indigenous and local knowledges are highly relevant to managing human–wildlife interactions, especially species that are challenging to live with. Yet, these situated forms of knowledge remain overlooked and marginalised, especially ‘local knowledge’, as it is unclear what or whom is encompassed within the term. We explore local knowledge in the context of pastoral areas in Europe, where populations of large carnivores such as wolves are currently expanding. We ask: who is ‘local’, what constitutes ‘local knowledge’ and what can this knowledge contribute to carnivore management? We show that continuous exchanges between long‐settled residents, newcomers and transient people in pastoral areas mean that ‘localness’ cannot be approached as a dualist position. Similarly, local knowledge is dynamic and continuously evolving in the face of ongoing and emerging change, which makes efforts of categorisation and preservation complex. We argue that current approaches to incorporating local knowledge often fail to account for this complexity, producing unjust and ineffective policies and strategies. To advance</w:t>
      </w:r>
    </w:p>
    <w:p>
      <w:r>
        <w:t>POSSIBLE 2024: The Working of Hard Animal Tissues in Eastern and Central Europe During the Last Glacial Maximum—Current Knowledge and Perspectives — https://doi.org/10.1007/s41982-024-00198-8</w:t>
      </w:r>
    </w:p>
    <w:p>
      <w:r>
        <w:t>Shared claim-specific concepts: current, knowledge, areas; EU scope visible. This is a provisional connection, not an outcome finding.</w:t>
      </w:r>
    </w:p>
    <w:p>
      <w:r>
        <w:t xml:space="preserve">Available abstract (not full text): Abstract The climatically unfavourable period of the Last Glacial Maximum (LGM; ca. 26–19 ka cal bp) is held responsible for a severe demographic crisis of hunter–gatherer populations, their retreat to a few refugial areas, the disruption of wide-ranging networks, and a considerable loss of cultural complexity in Eastern and Central Europe. The latitudes above 50°N appear to have been completely depopulated. Recent research has demonstrated a continuous occupation of the Carpathian Basin and the East Carpathian region during the LGM on one hand, and an ephemeral human presence in the Middle Danube, the Middle Rhine, and the Swiss Plateau on the other. The western part of the East European Plain, in particular the East Carpathians, is known for several large, Early Epigravettian open-air sites with well-preserved artefacts of antler, bone, and mammoth ivory. For Central Europe, the assemblage from Kammern-Grubgraben in Lower Austria is of pivotal importance. As osseous industries have shown to be an essential component of Upper Palaeolithic material culture, it is the aim of this contribution to provide an overview of the current state of knowledge on the processing of hard animal tissues in Eastern and Central Europe during the LGM. Starting out with a reevaluation of one of the largest and most diverse assemblages from the site of Cosăuţi in the Republic of Moldova (ca. 23–19 </w:t>
      </w:r>
    </w:p>
    <w:p>
      <w:r>
        <w:t>POSSIBLE 2024: Internal mobility of international migrants in Europe: A critical literature review and research agenda — https://doi.org/10.1002/psp.2822</w:t>
      </w:r>
    </w:p>
    <w:p>
      <w:r>
        <w:t>Shared claim-specific concepts: discuss, current, knowledge, drivers; EU scope visible. This is a provisional connection, not an outcome finding.</w:t>
      </w:r>
    </w:p>
    <w:p>
      <w:r>
        <w:t>Available abstract (not full text): Abstract This paper reviews the literature on the internal mobility of international migrants and their descendants in Europe from an interdisciplinary perspective. Europe is becoming increasingly diverse. Where international migrants live and move to after arriving in their destination country influences both individual life courses and macro‐level population compositions. So far, a comprehensive overview of internal mobility patterns and drivers among migrants is missing. The aim of this paper is threefold: first, to discuss the development of the field across disciplines; second, to present and reflect on the current state of knowledge of internal mobility of migrants in Europe, and third, to conclude by setting an agenda for future research. This paper stresses the importance of studying the internal mobility of migrant populations over their life courses, testing theories across migrant generations, doing more justice to population diversity, strengthening the link between the literature on internal and international migration, and finally, emphasises the need for comparative research.</w:t>
      </w:r>
    </w:p>
    <w:p>
      <w:r>
        <w:t>POSSIBLE 2024: Central and Eastern Europe in Academic Internationalization: Peripherality, Neoliberalism, and Knowledge Production — https://doi.org/10.11649/slh.3184</w:t>
      </w:r>
    </w:p>
    <w:p>
      <w:r>
        <w:t>Shared claim-specific concepts: discuss, current, knowledge; EU scope visible. This is a provisional connection, not an outcome finding.</w:t>
      </w:r>
    </w:p>
    <w:p>
      <w:r>
        <w:t>Available abstract (not full text): The article reflects on knowledge production in the context of research internationalization, seen as an aspect of a broader trend in the changing higher education and other academic institutions. It focuses on Central and Eastern Europe as a post-communist and (semi)peripheral region, which has been the subject of historical and theoretical analysis often accompanied by epistemological reflection among researchers. As an introduction to the theme of the issue, the article addresses questions concerning epistemic approaches to Central and Eastern Europe via critical reflection on the “post-socialism” framework. The authors discuss major analytical responses of scholars in this research field, including the authors of articles published in this issue of Studia Litteraria et Historica, such as peripherality, postcolonialism, and rethinking of the category of the “East”. In the concluding part, they outline possible directions for further inquiry, including a spatial-temporal conceptualization informed by Wallerstein’s historical social science as well as ethical considerations in the current political context shaped by international security concerns as much as epistemic ones.</w:t>
      </w:r>
    </w:p>
    <w:p>
      <w:r>
        <w:t>POSSIBLE 2023: Sustainable soil management: Soil knowledge use and gaps in Europe — https://doi.org/10.1111/ejss.13439</w:t>
      </w:r>
    </w:p>
    <w:p>
      <w:r>
        <w:t>Shared claim-specific concepts: current, knowledge, three, areas, gaps; EU scope visible. This is a provisional connection, not an outcome finding.</w:t>
      </w:r>
    </w:p>
    <w:p>
      <w:r>
        <w:t>Available abstract (not full text): Abstract Soils are the foundation of agricultural production, ecosystem functioning and human well‐being. Bridging soil knowledge gaps and improving the knowledge system is crucial to meet the growing EU soil policy ambitions in the face of climate change and the ongoing trend in soil degradation. The objective of this article is to assess the current state of knowledge, knowledge use and knowledge gaps concerning sustainable soil management in Europe. This study is based on interviews with 791 stakeholders and 254 researchers and on a comprehensive review of &gt;1800 documents carried out under the European Joint Programme on agricultural soils. Despite differences in stakeholder groups, the conclusions are rather consistent and complementary. We identified major knowledge gaps with respect to (1) soil carbon stocks, (2) soil degradation and fertility and (3) strategies for improved soil management. Transcending these three areas, particularly the loss of soil organic carbon, peatland degradation and soil compaction, are most critical, thus, we stress the urgency of developing more models and monitoring programmes on soils. Stakeholders further report that insufficient transfer of existing soil research findings to practitioners is a hindrance to the adoption of sustainable soil management practices. In addition to knowledge production, soil knowledge gaps may be addressed by con</w:t>
      </w:r>
    </w:p>
    <w:p>
      <w:r>
        <w:t>POSSIBLE 2023: Agroecology research in Europe funded by European and transnational programmes: current status and perspectives — https://doi.org/10.12688/openreseurope.15264.2</w:t>
      </w:r>
    </w:p>
    <w:p>
      <w:r>
        <w:t>Shared claim-specific concepts: current, knowledge, identify, environmental, used; EU scope visible. This is a provisional connection, not an outcome finding.</w:t>
      </w:r>
    </w:p>
    <w:p>
      <w:r>
        <w:t>Available abstract (not full text): Background: Redesigning the agri-food system through agroecology represents a common ambition among practitioners, activists and scholars to achieve environmental and socio-economic sustainability. Research can have a main role to support this path. Although it seems that there is a gradual increasing body of agroecology research, it clearly lacks good knowledge about this. The main objective of this study was therefore to map research projects related to agroecology in Europe with the aim to characterize European research in terms of implementation of agroecology elements, identify needs for future cross collaboration between countries and networks, and support the setting up of appropriate research agendas fostering agroecology research in Europe. Methods: A desktop research with different databases related to European and transnational funding programmes was carried out to identify funded research projects involved in agroecology. The obtained projects were used to perform a social network analysis. Furthermore, two surveys were conducted, one with coordinators of identified projects and a second one for researchers engaged in agroecology. Results: Our study highlighted a predominant trajectory of agroecology research prone to the transformation of the agri-food system. France, Germany, Italy, Netherlands, Portugal, Spain, and United Kingdom were the most active countries en</w:t>
      </w:r>
    </w:p>
    <w:p>
      <w:r>
        <w:t>POSSIBLE 2023: Early-onset colorectal cancer: A review of current knowledge — https://doi.org/10.3748/wjg.v29.i8.1289</w:t>
      </w:r>
    </w:p>
    <w:p>
      <w:r>
        <w:t>Shared claim-specific concepts: discuss, current, knowledge, data, exposure; EU scope not established. This is a provisional connection, not an outcome finding.</w:t>
      </w:r>
    </w:p>
    <w:p>
      <w:r>
        <w:t xml:space="preserve">Available abstract (not full text): Colorectal cancer (CRC) is one of the most prevalent malignancies worldwide. Although most prevalent among older people, its incidence above 50 years old has been decreasing globally in the last decades, probably as a result of better screening. Paradoxically, its incidence in patients below 50 years old [early-onset CRC (EO-CRC)] has been increasing, for reasons not yet fully understood. EO-CRC's increasing incidence is genre independent but shows racial disparities and has been described to occur worldwide. It follows a birth-cohort effect which probably reflects a change in exposure to CRC risk factors. Its incidence is predicted to double until 2030, which makes EO-CRC a serious public health issue. Both modifiable and non-modifiable risk factors have been identified - some are potential targets for preventive measures. EO-CRC is often diagnosed at advanced stages and histological features associated with poor prognosis have been described. EO-CRC presents some distinctive features: Microsatellite in-stability is common, but another subtype of tumours, both microsatellite and chromosome stable also seems relevant. There are no age-specific treatment protocols and studies on EO-CRC survival rates have shown conflicting data. Due to the higher germline pathological mutations found in EO-CRC patients, an accurate genetic risk evaluation should be performed. In this review, we </w:t>
      </w:r>
    </w:p>
    <w:p>
      <w:r>
        <w:t>POSSIBLE 2023: Dietary habits of the European brown hare: summary of knowledge and management relapses — https://doi.org/10.1080/03949370.2023.2213200</w:t>
      </w:r>
    </w:p>
    <w:p>
      <w:r>
        <w:t>Shared claim-specific concepts: current, knowledge, areas; EU scope visible. This is a provisional connection, not an outcome finding.</w:t>
      </w:r>
    </w:p>
    <w:p>
      <w:r>
        <w:t>Available abstract (not full text): Assessing the nutritional needs and food preferences of animal species is important to design appropriate habitat improvement actions, in particular in agricultural environments. The European brown hare Lepus europaeus is a game species of European conservation interest, typical of open areas, and with declining populations in Eurasia. In this work, the authors summarised the current knowledge on European brown hare feeding habits and also discussed potential management relapses of this species. The European brown hare has developed a particular digestive process called caecotrophy, which consists of a double passage of food through the alimentary canal. Hares compensate for this disadvantage by selecting foods with a high nutritional value, poor in fibre and rich in fats and proteins. The European brown hare thrives in farmland habitat as crops have a high nutritional value, even if monoculture and reduction of crop variety are considered the main causes of the decline of this species. Even in the agricultural environment, spontaneous weeds are an important part of the European brown hare diet, covering the nutritional needs when cultivated plants have a low nutritional value or have been harvested. The restoration of crop rotation and polycultures (cereals and cover crops), and the establishment of agri-environmental measures such as wildflower strips and patches, represent e</w:t>
      </w:r>
    </w:p>
    <w:p>
      <w:pPr>
        <w:pStyle w:val="Heading2"/>
      </w:pPr>
      <w:r>
        <w:t>Energy Community in Action—Energy Citizenship Contract as Tool for Climate Neutrality</w:t>
      </w:r>
    </w:p>
    <w:p>
      <w:r>
        <w:t>Original source (2022): https://doi.org/10.3390/smartcities5010018</w:t>
      </w:r>
    </w:p>
    <w:p>
      <w:r>
        <w:t>Original wording (abstract; indexed_source_text_not_full_document_verified): Incisive actions are fundamental to bring cities towards climate neutrality by 2050 working by and for the citizens. For this reason, the “100 climate-neutral cities Mission” anticipates the target of climate neutrality by 2030.</w:t>
      </w:r>
    </w:p>
    <w:p>
      <w:r>
        <w:t>POSSIBLE 2026: Types of Threatening Actions in Critical Realist Literature (1930-1945) and Their Evolution in Contemporary Vietnamese Literature — https://doi.org/10.62225/2583049x.2026.6.1.5518</w:t>
      </w:r>
    </w:p>
    <w:p>
      <w:r>
        <w:t>Shared claim-specific concepts: incisive, actions, fundamental; EU scope not established. This is a provisional connection, not an outcome finding.</w:t>
      </w:r>
    </w:p>
    <w:p>
      <w:r>
        <w:t>Available abstract (not full text): This study aims to interpret the evolution of threatening actions in Vietnamese literature across two pivotal periods: critical realism (1930-1945) and the contemporary era (post-1986). By employing an interdisciplinary methodology (literary sociology, psychology, economics) to construct a theoretical framework comprising four forms of threat (physical violence, institutional power, economic, and psychological), the paper analyzes and compares representative literary works. The findings reveal a fundamental shift from the tangible, top-down, and externally coercive system of threats in the colonial-feudal society to an intangible, pervasive, and internalized system in the contemporary market society (e.g., competitive pressures, identity crises, loneliness). Theoretically, the study contributes a new, incisive analytical framework for approaching literature. Practically, it offers a profound perspective on how literature reflects core social pressures, helping to understand the anxieties of the Vietnamese people through historical turning points.</w:t>
      </w:r>
    </w:p>
    <w:p>
      <w:r>
        <w:t>POSSIBLE 2026: Legal Limits on the ECB’s Actions: Is the PEPP a Bridge too Far? — https://doi.org/10.36969/njel.v9i1.28373</w:t>
      </w:r>
    </w:p>
    <w:p>
      <w:r>
        <w:t>Shared claim-specific concepts: actions, fundamental, reason; EU scope visible. This is a provisional connection, not an outcome finding.</w:t>
      </w:r>
    </w:p>
    <w:p>
      <w:r>
        <w:t>Available abstract (not full text): After the global financial crisis of 2008-2009, the role and monetary policy of the European Central Bank (ECB) underwent a profound evolution, with the turning point being the possibility for the institution itself to intervene on secondary markets to purchase government bonds of eurozone member states. However, this evolution took place within the legal framework established by the EU Treaties, which remained unchanged. The fact that these changes occurred within an unchanged legal context raised a fundamental issue: there was a need to verify whether these changes were compatible with the legal limits on the actions of the ECB under the EU Treaties. It is for this reason that, between 2012 and 2018, the Court of Justice of the European Union (CJEU) developed a case law aimed at (i) verifying whether the new monetary policy tools were compatible with the provisions of the EU Treaties and (ii) defining the legal limits of ECB intervention on secondary markets. Against this backdrop, this article analyses the extent to which the ECB’s intervention on secondary markets during the COVID-19 crisis through the Pandemic Emergency Purchasing Programme (PEPP) complies with the criteria established by this case law in relation to Article 123 TFEU. To this end, the article first reviews the role and mandate of the ECB as defined by the EU Treaties. It then analyses both the evolution of</w:t>
      </w:r>
    </w:p>
    <w:p>
      <w:r>
        <w:t>POSSIBLE 2025: Parking Reform and Social Justice in Brazil — https://doi.org/10.4324/9781003465515-31</w:t>
      </w:r>
    </w:p>
    <w:p>
      <w:r>
        <w:t>Shared claim-specific concepts: incisive, fundamental, cities, climate; EU scope not established. This is a provisional connection, not an outcome finding.</w:t>
      </w:r>
    </w:p>
    <w:p>
      <w:r>
        <w:t>Available abstract (not full text): Climate change is a reality, and the global agendas focus on cities as the locus of the problem and action. The vision for urban mobility seems committed to environmental challenges—but how are social challenges integrated? The emphasis on clean vehicles as a solution ignores how the space occupied by automobiles increases inequity, socio-spatial segregation, and the precariousness of life in cities, particularly in the Global South. We must reinvent how we live in the city, changing the vehicle-oriented paradigm and turning our attention to travel. Fewer vehicles result in fewer emissions, energy consumption, and more space, a key asset for promoting social justice. Shoup was incisive in pointing out how most cities are planned with the assumption that parking is a right. His teachings were fundamental in uncovering the social function of parking policy and its potential to produce more equitable cities. This essay explores how the redistribution of urban space is essential to dealing with urgent issues such as housing deficit in Brazil, cycling infrastructure in Fortaleza, and public transport in São José dos Campos.</w:t>
      </w:r>
    </w:p>
    <w:p>
      <w:pPr>
        <w:pStyle w:val="Heading2"/>
      </w:pPr>
      <w:r>
        <w:t>Energy futures as societal futures: Co-evolutionary scenarios linking futures of society and decarbonized energy systems in Switzerland 2050</w:t>
      </w:r>
    </w:p>
    <w:p>
      <w:r>
        <w:t>Original source (2022): https://doi.org/10.1016/j.futures.2022.102955</w:t>
      </w:r>
    </w:p>
    <w:p>
      <w:r>
        <w:t>Original wording (abstract; indexed_source_text_not_full_document_verified): There is consensus that the global energy system will have to change substantially in the next decades to reach carbon neutrality. However, there are many visions of future energy systems and possible pathways leading to the corresponding futures.</w:t>
      </w:r>
    </w:p>
    <w:p>
      <w:r>
        <w:t>POSSIBLE 2026: Polyendocrine metabolic ovarian syndrome, the new name for polycystic ovary syndrome: a multistep global consensus process — https://doi.org/10.1016/s0140-6736(26)00717-8</w:t>
      </w:r>
    </w:p>
    <w:p>
      <w:r>
        <w:t>Shared claim-specific concepts: consensus, however, systems, leading; EU scope not established. This is a provisional connection, not an outcome finding.</w:t>
      </w:r>
    </w:p>
    <w:p>
      <w:r>
        <w:t>Available abstract (not full text): Polyendocrine metabolic ovarian syndrome (PMOS), previously named polycystic ovary syndrome (PCOS), affects one in eight women. However, the term PCOS is inaccurate, implying pathological ovarian cysts, obscuring diverse endocrine and metabolic features, and contributing to delayed diagnosis, fragmented care, and stigma, while curtailing research and policy framing. Building on an international mandate for change, we outline an unprecedented, rigorous, multistep global consensus process for the name change. Funding and governance were established with engagement of 56 leading academic, clinical, and patient organisations. Using iterative global surveys (with responses from 14 360 people with PCOS and multidisciplinary health professionals from all world regions), modified Delphi methods, nominal group technique workshops, and marketing and implementation analyses, we identified principles prioritising scientific accuracy, clarity, stigma avoidance, cultural appropriateness, and implementation feasibility. An accurate new name was prioritised over retaining the PCOS acronym or a generic name. Implementation approaches prioritised evolution rather than transformation. Preferred terms were polyendocrine, metabolic, and ovarian, reflecting the condition's multisystem pathophysiology, and polyendocrine metabolic ovarian syndrome was the consensus new name. Accuracy was improved by o</w:t>
      </w:r>
    </w:p>
    <w:p>
      <w:r>
        <w:t>POSSIBLE 2026: Global Consensus on the Management of Primary Localized Chordoma — https://doi.org/10.1001/jamaoncol.2026.2054</w:t>
      </w:r>
    </w:p>
    <w:p>
      <w:r>
        <w:t>Shared claim-specific concepts: consensus, however; EU scope visible. This is a provisional connection, not an outcome finding.</w:t>
      </w:r>
    </w:p>
    <w:p>
      <w:r>
        <w:t>Available abstract (not full text): Importance: Chordoma is a rare malignant bone tumor with high local recurrence, metastatic spread in 40% to 60% of patients over the disease course, and significant morbidity. Because of its rarity, anatomical complexity, and prolonged natural history, high-quality evidence to guide management is limited. International consensus guidelines for localized chordoma were first published in 2015; however, advances in pathology, imaging, surgery, radiotherapy, and supportive care since then necessitate updated multidisciplinary recommendations. Objective: To update and expand the 2015 consensus recommendations on the diagnosis, treatment, and follow-up of pediatric and adult patients with primary, localized chordoma. Evidence Review: In June 2025, a meeting of the Global Chordoma Consensus Group was held in Milan, Italy, that included experts from all relevant specialties as well as patient representatives. A comprehensive literature review guided structured discussions on the management of primary localized disease. Levels of evidence and grades of recommendation were assigned. Findings: A total of 305 articles were included in the literature review. Management strategies were stratified by anatomical site (skull base, mobile spine, and sacrum). The central principal of care was treatment at experienced, multidisciplinary centers, with maximally safe surgery followed by high-dose, h</w:t>
      </w:r>
    </w:p>
    <w:p>
      <w:r>
        <w:t>POSSIBLE 2025: Global consensus on the management of melanin hyperpigmentation disorders — https://doi.org/10.1111/jdv.70185</w:t>
      </w:r>
    </w:p>
    <w:p>
      <w:r>
        <w:t>Shared claim-specific concepts: consensus, systems, leading; EU scope visible. This is a provisional connection, not an outcome finding.</w:t>
      </w:r>
    </w:p>
    <w:p>
      <w:r>
        <w:t>Available abstract (not full text): Melanin hyperpigmentation disorders (MHD) are among the most prevalent dermatologic concerns globally, affecting individuals across all skin phototypes and geographies. Despite their widespread impact on quality of life-including stigmatization, anxiety and depression-comprehensive, unified and practical clinical guidelines are lacking. This global consensus project convened 10 leading dermatologists and pigmentary disorder experts from Africa, Asia, Europe and the Americas to develop an evidence-based, internationally applicable framework for the management of common MHD, including melasma, post-inflammatory hyperpigmentation, acquired dermal macular hyperpigmentation, periorbital hyperpigmentation, chronic hyperpigmentary photodamage, freckles/ephelides and hyperpigmentation of the folds. Based on a comprehensive literature review and a structured Delphi process, the expert panel formulated consensus statements and tailored treatment algorithms that account for skin type, photobiological behaviour, disease severity and regional access to therapies. Special emphasis was placed on the role of broad-spectrum photoprotection and the challenges of tinted sunscreen availability in diverse populations. Treatment options ranged from topical lightening agents and systemic therapies (e.g. oral tranexamic acid) to procedural interventions (e.g. chemical peels, lasers and IPL) stratified</w:t>
      </w:r>
    </w:p>
    <w:p>
      <w:r>
        <w:t>POSSIBLE 2025: Global Consensus Recommendations for Metabolic Dysfunction-Associated Steatotic Liver Disease and Steatohepatitis — https://doi.org/10.1053/j.gastro.2025.02.044</w:t>
      </w:r>
    </w:p>
    <w:p>
      <w:r>
        <w:t>Shared claim-specific concepts: there, consensus, however; EU scope not established. This is a provisional connection, not an outcome finding.</w:t>
      </w:r>
    </w:p>
    <w:p>
      <w:r>
        <w:t>Available abstract (not full text): BACKGROUND &amp; AIMS: Metabolic dysfunction-associated steatotic liver disease (MASLD) and steatohepatitis (MASH) are associated with adverse clinical outcomes, impaired health-related quality of life, and significant economic burden. The growing burden of MASLD and MASH has led to the publication of a large number of MASLD/MASH guidelines by national and international societies. However, important differences among the recommendations have created confusion, contributing to a low implementation rate and suboptimal management of MASLD and MASH. Creating a consensus recommendation has become more important since the approval of a selective agonist of thyroid hormone β receptor (resmetirom) for MASH treatment in the United States. We built a consensus among the most recently published recommendations for MASLD/MASH. METHODS: A comprehensive search for MASLD and MASH guidelines, guidance documents, or similar publications from January 2018 to January 2025 using PubMed, Embase, Web of Science, and society websites was conducted. Each selected document was assessed across 8 specific domains with 145 variables. Variables with &lt;50% concordance were used for the Delphi statement development. A supermajority threshold of 67% was set for statement acceptance. RESULTS: There were 61 documents published from 2018 through January 2025. Four rounds of Delphi were conducted: 46 statements were g</w:t>
      </w:r>
    </w:p>
    <w:p>
      <w:r>
        <w:t>POSSIBLE 2024: Global consensus statement on simulation-based practice in healthcare — https://doi.org/10.1186/s41077-024-00288-1</w:t>
      </w:r>
    </w:p>
    <w:p>
      <w:r>
        <w:t>Shared claim-specific concepts: consensus, system, systems; EU scope not established. This is a provisional connection, not an outcome finding.</w:t>
      </w:r>
    </w:p>
    <w:p>
      <w:r>
        <w:t>Available abstract (not full text):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 pr</w:t>
      </w:r>
    </w:p>
    <w:p>
      <w:r>
        <w:t>POSSIBLE 2024: The Conceptual Definition of Sarcopenia: Delphi Consensus from the Global Leadership Initiative in Sarcopenia (GLIS) — https://doi.org/10.1093/ageing/afae052</w:t>
      </w:r>
    </w:p>
    <w:p>
      <w:r>
        <w:t>Shared claim-specific concepts: consensus, however; EU scope not established. This is a provisional connection, not an outcome finding.</w:t>
      </w:r>
    </w:p>
    <w:p>
      <w:r>
        <w:t>Available abstract (not full text): IMPORTANCE: Sarcopenia, the age-related loss of muscle mass and strength/function, is an important clinical condition. However, no international consensus on the definition exists. OBJECTIVE: The Global Leadership Initiative in Sarcopenia (GLIS) aimed to address this by establishing the global conceptual definition of sarcopenia. DESIGN: The GLIS steering committee was formed in 2019-21 with representatives from all relevant scientific societies worldwide. During this time, the steering committee developed a set of statements on the topic and invited members from these societies to participate in a two-phase International Delphi Study. Between 2022 and 2023, participants ranked their agreement with a set of statements using an online survey tool (SurveyMonkey). Statements were categorised based on predefined thresholds: strong agreement (&gt;80%), moderate agreement (70-80%) and low agreement (&lt;70%). Statements with strong agreement were accepted, statements with low agreement were rejected and those with moderate agreement were reintroduced until consensus was reached. RESULTS: 107 participants (mean age: 54 ± 12 years [1 missing age], 64% men) from 29 countries across 7 continents/regions completed the Delphi survey. Twenty statements were found to have a strong agreement. These included; 6 statements on 'general aspects of sarcopenia' (strongest agreement: the prevalence of sar</w:t>
      </w:r>
    </w:p>
    <w:p>
      <w:r>
        <w:t>POSSIBLE 2024: Global consensus on optimal exercise recommendations for enhancing healthy longevity in older adults (ICFSR) — https://doi.org/10.1016/j.jnha.2024.100401</w:t>
      </w:r>
    </w:p>
    <w:p>
      <w:r>
        <w:t>Shared claim-specific concepts: consensus, energy, however, many, leading; EU scope not established. This is a provisional connection, not an outcome finding.</w:t>
      </w:r>
    </w:p>
    <w:p>
      <w:r>
        <w:t>Available abstract (not full text): Aging, a universal and inevitable process, is characterized by a progressive accumulation of physiological alterations and functional decline over time, leading to increased vulnerability to diseases and ultimately mortality as age advances. Lifestyle factors, notably physical activity (PA) and exercise, significantly modulate aging phenotypes. Physical activity and exercise can prevent or ameliorate lifestyle-related diseases, extend health span, enhance physical function, and reduce the burden of non-communicable chronic diseases including cardiometabolic disease, cancer, musculoskeletal and neurological conditions, and chronic respiratory diseases as well as premature mortality. Physical activity influences the cellular and molecular drivers of biological aging, slowing aging rates-a foundational aspect of geroscience. Thus, PA serves both as preventive medicine and therapeutic agent in pathological states. Sub-optimal PA levels correlate with increased disease prevalence in aging populations. Structured exercise prescriptions should therefore be customized and monitored like any other medical treatment, considering the dose-response relationships and specific adaptations necessary for intended outcomes. Current guidelines recommend a multifaceted exercise regimen that includes aerobic, resistance, balance, and flexibility training through structured and incidental (integrat</w:t>
      </w:r>
    </w:p>
    <w:p>
      <w:r>
        <w:t>POSSIBLE 2024: Global consensus on disclosing inventions — https://doi.org/10.4324/9781003423003-14</w:t>
      </w:r>
    </w:p>
    <w:p>
      <w:r>
        <w:t>Shared claim-specific concepts: consensus, systems; EU scope not established. This is a provisional connection, not an outcome finding.</w:t>
      </w:r>
    </w:p>
    <w:p>
      <w:r>
        <w:t>Available abstract (not full text): This section examines rules and regulations of disclosure across national and international patenting systems, in view of highlighting the striking consensus that exists for disclosing inventions in patents. A consensus that creates a phenomenal multilingual corpus of parallel patent texts.</w:t>
      </w:r>
    </w:p>
    <w:p>
      <w:r>
        <w:t>POSSIBLE 2024: Global Consensus Statement on Simulation-Based Practice in Healthcare — https://doi.org/10.1016/j.ecns.2024.101552</w:t>
      </w:r>
    </w:p>
    <w:p>
      <w:r>
        <w:t>Shared claim-specific concepts: consensus, system, systems; EU scope not established. This is a provisional connection, not an outcome finding.</w:t>
      </w:r>
    </w:p>
    <w:p>
      <w:r>
        <w:t>Available abstract (not full text):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 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improvement</w:t>
      </w:r>
    </w:p>
    <w:p>
      <w:r>
        <w:t>POSSIBLE 2024: Global consensus statement on simulation-based practice in healthcare — https://doi.org/10.1097/sih.0000000000000804</w:t>
      </w:r>
    </w:p>
    <w:p>
      <w:r>
        <w:t>Shared claim-specific concepts: consensus, system, systems; EU scope not established. This is a provisional connection, not an outcome finding.</w:t>
      </w:r>
    </w:p>
    <w:p>
      <w:r>
        <w:t>Available abstract (not full text): ABSTRACT: Simulation plays a pivotal role in addressing universal healthcare challenges, reducing education inequities, and improving mortality, morbidity and patient experiences. It enhances healthcare processes and systems, contributing significantly to the development of a safety culture within organizations. It has proven to be cost-effective and successful in enhancing team performance, fostering workforce resilience and improving patient outcomes.Through an international collaborative effort, an iterative consultation process was conducted with 50 societies operating across 67 countries within six continents. This process revealed common healthcare challenges and simulation practices worldwide. The intended audience for this statement includes policymakers, healthcare organization leaders, health education institutions, and simulation practitioners. It aims to establish a consensus on the key priorities for the broad adoption of exemplary simulation practice that benefits patients and healthcare workforces globally. KEY RECOMMENDATIONS: Advocating for the benefits that simulation provides to patients, staff and organizations is crucial, as well as promoting its adoption and integration into daily learning and practice throughout the healthcare spectrum. Low-cost, high-impact simulation methods should be leveraged to expand global accessibility and integrate into system im</w:t>
      </w:r>
    </w:p>
    <w:p>
      <w:r>
        <w:t>POSSIBLE 2024: Byzantine fault-tolerant consensus algorithm based on local temporary consensus and global confirmation — https://doi.org/10.1109/cisce62493.2024.10653231</w:t>
      </w:r>
    </w:p>
    <w:p>
      <w:r>
        <w:t>Shared claim-specific concepts: there, consensus; EU scope not established. This is a provisional connection, not an outcome finding.</w:t>
      </w:r>
    </w:p>
    <w:p>
      <w:r>
        <w:t>Available abstract (not full text): Aiming at the Byzantine fault-tolerant consensus algorithm when the number of nodes is too large, there are problems such as a large amount of data exchange, slow consensus speed, and security degradation caused by proxy nodes, based on threshold signatures, a new Byzantine fault-tolerant consensus algorithm based on local temporary consensus and global confirmation is proposed. Nodes divide into different zones based on their geographical location, the algorithm conducts temporary consensus among zones in parallel, and all nodes participate in global confirmation together, reducing the amount of network data exchange during the consensus process while improving consensus speed and security.</w:t>
      </w:r>
    </w:p>
    <w:p>
      <w:pPr>
        <w:pStyle w:val="Heading2"/>
      </w:pPr>
      <w:r>
        <w:t>European Union, transnational terrorism and the strategic choice of counterterrorism policies in democratic countries</w:t>
      </w:r>
    </w:p>
    <w:p>
      <w:r>
        <w:t>Original source (2022): https://doi.org/10.1177/14651165221120370</w:t>
      </w:r>
    </w:p>
    <w:p>
      <w:r>
        <w:t>Original wording (abstract; indexed_source_text_not_full_document_verified): This article highlights the combined effect of voter propensity towards defensive policies, certain intelligence policies and different institutional scenarios on the (in)efficient strategic choice of counterterrorism defensive policies in democratic countries, where efficiency means maximising the joint welfare of countries.</w:t>
      </w:r>
    </w:p>
    <w:p>
      <w:r>
        <w:t>POSSIBLE 2026: Migrations and Shrinking Rural Areas in Europe: The Influence of Media Narratives in the Public Discourse — https://doi.org/10.1111/soru.70052</w:t>
      </w:r>
    </w:p>
    <w:p>
      <w:r>
        <w:t>Shared claim-specific concepts: article, different, countries; EU scope visible. This is a provisional connection, not an outcome finding.</w:t>
      </w:r>
    </w:p>
    <w:p>
      <w:r>
        <w:t>Available abstract (not full text): ABSTRACT European shrinking rural areas have played an increasingly significant role over the last decade in hosting both voluntary and forced migration. Despite the structural nature of this phenomenon, media and political narratives frequently frame migration primarily through an emergency perspective. This article investigates how the relationship between migration and shrinking rural areas is represented in mainstream media across different European contexts. The analysis is based on qualitative data collected within the European Horizon 2020 project Welcoming Spaces , combining qualitative content analysis and frame analysis of media coverage in five countries (Italy, Germany, Spain, the Netherlands and Poland). The findings show that reception initiatives and welcoming practices in shrinking rural areas remain largely marginal in national media debates, despite their growing relevance in local contexts. At the same time, local media and community actors occasionally promote alternative narratives that link migration to processes of territorial regeneration and social innovation. By highlighting the asymmetry between the high visibility of migration as a political issue and the limited visibility of local reception practices, the article contributes to a better understanding of how media narratives shape public perceptions of migration and rural transformation in Europe.</w:t>
      </w:r>
    </w:p>
    <w:p>
      <w:r>
        <w:t>POSSIBLE 2026: The Role of the European Union and the Council of Europe in Promoting Democracy: The Case of the South Caucasus States — https://doi.org/10.54503/2579-2903-2026.1-183</w:t>
      </w:r>
    </w:p>
    <w:p>
      <w:r>
        <w:t>Shared claim-specific concepts: article, highlights, combined, institutional, democratic; EU scope visible. This is a provisional connection, not an outcome finding.</w:t>
      </w:r>
    </w:p>
    <w:p>
      <w:r>
        <w:t>Available abstract (not full text): The article explores the role and significance of international organisations in the democratisation of the South Caucasus, focusing on the European Union (EU) and the Council of Europe (CoE) as key actors in the democratisation processes in Armenia, Georgia, and Azerbaijan. The research highlights that while external actors provide important incentives and frameworks, the sustainability of democracy ultimately depends on domestic political commitment and institutional resilience. Despite some democratic backsliding in Georgia and Azerbaijan’s ongoing authoritarianism, there are genuine aspirations for democratisation in Armenia, indicating that external incentives can be effective when combined with society's willingness and readiness, and the real will of political authorities.</w:t>
      </w:r>
    </w:p>
    <w:p>
      <w:r>
        <w:t>POSSIBLE 2026: Pragmatisation of Right-Wing Populists (The Case of “Patriots for Europe” Group in the European Parliament) — https://doi.org/10.20542/0131-2227-2026-70-6-42-51</w:t>
      </w:r>
    </w:p>
    <w:p>
      <w:r>
        <w:t>Shared claim-specific concepts: article, highlights, institutional; EU scope visible. This is a provisional connection, not an outcome finding.</w:t>
      </w:r>
    </w:p>
    <w:p>
      <w:r>
        <w:t>Available abstract (not full text): The article explores the phenomenon of the pragmatisation of right-wing populist movements through the case study of the “Patriots for Europe” (PfE) group in the European Parliament. Based on discourse analysis, parliamentary materials, and official communications of national parties, the research conceptualizes the Group as a new stage in the institutional evolution of European right-wing populism. Unlike earlier Eurosceptic coalitions, which were often shortlived and leader-centric, PfE operates as a structured and networked alliance that merges ideological sovereignty with pragmatic participation in the EU’s political and legislative mechanisms. The analysis highlights several key dimensions of the Group’s activity. In the sphere of migration and border control, “Patriots for Europe” advocate a model of “sovereign responsibility”, emphasizing the restoration of member-state competences and a coordinated but non-hierarchical role for European Union agencies such as Frontex. In environmental and industrial policy, the Group frames its opposition to the European Green Deal not as climate denialism but as a defense of economic fairness, energy autonomy, and the competitiveness of European agriculture and manufacturing. Institutionally, PfE has developed flexible internal coordination procedures that combine consensus-based decision-making with selective opt-outs for national del</w:t>
      </w:r>
    </w:p>
    <w:p>
      <w:r>
        <w:t>POSSIBLE 2026: Cultural diplomacy and economic cooperation in Europe — https://doi.org/10.59295/dnwe2025.42</w:t>
      </w:r>
    </w:p>
    <w:p>
      <w:r>
        <w:t>Shared claim-specific concepts: article, highlights, policies, strategic; EU scope visible. This is a provisional connection, not an outcome finding.</w:t>
      </w:r>
    </w:p>
    <w:p>
      <w:r>
        <w:t>Available abstract (not full text): Purpose of the article: The article aims to analyze the role of cultural diplomacy as a strategic instrument for promoting economic cooperation among European nations. It explores how shared cultural values, heritage, and dialogue can enhance mutual trust, attract investment, and stimulate cross-border partnerships. The study highlights the growing relevance of cultural diplomacy in strengthening the European integration process through both symbolic and practical contributions to sustainable economic collaboration. Methodology: The research applies a qualitative and comparative approach, combining documentary analysis of European policy frameworks, bilateral cooperation agreements, and transnational programs. It also examines academic literature on cultural diplomacy, international relations, and economic integration to assess how cultural initiatives complement traditional economic diplomacy. Conclusions: The findings indicate that cultural diplomacy supports economic development by fostering soft power, building trust, and facilitating long-term partnerships. However, its effectiveness depends on coherent coordination between cultural and economic policies, transparency in implementation, and the equitable participation of all member states. Originality: The originality of the article lies in its interdisciplinary perspective linking culture and economics within the framewor</w:t>
      </w:r>
    </w:p>
    <w:p>
      <w:r>
        <w:t>POSSIBLE 2025: Parliamentarism - conceptual basis of european constitutionalism — https://doi.org/10.59295/stctce2025.15</w:t>
      </w:r>
    </w:p>
    <w:p>
      <w:r>
        <w:t>Shared claim-specific concepts: article, institutional, democratic; EU scope visible. This is a provisional connection, not an outcome finding.</w:t>
      </w:r>
    </w:p>
    <w:p>
      <w:r>
        <w:t>Available abstract (not full text): Parliamentarism represents one of the most significant institutional innovations in Europe's political history, playing a fundamental role in the development of European constitutionalism. This form of political organization combines the principle of representativeness with the separation of powers, providing a framework for democratic governance and the protection of citizens' rights. European constitutionalism, rooted in the supremacy of the constitution and the protection of fundamental rights, has been deeply influenced by the evolution of parliamentary institutions. The aim of this article is to explore how parliamentarism has contributed to the consolidation of European constitutionalism by examining its origins, fundamental principles, and contemporary challenges. We will analyse the relationship between these two concepts, highlighting the essential role of parliamentary institutions in advancing the rule of law and creating a political framework based on accountability and transparency.</w:t>
      </w:r>
    </w:p>
    <w:p>
      <w:r>
        <w:t>POSSIBLE 2024: Gender equality: Progress, and challenges in european society — https://doi.org/10.31893/humanitj.2024005</w:t>
      </w:r>
    </w:p>
    <w:p>
      <w:r>
        <w:t>Shared claim-specific concepts: article, combined, policies, different, institutional, countries; EU scope visible. This is a provisional connection, not an outcome finding.</w:t>
      </w:r>
    </w:p>
    <w:p>
      <w:r>
        <w:t>Available abstract (not full text): This article explores the dynamics of gender equality in European society, focusing on both the progress made and the ongoing challenges facing European society. The study investigates the impact of legal frameworks and rights in shaping equal opportunities for the whole of European society by excluding the possibility of differences on different grounds. Furthermore, the study assesses the impact of institutional commitment to gender equality within European legal and social contexts. The analysis covers a long-term period by examining the legal infrastructure related to gender equality: a model case of some countries in Europe. Through our findings, we will reflect the impact of the factors that have meanwhile combined the phenomenon of inequality in European society. Regarding institutional commitment, we will highlight the effectiveness of intergovernmental policies, proving this hypothesis through statistics that show the position of women in various fields.</w:t>
      </w:r>
    </w:p>
    <w:p>
      <w:pPr>
        <w:pStyle w:val="Heading2"/>
      </w:pPr>
      <w:r>
        <w:t>FRESHER: Challenges and opportunities for building Health/Healthy futures</w:t>
      </w:r>
    </w:p>
    <w:p>
      <w:r>
        <w:t>Original source (2022): https://doi.org/10.1093/eurpub/ckac129.121</w:t>
      </w:r>
    </w:p>
    <w:p>
      <w:r>
        <w:t>Original wording (abstract; indexed_source_text_not_full_document_verified):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w:t>
      </w:r>
    </w:p>
    <w:p>
      <w:r>
        <w:t>POSSIBLE 2026: Techno-economic evaluation of an elastic composite phase change material for building envelopes — https://doi.org/10.1016/j.tsep.2026.104727</w:t>
      </w:r>
    </w:p>
    <w:p>
      <w:r>
        <w:t>Shared claim-specific concepts: building, phase, combination; EU scope not established. This is a provisional connection, not an outcome finding.</w:t>
      </w:r>
    </w:p>
    <w:p>
      <w:r>
        <w:t>Available abstract (not full text): This work developed an elastic form-stable composite phase change material (PCM) using RT 28 as organic PCMs and styrene-ethylene-butylene-styrene copolymer (SEBS) as the supporting matrix for building energy efficiency applications. Comprehensive characterization via SEM and FT-IR confirmed a physical combination between RT 28 and SEBS without chemical reaction or new compound formation. The DSC test results indicated that the phase change temperature and latent heat of composite PCMs were 25.1°C and 178.2 J/g, respectively. The TGA analysis demonstrated that the thermal stability of composite PCMs was improved compared to pure RT 28. After 200 thermal cycles, composite PCMs retained stable phase change properties. The thermal performance of composite PCMs incorporated into building envelopes was systematically evaluated through numerical simulations across five distinct climate regions. The results showed that PCM panels integrated into building envelopes reduced indoor temperature fluctuations in non-air-conditioned buildings and lowered HVAC energy consumption in air-conditioned buildings. It is worth mentioning that excessive PCM panel thickness increased energy consumption in mild climates (such as Kunming). The economic analysis revealed payback periods ranging from 18.0 years (Harbin) to 599.8 years (Kunming), confirming economic feasibility in severe cold regions. Over</w:t>
      </w:r>
    </w:p>
    <w:p>
      <w:r>
        <w:t>POSSIBLE 2025: Documenting different building phases of a medieval chapel through GPR and image-based modelling — https://doi.org/10.4000/14ns9</w:t>
      </w:r>
    </w:p>
    <w:p>
      <w:r>
        <w:t>Shared claim-specific concepts: building, combination, different; EU scope not established. This is a provisional connection, not an outcome finding.</w:t>
      </w:r>
    </w:p>
    <w:p>
      <w:r>
        <w:t>Available abstract (not full text): Non-destructive discrimination of building phases, Combination of GPR and image-based modelling, Detection of unknown layout of older chapel</w:t>
      </w:r>
    </w:p>
    <w:p>
      <w:r>
        <w:t>POSSIBLE 2025: Optimising phase change materials for ventilated building components in sustainable building design: a comprehensive review — https://doi.org/10.1016/j.enbuild.2025.115947</w:t>
      </w:r>
    </w:p>
    <w:p>
      <w:r>
        <w:t>Shared claim-specific concepts: building, phase, combination; EU scope not established. This is a provisional connection, not an outcome finding.</w:t>
      </w:r>
    </w:p>
    <w:p>
      <w:r>
        <w:t>Available abstract (not full text): The rise in energy-efficient, sustainable building operations necessitates the development of advanced innovations that reduce heating and cooling demands while maintaining comfortable indoor thermal conditions. Phase change materials (PCMs) demonstrate significant potential as a stabilization mechanism through latent heat storage for managing residential indoor temperatures; however, their integration into systems requires further optimisation. This review examines PCM-assisted ventilation technologies—specifically ventilated façades, roofs, and windows—highlighting their energy performance, which ranges from 7.7 % to 32.8 %, and their capacity to reduce peak temperatures by 2.5 °C to 7.02 °C. These improvements are influenced by PCM thickness of 15–35 mm and melting temperatures of 15–37 °C. The combination of PCM-enhanced hybrid systems with natural or mechanical ventilation has shown greater operational effectiveness, particularly in hot climates and when integrated with adaptive control systems to achieve optimal performance. Despite their benefits, widespread adoption of PCM technologies is hindered by high material costs, hysteresis effects, and limited discharge cycle efficiency. Nevertheless, PCM-enhanced ventilation systems have proven capable of supporting sustainable, low-energy buildings. Continued research is needed to develop cost-effective design strategies, aut</w:t>
      </w:r>
    </w:p>
    <w:p>
      <w:r>
        <w:t>POSSIBLE 2024: Advancing sustainable building through passive cooling with phase change materials, a comprehensive literature review — https://doi.org/10.1016/j.enbuild.2024.114164</w:t>
      </w:r>
    </w:p>
    <w:p>
      <w:r>
        <w:t>Shared claim-specific concepts: building, phase, combination, different; EU scope not established. This is a provisional connection, not an outcome finding.</w:t>
      </w:r>
    </w:p>
    <w:p>
      <w:r>
        <w:t xml:space="preserve">Available abstract (not full text): Phase Change Materials (PCMs) present cutting-edge technology with substantial promise for advancing sustainable and energy-efficient cooling in buildings. These materials can absorb and release latent heat during phase transitions, facilitating thermal energy storage and temperature regulation. This comprehensive literature review explores various strategies and methods for implementing passive cooling with PCMs in buildings. The integration of PCMs enhances multiple passive cooling approaches, including solar control, ground cooling, ventilation-based heat dissipation, radiative cooling, and thermal mass-based heat modulation. The analysis delves into PCM classifications, encapsulation techniques, melting enthalpies, integration into diverse building envelopes, and performance across different climates. The findings from this comprehensive review indicated that PCM walls introduce a 2-hour delay in heat transfer and mitigate external temperature fluctuations. Windows equipped with PCM panels reduce heat transfer by 66 %. Combining PCMs with nocturnal radiative cooling leads to interior surface temperature reductions exceeding 13 °C. Natural ventilation with PCMs results in notable energy savings of up to 90 % in hot climates. The combination of free cooling and PCM thermal storage reduces charging times by 35 % while enhancing heat transfer. Simulations performed in the open </w:t>
      </w:r>
    </w:p>
    <w:p>
      <w:r>
        <w:t>POSSIBLE 2024: Incorporation of Phase Change Materials in Buildings — https://doi.org/10.3390/constrmater4040037</w:t>
      </w:r>
    </w:p>
    <w:p>
      <w:r>
        <w:t>Shared claim-specific concepts: building, phase, different; EU scope not established. This is a provisional connection, not an outcome finding.</w:t>
      </w:r>
    </w:p>
    <w:p>
      <w:r>
        <w:t>Available abstract (not full text): This review paper explores the integration of phase change materials (PCMs) in building insulation systems to enhance energy efficiency and thermal comfort. Through an extensive analysis of existing literature, the thermal performance of PCM-enhanced building envelopes is evaluated under diverse environmental conditions. This review highlights that PCMs effectively moderate indoor temperatures by absorbing and releasing heat during phase transitions, maintaining a stable indoor climate. This paper also delves into the detailed concepts of PCMs, including their classification and various applications within building insulation. It is noted that different types of PCMs have unique thermal properties and potential uses, which can be tailored to specific building requirements and climatic conditions. Furthermore, cost–benefit and environmental assessments presented in the reviewed studies suggest that incorporating PCMs into building materials offers significant potential for reducing energy consumption and mitigating environmental impacts. These assessments indicate that PCMs can lead to substantial energy savings by decreasing the reliance on heating and cooling systems, thereby lowering overall energy costs and carbon emissions. However, despite the promising outlook, this review identifies a need for further research to optimize PCM formulations and integration methods. This op</w:t>
      </w:r>
    </w:p>
    <w:p>
      <w:r>
        <w:t>POSSIBLE 2024: Phase Change Materials (PCMs) for passive Cooling: Performance in urban buildings — https://doi.org/10.30574/ijsra.2024.13.1.2050</w:t>
      </w:r>
    </w:p>
    <w:p>
      <w:r>
        <w:t>Shared claim-specific concepts: building, phase, combination, case; EU scope not established. This is a provisional connection, not an outcome finding.</w:t>
      </w:r>
    </w:p>
    <w:p>
      <w:r>
        <w:t>Available abstract (not full text): The intersection of urbanization, climate change, and escalating cooling demands has underscored the urgent need for passive thermal regulation strategies in buildings. Among these, Phase Change Materials (PCMs) stand out due to their latent heat storage capabilities, offering the ability to passively regulate indoor temperatures by leveraging thermodynamic phase transitions. This paper provides an in-depth analysis of phase change materials (PCMs) in the context of passive cooling for urban environments, with a particular emphasis on their applications in building envelopes, such as walls and roofs. Through a combination of material science fundamentals, thermal modeling, building simulation studies, lifecycle analysis, and empirical case data, we elucidate the performance thresholds, integration mechanisms, and long-term viability of PCM-based systems. The study concludes that PCM-enhanced designs can lead to reductions in HVAC energy consumption by 15–40%, flatten diurnal temperature fluctuations, and contribute significantly toward net-zero energy building objectives.</w:t>
      </w:r>
    </w:p>
    <w:p>
      <w:r>
        <w:t>POSSIBLE 2024: Building design with artificial intelligence : Evaluation of AI tools for building design optimization during earlyplanning phases — https://openalex.org/W7112955944</w:t>
      </w:r>
    </w:p>
    <w:p>
      <w:r>
        <w:t>Shared claim-specific concepts: building, combination, alternative; EU scope not established. This is a provisional connection, not an outcome finding.</w:t>
      </w:r>
    </w:p>
    <w:p>
      <w:r>
        <w:t>Available abstract (not full text): Purpose: The purpose of this study was to explore how AI tools affect the working processes withinthe construction industry during the early planning phases of a building project and to identifypotential challenges. Method: A combination of literature studies and interviews were conducted. The literature studyprovides a theoretical framework while the interviews offered a more practice-based perspective.Results: Both the literature and interviews indicated that AI tools can streamline the design process inthe early phases by automating generation of alternative solutions. However, challenges include theimplementation process, users' learning curve, costs and integration issues.Conclusions: When properly implemented, AI tools have the potential to facilitate a more creative,efficient and integrated way of working in the early planning stages through accelerated conceptdevelopment and improved access to competence and data connections. Keywords: Artificial intelligence, construction industry, early planning phases, working processes,opportunities, challenges</w:t>
      </w:r>
    </w:p>
    <w:p>
      <w:r>
        <w:t>POSSIBLE 2023: Building Envelope Design With PHASE-CHANGEMATERIALS (PCM). — https://doi.org/10.21203/rs.3.rs-3307843/v1</w:t>
      </w:r>
    </w:p>
    <w:p>
      <w:r>
        <w:t>Shared claim-specific concepts: building, phase, combination, alternative; EU scope not established. This is a provisional connection, not an outcome finding.</w:t>
      </w:r>
    </w:p>
    <w:p>
      <w:r>
        <w:t>Available abstract (not full text): Abstract Building is one of the most energy consuming and CO2 producing sectors in the world. In Morocco, this sector currently accounts for 33% of total consumption nationwide. The new thermal regulation in Morocco aims at introducing energy efficient practices in this sector to reduce these consumptions. Indeed, in the Mediterranean region, the architecture of the building has a major impact on its energy and thermal performance. In addition, the integration of passive techniques and the use of local materials, phase change materials MCP could significantly reduce energy consumption in the building sector.Depending on the properties of the thermal zone where we are, it is therefore possible to integrate PCM and optimize their parameters in order to favorably diphase the energy consumption peaks and energy consumption and, by the same token, significantly reducing the use of the HC system. Consequently, the integration of this PCM in the envelopes of new buildings or in renovation would contribute to reduce the energy bill in the building sector in Morocco. So the (PCM) represents a sustainable alternative to reduce energy consumption for this a thermal dynamic simulation was realized with TRNSYS 204. Since PCM involves large latent heat at small temperature phase changes, PCM is used for temperature stabilization and for storing heat with large energy densities and capacity t</w:t>
      </w:r>
    </w:p>
    <w:p>
      <w:r>
        <w:t>POSSIBLE 2023: Demand response with active phase change material based thermal energy storage in buildings — https://doi.org/10.1016/j.egyr.2022.12.131</w:t>
      </w:r>
    </w:p>
    <w:p>
      <w:r>
        <w:t>Shared claim-specific concepts: building, phase, combination, response, case; EU scope not established. This is a provisional connection, not an outcome finding.</w:t>
      </w:r>
    </w:p>
    <w:p>
      <w:r>
        <w:t>Available abstract (not full text): A large potential to shift the electricity consumption to adapt to the stochastic renewable electricity generation is identified through the utilisation of a combination of Heat Pumps (HP) and local Thermal Energy Storage (TES) devices in building heating systems. In this paper, a building heating system coupled with an active Phase Change Material (PCM) TES device and a HP is simulated to characterise its potential for Demand Response (DR) applications. A control-oriented numerical model for the PCM TES is developed and previously validated numerical models of the building, HP and hot water radiators are integrated to simulate the dynamics of the coupled building heating system. A Genetic Algorithm (GA) based control strategy is designed to optimise the building heating energy consumption and operational cost with respect to time-varying electricity price signals. The developed control strategy is successfully implemented to utilise the TES capability of the PCM and the thermal inertia of the building to intelligently shift the electrical load of the HP to low price periods, while satisfying the specified indoor comfort requirements. In comparison to a reference case utilising a sensible TES, cost savings and consumption reductions of more than 40% and 30%, respectively, are attained with the active PCM TES. Simulation results indicate that utilising an active PCM TES over a s</w:t>
      </w:r>
    </w:p>
    <w:p>
      <w:r>
        <w:t>POSSIBLE 2023: Evaluation of phase change material-graphene nanocomposite for thermal regulation enhancement in buildings — https://doi.org/10.1016/j.heliyon.2023.e21699</w:t>
      </w:r>
    </w:p>
    <w:p>
      <w:r>
        <w:t>Shared claim-specific concepts: building, phase, combination; EU scope not established. This is a provisional connection, not an outcome finding.</w:t>
      </w:r>
    </w:p>
    <w:p>
      <w:r>
        <w:t>Available abstract (not full text): The growth of high-efficiency phase change material (PCM) nanocomposites with good heat conduction and substantial thermal capacity was of vital significance for practical matters in the sustainable utilization of energy. A novel leakage-proof n-heptadecane-graphene nanocomposite was prepared by a direct impregnation procedure from n-heptadacne as a PCM and nanographene as a skeleton. The creation of shape-stabilized nanocomposite was checked with X-ray diffraction (XRD), Raman, and Fourier transform infrared (FTIR) spectroscopy. The scanning electron microscopy (SEM) analysis illustrated that the n-heptadecane and graphene had favourable compatibility and there was no phase separation and graphene accumulation. Thermal analysis showed that the shape-stabilized nanocomposite not only had a good phase transition enthalpy (101.7 J/g) and n-heptadecane content (45.6 %) but also possessed appropriate thermal stability. The heat conduction of the obtained mesoporous nanocomposite was up to 1.527 W/mK, with a growth of 808 % compared to pure n-heptadecane. Furthermore, the optimized nanocomposite held auspicious thermal reliability, being exposed to 400 thermal cycles. Moreover, the thermoregulation tests demonstrated that the gypsum boards containing optimized nanocomposite showed a slow heat release rate and improved the building temperature profile over only the gypsum board. By v</w:t>
      </w:r>
    </w:p>
    <w:p>
      <w:pPr>
        <w:pStyle w:val="Heading2"/>
      </w:pPr>
      <w:r>
        <w:t>Facilitating transformative science education through futures thinking</w:t>
      </w:r>
    </w:p>
    <w:p>
      <w:r>
        <w:t>Original source (2022): https://doi.org/10.1108/oth-09-2021-0114</w:t>
      </w:r>
    </w:p>
    <w:p>
      <w:r>
        <w:t>Original wording (abstract; indexed_source_text_not_full_document_verified): Findings Recent research has shown that future-oriented science learning activities, involving systems thinking, scenario development and backcasting, can let students broaden their futures perceptions, imagine alternatives and navigate uncertainty.</w:t>
      </w:r>
    </w:p>
    <w:p>
      <w:r>
        <w:t>POSSIBLE 2025: Anti-Inflammatory Activity of Thymol and Thymol-Rich Essential Oils: Mechanisms, Applications, and Recent Findings — https://doi.org/10.3390/molecules30112450</w:t>
      </w:r>
    </w:p>
    <w:p>
      <w:r>
        <w:t>Shared claim-specific concepts: findings, recent, shown, activities, systems; EU scope not established. This is a provisional connection, not an outcome finding.</w:t>
      </w:r>
    </w:p>
    <w:p>
      <w:r>
        <w:t>Available abstract (not full text): Thymol, a monoterpenoid phenol present in the essential oils of several aromatic plants, has attracted considerable attention for its anti-inflammatory effects, often in combination with other bioactive compounds. This work explores the mechanisms behind the anti-inflammatory activity of thymol and thymol-rich essential oils, summarizing recent experimental findings. Inflammation, a key factor in numerous chronic diseases, can be modulated by targeting essential molecular pathways, such as MAPK, NF-κB, JAK/STAT, and arachidonic acid signaling. Thymol has been shown to influence these pathways, reducing the production of pro-inflammatory cytokines and mediators. Beyond its anti-inflammatory effects, thymol also exhibits a broad range of biological activities, including antimicrobial, antioxidant, and anticancer properties. The applications of thymol and thymol-containing essential oils in therapeutic formulations, food additives, and veterinary medicine are also reviewed. Despite promising preclinical results, challenges such as low bioavailability and toxicity at high doses limit their clinical use. Recent developments in drug delivery systems, such as encapsulation in micro- and nanoparticles, are suggested as strategies to enhance efficacy. Additionally, the synergistic effects of thymol with other natural products are examined, offering the potential for improved therapeutic</w:t>
      </w:r>
    </w:p>
    <w:p>
      <w:r>
        <w:t>POSSIBLE 2025: Aging and HIV: Recent Findings in Contributing Factors — https://doi.org/10.1155/arat/8814760</w:t>
      </w:r>
    </w:p>
    <w:p>
      <w:r>
        <w:t>Shared claim-specific concepts: findings, recent, science; EU scope not established. This is a provisional connection, not an outcome finding.</w:t>
      </w:r>
    </w:p>
    <w:p>
      <w:r>
        <w:t>Available abstract (not full text): Background: Aging among people living with HIV (PLWH) presents multifaceted challenges influenced by antiretroviral therapy (ART), chronic inflammation, viral coinfections, stigma, multimorbidity, and immunosuppression. Methods: This review synthesizes recent research findings to outline factors contributing to aging with HIV. A comprehensive literature search was done using electronic databases including PubMed, Web of Science, Google Scholar, and CINAHL with keywords “HIV,” “Aging,” “Elderly,” “Geriatrics,” “Older Adults,” “HIV Infections,” and “HIV/AIDS. Results: Addressing age‐related comorbidities, cognitive impairment, and non‐AIDS events is imperative as older PLWH face increased morbidity and mortality rates compounded by coinfections such as HCV, HPV, TB, HSV, and bacterial infections. While ART is vital for viral suppression, it introduces challenges such as mitochondrial toxicity, metabolic disorders, and decreased CD4 cell counts, accelerating the aging process. Lifestyle factors, including smoking, substance abuse, malnutrition, sedentary behavior, and mental health conditions, further exacerbate aging in PLWH. Conclusions: This study emphasizes the necessity of holistic approaches to meet the unique healthcare needs of older PLWH, with insights into immunosenescence, coinfections, disease progression, ART exposure, and lifestyle factors. Understanding these dynami</w:t>
      </w:r>
    </w:p>
    <w:p>
      <w:r>
        <w:t>POSSIBLE 2024: Inflammation and Cancer: The Most Recent Findings — https://doi.org/10.31584/jhsmr.20241082</w:t>
      </w:r>
    </w:p>
    <w:p>
      <w:r>
        <w:t>Shared claim-specific concepts: findings, recent; EU scope not established. This is a provisional connection, not an outcome finding.</w:t>
      </w:r>
    </w:p>
    <w:p>
      <w:r>
        <w:t>Available abstract (not full text): An in-depth investigation into the complicated relationship between inflammation and cancer provided new findings. We explored new developments that shone a light on the involvement of inflammation in the emergence of many cancers in this study. What we know of this complex interaction has been shaped over time by historical observations that have transformed into molecular mechanistic findings. Understanding the importance of the invasion of immune cells in tumor micro-surroundings, gaining knowledge of the signaling mechanisms that control inflammation-induced carcinogenesis, and identifying inflammatory agents as possible biomarkers for diagnosis and the outlook may lead to novel therapeutic strategies and improved patient outcomes. The combination of immunotherapies and other treatment techniques offers a promising way to enhance therapeutic effects. The development of novel therapies like adoptive T-cell therapy and oncolytic viral therapy further emphasizes how far we have come. The need to manage immune evasion mechanisms and improve these therapeutic approaches further are still problems. We describe the intriguing possibility of using inflammation as a tool for targeted treatment for cancer in this investigation, with possibilities for better patient outcomes and alternative treatment methods.</w:t>
      </w:r>
    </w:p>
    <w:p>
      <w:r>
        <w:t>POSSIBLE 2024: Recent findings in methanotrophs: genetics, molecular ecology, and biopotential — https://doi.org/10.1007/s00253-023-12978-3</w:t>
      </w:r>
    </w:p>
    <w:p>
      <w:r>
        <w:t>Shared claim-specific concepts: findings, recent; EU scope not established. This is a provisional connection, not an outcome finding.</w:t>
      </w:r>
    </w:p>
    <w:p>
      <w:r>
        <w:t>Available abstract (not full text): ) is particularly significant in driving alterations to the worldwide climate. Methanotrophic bacteria possess the distinctive ability to employ methane as both as source of carbon and energy. These bacteria show great potential as exceptional biocatalysts in advancing C1 bioconversion technology. The present review describes recent findings in methanotrophs including aerobic and anaerobic methanotroph bacteria, phenotypic characteristics, biotechnological potential, their physiology, ecology, and native multi-carbon utilizing pathways, and their molecular biology. The existing understanding of methanogenesis and methanotrophy in soil, as well as anaerobic methane oxidation and methanotrophy in temperate and extreme environments, is also covered in this discussion. New types of methanogens and communities of methanotrophic bacteria have been identified from various ecosystems and thoroughly examined for a range of biotechnological uses. Grasping the processes of methanogenesis and methanotrophy holds significant importance in the development of innovative agricultural techniques and industrial procedures that contribute to a more favorable equilibrium of GHG. This current review centers on the diversity of emerging methanogen and methanotroph species and their effects on the environment. By amalgamating advanced genetic analysis with ecological insights, this study pioneers a h</w:t>
      </w:r>
    </w:p>
    <w:p>
      <w:r>
        <w:t>POSSIBLE 2023: Recent Findings in Physical Exercise for Cancer Survivors — https://doi.org/10.1298/ptr.r0023</w:t>
      </w:r>
    </w:p>
    <w:p>
      <w:r>
        <w:t>Shared claim-specific concepts: findings, recent, shown; EU scope not established. This is a provisional connection, not an outcome finding.</w:t>
      </w:r>
    </w:p>
    <w:p>
      <w:r>
        <w:t>Available abstract (not full text): In recent years, the number of cancer survivors has been increasing each year due to advances in the early diagnosis and treatment of cancer. Cancer survivors present a variety of physical and psychological complications due to cancer and its treatment. Physical exercise is an effective nonpharmacological treatment for complications in cancer survivors. Furthermore, recent evidence has shown that physical exercise improves the prognosis of cancer survivors. The benefits of physical exercise have been widely reported, and guidelines for physical exercise for cancer survivors have been published. These guidelines recommend that cancer survivors engage in moderate- or vigorous-intensity aerobic exercises and/or resistance training. However, many cancer survivors have a poor commitment to physical exercise. In the future, it is necessary to promote physical exercise among cancer survivors through outpatient rehabilitation and community support.</w:t>
      </w:r>
    </w:p>
    <w:p>
      <w:r>
        <w:t>POSSIBLE 2023: Recent findings regarding noise from tactical jet engines — https://doi.org/10.1121/10.0023676</w:t>
      </w:r>
    </w:p>
    <w:p>
      <w:r>
        <w:t>Shared claim-specific concepts: findings, recent, shown; EU scope not established. This is a provisional connection, not an outcome finding.</w:t>
      </w:r>
    </w:p>
    <w:p>
      <w:r>
        <w:t>Available abstract (not full text): This paper reviews the outcomes of several recent investigations into full-scale supersonic jet noise. First, concordance has been shown between a T-7A-installed GE F404 engine’s sound power and classical jet noise theory in both the subsonic and supersonic regimes [M. A. Christian et al., JASA Express Lett. 3, 073601 (2023)]. The results indicate approximate agreement between the “eighth-power” law for subsonic engine conditions and the “third-power” law for supersonic engine conditions, with a radiation efficiency of ∼0.5–0.6% at afterburner. However, a sudden jump in radiation efficiency in the jet’s transonic region is not presently explained. Second, normalized far field-derived sound power spectra for the F404 do not agree well with a curve found in NASA SP-8072 (Eldred, 1971), likely indicating differences between the importance of different Strouhal number regimes in military jet and rocket noise and, possibly, different radiation phenomena. Third, the maximum directivity angle for overall level appears to be primarily driven by the convective Mach number associated with Kelvin–Helmholtz instability waves (M. A. Christian et al., AIAA Paper 2023-3351). Together, these recent findings represent improved understanding of full-scale tactical jet noise phenomena. [Work supported by ONR.]</w:t>
      </w:r>
    </w:p>
    <w:p>
      <w:r>
        <w:t>POSSIBLE 2023: Neurobiology of Aggression—Review of Recent Findings and Relationship with Alcohol and Trauma — https://doi.org/10.3390/biology12030469</w:t>
      </w:r>
    </w:p>
    <w:p>
      <w:r>
        <w:t>Shared claim-specific concepts: findings, recent, shown; EU scope not established. This is a provisional connection, not an outcome finding.</w:t>
      </w:r>
    </w:p>
    <w:p>
      <w:r>
        <w:t>Available abstract (not full text): Aggression can be conceptualized as any behavior, physical or verbal, that involves attacking another person or animal with the intent of causing harm, pain or injury. Because of its high prevalence worldwide, aggression has remained a central clinical and public safety issue. Aggression can be caused by several risk factors, including biological and psychological, such as genetics and mental health disorders, and socioeconomic such as education, employment, financial status, and neighborhood. Research over the past few decades has also proposed a link between alcohol consumption and aggressive behaviors. Alcohol consumption can escalate aggressive behavior in humans, often leading to domestic violence or serious crimes. Converging lines of evidence have also shown that trauma and posttraumatic stress disorder (PTSD) could have a tremendous impact on behavior associated with both alcohol use problems and violence. However, although the link between trauma, alcohol, and aggression is well documented, the underlying neurobiological mechanisms and their impact on behavior have not been properly discussed. This article provides an overview of recent advances in understanding the translational neurobiological basis of aggression and its intricate links to alcoholism and trauma, focusing on behavior. It does so by shedding light from several perspectives, including in vivo imaging, g</w:t>
      </w:r>
    </w:p>
    <w:p>
      <w:r>
        <w:t>POSSIBLE 2023: Recent Findings Related to Vocalization and Laryngeal Sensation — https://doi.org/10.5426/larynx.35.80</w:t>
      </w:r>
    </w:p>
    <w:p>
      <w:r>
        <w:t>Shared claim-specific concepts: findings, recent, shown; EU scope not established. This is a provisional connection, not an outcome finding.</w:t>
      </w:r>
    </w:p>
    <w:p>
      <w:r>
        <w:t>Available abstract (not full text): Vocalization is controlled by the neuronal networks from the cerebral cortex to the medulla oblongata. The neuronal circuitry of vocalization is closely related to the respiratory neuronal network that controls respiration during vocalization. Laryngeal sensory inputs are transmitted as visceral afferent inputs, primarily to the nucleus tractus solitarius in the medulla oblongata via the internal branch of the superior laryngeal nerve. This signal is then transmitted to the medulla oblongata and cerebral cortex and may be involved in the modulation of vocal motor control as well as that of breathing and swallowing. Animal studies have shown that increasing or decreasing laryngeal sensory input affects the vocal motor patterns and voice quality. However, interferential current stimulation of the neck is a non-invasive method of increasing sensory inputs and is expected to have clinical applications. We encountered a 31-year-old female with hypofunctional dysphonia and a glottal chink during phonation. Interferential current stimulation was performed, and the glottal chink was immediately reduced. Interferential current stimulation of the larynx is a new therapeutic strategy for managing functional dysphonia.</w:t>
      </w:r>
    </w:p>
    <w:p>
      <w:r>
        <w:t>POSSIBLE 2023: Ketogenic Diet and Breast Cancer: Recent Findings and Therapeutic Approaches — https://doi.org/10.3390/nu15204357</w:t>
      </w:r>
    </w:p>
    <w:p>
      <w:r>
        <w:t>Shared claim-specific concepts: findings, recent, involving; EU scope not established. This is a provisional connection, not an outcome finding.</w:t>
      </w:r>
    </w:p>
    <w:p>
      <w:r>
        <w:t>Available abstract (not full text): Breast cancer (BC), a complex disease with several influencing factors, is significantly impacted by dietary habits. The ketogenic diet (KD), characterized by high fat and low carbohydrate intake, has gained attention as a potential therapeutic approach, but its effects on BC remain unclear. This review seeks to summarize the current knowledge on the principles of the KD, its metabolic influence on BC cells, and the findings of recent clinical trials, in order to elucidate the potential therapeutic role of the KD in BC management. For these purposes, a comprehensive literature review was conducted selecting preclinical and clinical studies that investigate the relationship between the KD and BC. The selection criteria prioritized studies exploring the KD's metabolic effects on BC cells and current clinical trials involving the KD in BC management. The reviewed studies provide a diverse range of findings, with some suggesting potential benefits of the KD in inhibiting tumor growth and improving treatment response. However, robust clinical trials providing clear evidence of the KD's efficacy as a standalone therapeutic approach in BC are still lacking. There are also significant concerns regarding the safety and long-term effects of sustained ketosis in cancer patients. The therapeutic potential of the KD in BC remains an area of active research and debate. While preliminary find</w:t>
      </w:r>
    </w:p>
    <w:p>
      <w:pPr>
        <w:pStyle w:val="Heading2"/>
      </w:pPr>
      <w:r>
        <w:t>Forecast for the zone of viticulture in European Russia under climate change</w:t>
      </w:r>
    </w:p>
    <w:p>
      <w:r>
        <w:t>Original source (2022): https://doi.org/10.18699/vjgb-22-33</w:t>
      </w:r>
    </w:p>
    <w:p>
      <w:r>
        <w:t>Original wording (abstract; indexed_source_text_not_full_document_verified): At the same time, a possible decrease in the minimum winter temperature at the south of European Russia will require additional protective measures in winter, while an increase in the aridity of the climate on the northwest coast of the Caspian Sea will reduce the area under non-irrigated vineyards. The increase in heat supply during the growing season in European Russia implies a possibility of expanding the ZCV northward, beyond the present-day terminal latitude of 46.6° N, to 51.8° N under the existing conditions, and up to 60.7° N by 2050.</w:t>
      </w:r>
    </w:p>
    <w:p>
      <w:r>
        <w:t>POSSIBLE 2026: Non-stationary time series attribution for heatwaves over Europe — https://doi.org/10.5194/ascmo-12-243-2026</w:t>
      </w:r>
    </w:p>
    <w:p>
      <w:r>
        <w:t>Shared claim-specific concepts: time, temperature, climate, heat; EU scope visible. This is a provisional connection, not an outcome finding.</w:t>
      </w:r>
    </w:p>
    <w:p>
      <w:r>
        <w:t>Available abstract (not full text): The increasing occurrence of extreme weather events since the beginning of the 21st century has led to the development of new methods to attribute extreme events to anthropogenic climate change. The way in which the extreme event is defined has a major influence on the attribution result. A frequently overlooked aspect concerns the temporal dependence of extremes. This study presents an approach for attributing complete time series during extreme events to anthropogenic forcing. The approach is based on a non-stationary Markov process using bivariate extreme value theory to model the temporal dependence of the time series. We calculate the likelihood ratio of an observational time series from ERA5 given the distributions as estimated from CMIP6 simulations with historical natural-only and natural and anthropogenic forcing scenarios. The spatial fields are condensed by the extremal pattern index (EPI) as a compact description of spatial extremes. In addition, the study examines the extent to which attribution statements about the occurrence of extreme heat events change when the effect of the mean warming is eliminated. The resulting attribution statement provides very strong evidence for the scenario with anthropogenic drivers over Europe, especially since the beginning of the 21st century. For central and southern Europe, the influence of anthropogenic greenhouse gas emissions</w:t>
      </w:r>
    </w:p>
    <w:p>
      <w:r>
        <w:t>POSSIBLE 2026: Pro-environmental behaviour in Europe: A comparison across individuals, countries and time — https://openalex.org/W7160008135</w:t>
      </w:r>
    </w:p>
    <w:p>
      <w:r>
        <w:t>Shared claim-specific concepts: time, decrease, increase, climate, reduce; EU scope visible. This is a provisional connection, not an outcome finding.</w:t>
      </w:r>
    </w:p>
    <w:p>
      <w:r>
        <w:t>Available abstract (not full text):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r>
        <w:t>POSSIBLE 2025: Impact of climate and Aedes albopictus establishment on dengue and chikungunya outbreaks in Europe: a time-to-event analysis — https://doi.org/10.1016/s2542-5196(25)00059-2</w:t>
      </w:r>
    </w:p>
    <w:p>
      <w:r>
        <w:t>Shared claim-specific concepts: time, temperature, measures, increase, climate; EU scope visible. This is a provisional connection, not an outcome finding.</w:t>
      </w:r>
    </w:p>
    <w:p>
      <w:r>
        <w:t xml:space="preserve">Available abstract (not full text):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r>
        <w:t>POSSIBLE 2025: TDM and AI Training in the European Union – From ‘ LAION ’ to Possible Ways Ahead? — https://doi.org/10.1093/grurint/ikaf114</w:t>
      </w:r>
    </w:p>
    <w:p>
      <w:r>
        <w:t>Shared claim-specific concepts: same, time, possible; EU scope visible. This is a provisional connection, not an outcome finding.</w:t>
      </w:r>
    </w:p>
    <w:p>
      <w:r>
        <w:t>Available abstract (not full text): Abstract The first judgments have been rendered in the European Union that directly or indirectly deal with AI training, and the corresponding applicability, conditions and scope of the European exception to copyright for commercial text and data mining (TDM). These judgments serve as important impulses for the future interpretation of the provision and the current legal and policy debate on AI training and TDM in the EU. The most pressing question is how to define the requirements for a machine-readable opt-out pursuant to Art. 4(3) DSM Directive, even more so since Art. 53(1)(c) AI Act obliges providers of general-purpose AI models to put in place a policy to identify and comply with corresponding reservations of rights during the training process – even when carried out in a third country outside the EU. This is not only relevant from a doctrinal point of view. Rather, the interpretation and specification of and the interplay between Art. 4(3) DSM Directive and Art. 53(1)(c) AI Act are of key importance for future global AI training practice. At the same time, these provisions constitute the main anchoring point in EU copyright law for reflecting on the possible development of licensing markets for AI training material and/or possible de lege ferenda options under a legal policy perspective.</w:t>
      </w:r>
    </w:p>
    <w:p>
      <w:r>
        <w:t>POSSIBLE 2025: Updated monthly homogenized precipitation analysis HOMPRA Europe 2 online — https://doi.org/10.5194/ems2025-682</w:t>
      </w:r>
    </w:p>
    <w:p>
      <w:r>
        <w:t>Shared claim-specific concepts: same, time, possible, minimum; EU scope visible. This is a provisional connection, not an outcome finding.</w:t>
      </w:r>
    </w:p>
    <w:p>
      <w:r>
        <w:t>Available abstract (not full text): Reliable data is essential for robust precipitation trend analyses. However, long time series in particular often contain artificial changes due to changes in the measurement conditions (e.g. instrument changes or relocations). These can lead to an artificial signal in the data and mask the actual changes in the time series. In order to perform long-term precipitation change analyses, the monthly grid product HOMPRA Europe 2 (HOMogenized PRecipitation Analysis of European in-situ data) was developed at the Global Precipitation Climatology Centre (GPCC) and is available for the period 1951-2015 with 0.5°, 1.0° and 2.5° spatial resolution. The database consists of monthly time series carefully selected from the GPCC's data archive with less than 20% missing values. All data have already passed the GPCC's semi-automatic quality control. Compared to its predecessor, the number of incoming stations has increased from 5373 to 7916 and the data set has been extended from 2005 to 2015. The selected time series have been homogenized. This process recognizes and corrects the artificial influences as far as possible while retaining the natural changes. The actual algorithm is essentially based on three steps (Rustemeier et al., 2017): Selection of overlapping station networks located in the same precipitation regime, based on rank correlation and Ward's method of minimum variance. The nat</w:t>
      </w:r>
    </w:p>
    <w:p>
      <w:r>
        <w:t>POSSIBLE 2025: A Possible Way to Enhance European Competitiveness — https://doi.org/10.34190/ecie.20.1.3930</w:t>
      </w:r>
    </w:p>
    <w:p>
      <w:r>
        <w:t>Shared claim-specific concepts: possible, increase, area; EU scope visible. This is a provisional connection, not an outcome finding.</w:t>
      </w:r>
    </w:p>
    <w:p>
      <w:r>
        <w:t>Available abstract (not full text): In our Conference presentation, we would like to present a possible way to enhance European Competitiveness, which is registered in the Hungarian Intellectual Property Office under the name of the “IK &amp; International Innovation Center” Project. (Voluntary registration number: Y2500012). In the introductory part, our previous research results – primarily related to Library Innovation, generating creativity and startups and the associated social media platform – will be briefly presented. In our presentation, we will also discuss the results of university students’ responses to online questionnaires related to this topic. The International Innovation Center Project (IICP) aims to increase the competitiveness of the EU by establishing an International Innovation Center, which would be implemented in the capital of an EU member state, with the participation of all EU countries. Some main parameters: in the 27-story “Metropolis”, each EU member state would have its own floor – research lab, mini innovative exhibition area, luxury apartment – ​​as well as a “common” innovative Startup centre (permanent interactive exhibition open to both professionals and the general public), a common, high-tech equipped, ergonomic, library research and development lab including Coworking elements, an international conference centre, a cultural and sports centre, an Innovation Park with a helipad. Th</w:t>
      </w:r>
    </w:p>
    <w:p>
      <w:r>
        <w:t>POSSIBLE 2024: The possible future of electric road systems in Europe—time to decide and act — https://doi.org/10.1088/2634-4505/ad3576</w:t>
      </w:r>
    </w:p>
    <w:p>
      <w:r>
        <w:t>Shared claim-specific concepts: time, possible, climate; EU scope visible. This is a provisional connection, not an outcome finding.</w:t>
      </w:r>
    </w:p>
    <w:p>
      <w:r>
        <w:t>Available abstract (not full text): Abstract Electrification of road transport is crucial to limit global warming. Battery electric vehicles with stationary charging infrastructure have received considerable attention in the scientific literature for both cars and trucks, while dynamic charging via electric road systems (ERS) has received much less attention and their future role in low-carbon road transport is uncertain. Here, we envision three potential scenarios for the future of ERS in European low-carbon transport. We sketch a potential European ERS network and discuss the political, technological, and market steps needed to realize these. We argue that existing field trials, tests, and research projects have collected sufficient evidence to make the next step: Decide and act. Decision-makers will never have perfect information about all aspects of ERS or competing technologies, but the urgency of the climate crisis requires a commitment one way or the other. A clear decision with respect to ERS would send a clear directive and would help focus time, effort, and money on the necessary infrastructure and policies to implement ambitious GHG abatement targets in road transport.</w:t>
      </w:r>
    </w:p>
    <w:p>
      <w:r>
        <w:t>POSSIBLE 2023: Possible changes over time: poverty among migrants in the European Union — https://doi.org/10.1080/1331677x.2023.2264377</w:t>
      </w:r>
    </w:p>
    <w:p>
      <w:r>
        <w:t>Shared claim-specific concepts: time, possible, increase, reduce; EU scope visible. This is a provisional connection, not an outcome finding.</w:t>
      </w:r>
    </w:p>
    <w:p>
      <w:r>
        <w:t>Available abstract (not full text): Over the past decade, the countries of the European Union have faced an increase in immigration flows from less developed and politically stable countries. The movement of migrants created new socio-economic challenges that affected their well-being. Thus, it is fair to ask: what influences the income level of migrants? The aim of the article is to study the influence of the selected determinants on the probability of poverty among migrants in the European Union. Using EU-SILC data for 2014 and 2018, we also explore possible changes in the strength of the determinants of poverty, depending on the pre-crisis and post-crisis periods associated with an increase in immigration. We report that immigrant status expressed by the birth outside the EU or holding other than EU citizenship increases the likelihood of being poor. The applied logistic model show that migrant poverty is associated with the level of education achieved, marital status, occupation, and housing ownership. Using macroeconomic variables, we find that the ratio of migrants to population, population size, and social-democratic welfare regime reduce the likelihood of poverty among migrants.</w:t>
      </w:r>
    </w:p>
    <w:p>
      <w:r>
        <w:t>POSSIBLE 2023: First Expert Elicitation of Knowledge on Possible Drivers of Observed Increasing Human Cases of Tick-Borne Encephalitis in Europe — https://doi.org/10.3390/v15030791</w:t>
      </w:r>
    </w:p>
    <w:p>
      <w:r>
        <w:t>Shared claim-specific concepts: possible, temperature, increase; EU scope visible. This is a provisional connection, not an outcome finding.</w:t>
      </w:r>
    </w:p>
    <w:p>
      <w:r>
        <w:t>Available abstract (not full text): Tick-borne encephalitis (TBE) is a viral disease endemic in Eurasia. The virus is mainly transmitted to humans via ticks and occasionally via the consumption of unpasteurized milk products. The European Centre for Disease Prevention and Control reported an increase in TBE incidence over the past years in Europe as well as the emergence of the disease in new areas. To better understand this phenomenon, we investigated the drivers of TBE emergence and increase in incidence in humans through an expert knowledge elicitation. We listed 59 possible drivers grouped in eight domains and elicited forty European experts to: (i) allocate a score per driver, (ii) weight this score within each domain, and (iii) weight the different domains and attribute an uncertainty level per domain. An overall weighted score per driver was calculated, and drivers with comparable scores were grouped into three terminal nodes using a regression tree analysis. The drivers with the highest scores were: (i) changes in human behavior/activities; (ii) changes in eating habits or consumer demand; (iii) changes in the landscape; (iv) influence of humidity on the survival and transmission of the pathogen; (v) difficulty to control reservoir(s) and/or vector(s); (vi) influence of temperature on virus survival and transmission; (vii) number of wildlife compartments/groups acting as reservoirs or amplifying hosts; (v</w:t>
      </w:r>
    </w:p>
    <w:p>
      <w:pPr>
        <w:pStyle w:val="Heading2"/>
      </w:pPr>
      <w:r>
        <w:t>Forecasting the Volatility of European Union Allowance Futures with Climate Policy Uncertainty Using the EGARCH-MIDAS Model</w:t>
      </w:r>
    </w:p>
    <w:p>
      <w:r>
        <w:t>Original source (2022): https://doi.org/10.3390/su14074306</w:t>
      </w:r>
    </w:p>
    <w:p>
      <w:r>
        <w:t>Original wording (abstract; indexed_source_text_not_full_document_verified): There is room for further application of the model, such as this model could be applied to price carbon futures, so as to improve the liquidity of the carbon market and achieve carbon peak and carbon neutrality as soon as possible.</w:t>
      </w:r>
    </w:p>
    <w:p>
      <w:r>
        <w:t>POSSIBLE 2025: The Elephant in the Family Policy Room: How Care Culture Influences the Effects of Public Childcare on Women’s Labor Market Participation in Europe — https://doi.org/10.1007/s11205-025-03719-2</w:t>
      </w:r>
    </w:p>
    <w:p>
      <w:r>
        <w:t>Shared claim-specific concepts: room, achieve; EU scope visible. This is a provisional connection, not an outcome finding.</w:t>
      </w:r>
    </w:p>
    <w:p>
      <w:r>
        <w:t xml:space="preserve">Available abstract (not full text): Abstract This paper examines how cultural contexts influence the extent to which policies aimed at supporting women’s employment and gender equality achieve their objectives. More specifically, it addresses how the availability of formal public childcare services for children under the age of three and their expansion support women’s labour market participation in different cultural contexts. Few studies have examined cultural and structural factors together. The study integrates individual-level data from the European Social Survey on women’s employment and their attitudes with time-varying regional-level information from statistical offices on public early childhood education and care (ECEC) provision and information on gender care culture obtained from different waves of the European Values Study. We find that increasing the availability of ECEC is particularly effective in promoting women’s full-time employment and women’s labour market participation in contexts where traditional cultural values regarding gendered care prevail. The results appear to be independent of individual attitudes. The paper highlights the interaction between structural and cultural factors in shaping employment behaviour and suggests that the outcomes of social policy interventions, such as the expansion of ECEC, are strongly influenced by cultural contexts, although not necessarily in the expected </w:t>
      </w:r>
    </w:p>
    <w:p>
      <w:r>
        <w:t>POSSIBLE 2025: Stuck in the waiting room: citizen experiences of administrative limbo in three European crises — https://doi.org/10.1093/jopart/muaf017</w:t>
      </w:r>
    </w:p>
    <w:p>
      <w:r>
        <w:t>Shared claim-specific concepts: there, room, further; EU scope visible. This is a provisional connection, not an outcome finding.</w:t>
      </w:r>
    </w:p>
    <w:p>
      <w:r>
        <w:t>Available abstract (not full text): Abstract In recent years, there have been numerous cases where citizens have found themselves stuck in highly protracted administrative processes affecting outcomes vital to their lives and livelihoods. However, systematic inquiries into the experience of being trapped by bureaucratic procedures or state inaction for sometimes multiple years are still lacking. To study the interactions between citizens and the state when long waiting times and significant outcomes are involved, we introduce the concept of administrative limbo. We examine administrative limbo using primary and secondary interview data from the Irish defective concrete block crisis, the Dutch childcare benefits affair, and the Dutch Groningen gas crisis. Findings suggest that experiences of administrative limbo are marked by prolonged and extensive uncertainty, accumulating strain, and negatively impacted life perspectives. We find that the effects of being stuck in administrative limbo are profound, indicating that temporal experiences of inaction and action should be further explored in public administration.</w:t>
      </w:r>
    </w:p>
    <w:p>
      <w:r>
        <w:t>POSSIBLE 2024: Evaluation of an automated decision aid for the further referral of emergency room patients — https://doi.org/10.3238/arztebl.m2024.0191</w:t>
      </w:r>
    </w:p>
    <w:p>
      <w:r>
        <w:t>Shared claim-specific concepts: there, room, further, application; EU scope visible. This is a provisional connection, not an outcome finding.</w:t>
      </w:r>
    </w:p>
    <w:p>
      <w:r>
        <w:t>Available abstract (not full text): BACKGROUND: Instruments for the initial evaluation of emergency room patients as an aid to their onward referral to ambulatory care structures are a matter of current interest. In this study, we assess the safety of the software application SmED-Kontakt+ for this purpose. SmED is an abbreviation for Strukuturierte Medizinische Ersteinschätzung Deutschland, "structured initial medical evaluation in Germany." METHODS: In this prospective cohort study, we compared the recommendations of SmED-Kontakt+ concerning the time and place of further care with those of the treating physicians. The subjects were adult patients who were able to walk and had presented themselves to the emergency room. Whenever SmED-Kontakt+ assessed the situation less critically than the physicians, and in 5% of the remaining cases, the potential endangerment of patient safety was assessed by an expert panel (expected value &lt;1%). RESULTS: In a total of 1840 cases, SmED-Kontakt+ agreed with the physicians' assessment in 353 (19%). The assessment of SmEDKontakt+ was more critical in 1221 cases (66%) and less critical in 266 (15%; potential undertriage). There was potential endangerment in 49 cases (2.7%; 95% confidence interval [2.0; 3.5]). Potential endangerment was less common among patients in the more urgent recommendation categories [0.1; 2.6] and more common in the categories of a recommended outpatient ph</w:t>
      </w:r>
    </w:p>
    <w:p>
      <w:pPr>
        <w:pStyle w:val="Heading2"/>
      </w:pPr>
      <w:r>
        <w:t>Foresight Research as а Strategic Planning Component</w:t>
      </w:r>
    </w:p>
    <w:p>
      <w:r>
        <w:t>Original source (2022): https://doi.org/10.37491/unz.85-86.15</w:t>
      </w:r>
    </w:p>
    <w:p>
      <w:r>
        <w:t>Original wording (abstract; indexed_source_text_not_full_document_verified): While forecasting tries to predict a single «correct» version of the future, Forsythe uses several alternative plausible futures based on their usefulness to develop sound, forward-looking policies.</w:t>
      </w:r>
    </w:p>
    <w:p>
      <w:r>
        <w:t>POSSIBLE 2024: To be predicted, or not to be predicted — https://doi.org/10.4324/9781032656885-2</w:t>
      </w:r>
    </w:p>
    <w:p>
      <w:r>
        <w:t>Shared claim-specific concepts: predict, single, uses; EU scope not established. This is a provisional connection, not an outcome finding.</w:t>
      </w:r>
    </w:p>
    <w:p>
      <w:r>
        <w:t>Available abstract (not full text): What follows uses both historical and theoretical tools to define the framework within which the philosophical meaning of the current obsession with technological prediction, which will be analysed in the following chapters, may be understood. The cradle of Western culture, from scripture to mythology to philosophy, continuously suggests that knowledge, specifically the prediction of humans’ future, can be dangerous to humans themselves. Yet, most interestingly, the history of Western culture coincides with the increasing attempt to make knowledge the primary objective of human activities, from philosophy itself to science and technology. More precisely, the more technology develops, the more its primary objective is to know our future, specifically to predict our future as single individuals, from our bodies’ performance to our minds’ performance. The opposition between the strive not to know and the strive to know, to the point that we automatically predict our future as single individuals, is an exceedingly meaningful symptom to try to understand the present time.</w:t>
      </w:r>
    </w:p>
    <w:p>
      <w:r>
        <w:t>POSSIBLE 2024: Single Moving Average Method Forecasting to Predict Skincare Sales — https://doi.org/10.24014/ijaidm.v8i1.32028</w:t>
      </w:r>
    </w:p>
    <w:p>
      <w:r>
        <w:t>Shared claim-specific concepts: tries, predict, single, based; EU scope not established. This is a provisional connection, not an outcome finding.</w:t>
      </w:r>
    </w:p>
    <w:p>
      <w:r>
        <w:t>Available abstract (not full text): Nada Nadine Skincare Store is a business engaged in the sale of beauty skincare. Nada Nadine Skincare Store was established in 2023 and is located on Jalan Lingkungan IV Air Joman, Asahan Regency. The problem at Nada Nadine Skincare Store is that it has difficulty in estimating the level of demand for beauty skincare (Wardah) for inventory because it is still guessing and experience from the production department of Nada Nadine Skincare Store and there is no beauty skincare sales forecasting system that will make it easier for Nada Nadine Skincare Store to determine the amount of beauty skincare (Wardah) inventory. The purpose of this system is to be able to apply the single moving average method to the beauty skincare (Wardah) sales demand forecasting system at the Nada Nadine Skincare Store and to be able to design a website-based beauty skincare (Wardah) sales demand forecasting system at the Nada Nadine Skincare Store using the PHP programming language and MySql database. From the problem analysis, the author tries to predict the amount of beauty skincare demand using the Single Moving Average (SMA) method. The conclusion that can be drawn from research on the Single Moving Average (SMA) based skincare sales forecasting system forecasts the sales demand for beauty skincare (wardah) at the Nada Nadine Skincare Store so The system calculation results are the same as the manua</w:t>
      </w:r>
    </w:p>
    <w:p>
      <w:r>
        <w:t>POSSIBLE 2024: Significance of Anatomical Constraints in Virtual Try-On — https://doi.org/10.1109/tetci.2024.3353080</w:t>
      </w:r>
    </w:p>
    <w:p>
      <w:r>
        <w:t>Shared claim-specific concepts: predict, single, based; EU scope not established. This is a provisional connection, not an outcome finding.</w:t>
      </w:r>
    </w:p>
    <w:p>
      <w:r>
        <w:t>Available abstract (not full text): The system of Virtual Try-ON (VTON) allows a user to try a product virtually. In general, a VTON system takes a clothing source and a person's image to predict the try-on output of the person in the given clothing. Although existing methods perform well for simple poses, in case of bent or crossed arms posture or when there is a significant difference between the alignment of the source clothing and the pose of the target person, these methods fail by generating inaccurate clothing deformations. In the VTON methods that employ Thin Plate Spline (TPS) based clothing transformations, this mainly occurs for two reasons - (1) the second-order smoothness constraint of TPS that restricts the bending of the object plane. (2) Overlaps among different clothing parts (e.g., sleeves and torso) can not be modeled by a single TPS transformation, as it assumes the clothing as a single planar object; therefore, disregards the independence of movement of different clothing parts. To this end, we make two major contributions. Concerning the bending limitations of TPS, we propose a human AnaTomy-Aware Geometric (ATAG) transformation. Regarding the overlap issue, we propose a part-based warping approach that divides the clothing into independently warpable parts to warp them separately and later combine them. Extensive analysis shows the efficacy of this approach.</w:t>
      </w:r>
    </w:p>
    <w:p>
      <w:r>
        <w:t>POSSIBLE 2024: Hybrid Visual Predictive Control for Single and Multi-Agent Systems — https://doi.org/10.32920/25234732</w:t>
      </w:r>
    </w:p>
    <w:p>
      <w:r>
        <w:t>Shared claim-specific concepts: single, several, based; EU scope not established. This is a provisional connection, not an outcome finding.</w:t>
      </w:r>
    </w:p>
    <w:p>
      <w:r>
        <w:t xml:space="preserve">Available abstract (not full text): Visual servoing (VS) is a technique which utilizes information acquired from a visual sensor to control the motion of a robot. Despite the advantages of the classic VS techniques in controlling of the robots- specifically in unstructured environments- they suffer from some system’s shortcomings such as the lack of an effective mechanism for handling the existing constraints within the control procedure. To alleviate these issues, among the several approaches proposed in the literature, the receding horizon or model predictive control (MPC) technique is an appropriate candidate to be employed by the system. Any combination of the model predictive control and visual servoing is called visual predictive control (VPC) which is categorized as the classic and hybrid methods. The classic VPC schemes are developed based on the classic VS approaches and the hybrid ones employ the hybrid VS schemes to be integrated by MPC. On the other hand, to guarantee the convergence of the system in presence of the noises and uncertainties, the proposed VPC schemes are embedded in internal model control (IMC) framework. This work contributes by utilizing the available VPC scheme in control of different robots, such as 3 DOF catheter as a continuum robot and a 6 DOF manipulator from Denso robotics as a robot arm, and by developing two hybrid predictive controllers, conjugated VPC and depth-based VPC, </w:t>
      </w:r>
    </w:p>
    <w:p>
      <w:r>
        <w:t>POSSIBLE 2024: scEpiAge: an age predictor highlighting single-cell ageing heterogeneity in mouse blood — https://doi.org/10.1038/s41467-024-51833-5</w:t>
      </w:r>
    </w:p>
    <w:p>
      <w:r>
        <w:t>Shared claim-specific concepts: predict, single, develop; EU scope not established. This is a provisional connection, not an outcome finding.</w:t>
      </w:r>
    </w:p>
    <w:p>
      <w:r>
        <w:t>Available abstract (not full text): Ageing is the accumulation of changes and decline of function of organisms over time. The concept and biomarkers of biological age have been established, notably DNA methylation-based clocks. The emergence of single-cell DNA methylation profiling methods opens the possibility of studying the biological age of individual cells. Here, we generate a large single-cell DNA methylation and transcriptome dataset from mouse peripheral blood samples, spanning a broad range of ages. The number of genes expressed increases with age, but gene-specific changes are small. We next develop scEpiAge, a single-cell DNA methylation age predictor, which can accurately predict age in (very sparse) publicly available datasets, and also in single cells. DNA methylation age distribution is wider than technically expected, indicating epigenetic age heterogeneity and functional differences. Our work provides a foundation for single-cell and sparse data epigenetic age predictors, validates their functionality and highlights epigenetic heterogeneity during ageing.</w:t>
      </w:r>
    </w:p>
    <w:p>
      <w:pPr>
        <w:pStyle w:val="Heading2"/>
      </w:pPr>
      <w:r>
        <w:t>Foresight of teachers’ professional challenges</w:t>
      </w:r>
    </w:p>
    <w:p>
      <w:r>
        <w:t>Original source (2022): https://doi.org/10.17853/1994-5639-2022-6-60-83</w:t>
      </w:r>
    </w:p>
    <w:p>
      <w:r>
        <w:t>Original wording (abstract; indexed_source_text_not_full_document_verified): As a result of the study, it was found that the main challenge in the future will be the lack of competencies and skills of teachers to apply the necessary techniques and technologies. From the teachers’ point of view, the main challenge in the future will be the lack of time for the necessary changes.</w:t>
      </w:r>
    </w:p>
    <w:p>
      <w:r>
        <w:t>POSSIBLE 2026: Main Results of the Second LPT Challenge — https://doi.org/10.55037/lxlaser.22nd.105</w:t>
      </w:r>
    </w:p>
    <w:p>
      <w:r>
        <w:t>Shared claim-specific concepts: main, challenge, time; EU scope not established. This is a provisional connection, not an outcome finding.</w:t>
      </w:r>
    </w:p>
    <w:p>
      <w:r>
        <w:t>Available abstract (not full text): This work presents the main results of the second Lagrangian Particle Tracking (LPT) challenge, jointly organized by TU Delft, DLR, ONERA, and Penn State. We consider three test cases, namely two synthetic (a turbulent channel flow and the near-wall flow in the wake of cylindrical obstacles) and one experimental (Rayleigh-Bénard convection). Both timeresolved (for all test cases) and two-pulse (for the latter two test cases) image acquisitions are addressed. The effects of relevant parameters of the experimental setup are analysed, including the particle image density (ppp), the time separation between image recordings, the presence or absence of Mie scattering and the fraction of the total measurement volume imaged by all the cameras. The results are presented in terms of precision and recall of the particle reconstruction, as well as errors of the reconstructed particle positions, velocities and accelerations. The input data is freely available for download in the online portal (https://onera-flow-benchmarks.fr/en/Second_LPT_DA_Challenge), where the automatic evaluation of the submitted results is conducted.</w:t>
      </w:r>
    </w:p>
    <w:p>
      <w:r>
        <w:t>POSSIBLE 2025: The Types Of Illocutionary Found In The Main Character’s Utterances In Alladin Movie — https://doi.org/10.22334/traverse.v6i1.169</w:t>
      </w:r>
    </w:p>
    <w:p>
      <w:r>
        <w:t>Shared claim-specific concepts: result, found, main; EU scope not established. This is a provisional connection, not an outcome finding.</w:t>
      </w:r>
    </w:p>
    <w:p>
      <w:r>
        <w:t>Available abstract (not full text): This study is concerned with analyzing the research entitled Illocutionary Acts Found In The Main Character’s Utterances. This research is concerned with identifying the types of illocutionary acts used by the main characters, how often the types of illocutionary acts occurred, and which types appeared most frequently in the movie. This research utilized qualitative method, which is the data were achieved by watch the movie. Five types of illocutionary acts were discovered in the utterance of the main characters in Alladin movie as a result of this analysis. Those are declarative, representative, expressive, directive, commissive. The qualitative method was applied to find out the frequency and the types of illocutionary acts used in alladin movie. The researcher found five types those are directive 3 data or 23%, expressive 3 data or 23% , representative 2 data or 15%, commissive 1 data or 8%, and declarative 4 data or 31% used in alladin movie. The most frequent type used was declarative. Keywords: illocutionary acts, main characters, movie</w:t>
      </w:r>
    </w:p>
    <w:p>
      <w:r>
        <w:t>POSSIBLE 2025: Prevalence of main soybean seed pathogens according to phytosanitary expertise results — https://doi.org/10.31073/kormovyrobnytstvo2025100-08</w:t>
      </w:r>
    </w:p>
    <w:p>
      <w:r>
        <w:t>Shared claim-specific concepts: found, main, necessary; EU scope not established. This is a provisional connection, not an outcome finding.</w:t>
      </w:r>
    </w:p>
    <w:p>
      <w:r>
        <w:t>Available abstract (not full text): Purpose. High soybean productivity depends on the high-quality and healthy seeds, therefore, in the context of intensification of agriculture and climate change, phytosanitary examination is of key importance for controlling seed infections. The purpose of the research is a detailed analysis of the dynamics of detection and level of damage to soybean seeds (Glycine max (L.) Merr.) by the main phytopathogens based on the results of a multi-year phytosanitary examination. Methods. The phytosanitary assessment for the 2021-2025 was carried out using mycological and bacteriological methods to determine the main pathogens (Fusarium spp., Alternaria spp., Sclerotinia sclerotiorum, etc.), using the wet chamber method, sowing on sterile sand, visual diagnostics and microscopy. Results. The prevalence of the main pathogens of soybean seeds was analyzed based on the results of phytosanitary examination over a five-year period. A steady increase in the infectious load on soybean seeds was detected for all the studied groups of pathogens. The prevalence of fusariosis and mold showed an almost universal character, reaching 100% of affected samples in all years of observation. Bacterial infections also maintained an extremely high presence. Of particular concern is the exponential increase in the prevalence of sclerotiniosis, which indicates its rapid expansion. It was found that with the in</w:t>
      </w:r>
    </w:p>
    <w:p>
      <w:r>
        <w:t>POSSIBLE 2025: The Illocutionary Acts Found in Main Characters’ Conversation of the Maleficent Movie — https://doi.org/10.24256/ideas.v12i2.5457</w:t>
      </w:r>
    </w:p>
    <w:p>
      <w:r>
        <w:t>Shared claim-specific concepts: result, found, main; EU scope not established. This is a provisional connection, not an outcome finding.</w:t>
      </w:r>
    </w:p>
    <w:p>
      <w:r>
        <w:t>Available abstract (not full text): The purpose of this study is to explore the types of illocutionary acts and the context of situations in each utterance within the Maleficent movie. The study is grounded in Searle's (1979) theory on illocutionary act types and Halliday and Hasan's (1989) theory on situational context. The analysis was carried out using a descriptive qualitative approach. To gather the data, the researcher employed an observation method, which involved watching the Maleficent movie multiple times and taking notes on the main characters' utterances. After gathering the data, the researcher analyzed it in a series of procedures, including categorizing the illocutionary acts by kind and determining the context of each situation. The results of this investigation revealed 39 utterances that suggest illocutionary acts. The following is the result of this study: directives have the highest frequency of occurrence (30.8 %) with 12 utterances. It is followed by commissive (11 utterances, 28.2%), assertive (10 utterances, 25.6%), expressives (4 utterances, 10.3%), and declaratives (2 utterances, 5.1%).</w:t>
      </w:r>
    </w:p>
    <w:p>
      <w:r>
        <w:t>POSSIBLE 2024: PRENATAL GENETIC STUDY OF THE MAIN ALTERATIONS FOUND IN THE CITY OF GOIÂNIA - GOIÁS — https://doi.org/10.22533/at.ed.1594362410049</w:t>
      </w:r>
    </w:p>
    <w:p>
      <w:r>
        <w:t>Shared claim-specific concepts: found, main; EU scope not established. This is a provisional connection, not an outcome finding.</w:t>
      </w:r>
    </w:p>
    <w:p>
      <w:r>
        <w:t>Available abstract (not full text): Introduction: The first prenatal screening test was introduced in the 1970s: a single second trimester serum test for maternal serum alpha-fetoprotein, a marker of neural tube defects.Screening for aneuploidy using maternal serum markers was introduced in the 1980s, and the number and complexity of screening tests offered has been on an upward trajectory since then.Prenatal genetic screening is used to assess whether there is an increased risk of the fetus being affected by a genetic disorder.Objective: To evaluate the main alterations found in prenatal genetic studies.Methods: This is a cross-sectional, analytical, descriptive epidemiological study that will be carried out at the malformation outpatient clinic of Clínica Fértile with the findings of the last 4 years.Results: We found 73 results with fetal anomalies with a mean maternal age of 32, ranging from 16 years to 45 years.The main indication was due to increased NT with 34 (46.9%) of the cases, amniocentesis was the main test of choice 65 (89%), the age of highest incidence of changes were with maternal age below 35 years in 46 (63%) of the cases.The main alteration found was Trisomy 18, 24 (32.9%)followed by Trisomy 21 23 (31.5%), in women under 35 years the main alteration was Trisomy 18 in 18 (39, 1%) and in women over 35 years old, the main alteration was Trisomy 21, 14 (51.9%).Conclusion: In the studied group, the</w:t>
      </w:r>
    </w:p>
    <w:p>
      <w:r>
        <w:t>POSSIBLE 2023: The integration of Lean Six Sigma in the industry: the main difficulties found according to the Integrative Literature Review and the application of opportunities and improvements to optimize results — https://openalex.org/W7155457411</w:t>
      </w:r>
    </w:p>
    <w:p>
      <w:r>
        <w:t>Shared claim-specific concepts: found, main, lack, necessary; EU scope not established. This is a provisional connection, not an outcome finding.</w:t>
      </w:r>
    </w:p>
    <w:p>
      <w:r>
        <w:t>Available abstract (not full text): When considering the constant evolution of the Industry's procedures, standards and production, it is necessary to pay attention to the strategies that allow listing the gain in values with the reduction of waste, improving quality and productivity. Thus, in seeking to eliminate defects as much as possible, emphasis is placed on the Lean Six Sigma (LSS) methodology, which encompasses quantitative management strategies to increase and enhance these gains. In this context, the general objective of this work was to list possibilities for improvements to difficulties pointed out in the literature with regard to the integrated implementation of the LSS. To this end, a qualitative study with an Integrative Literature Review was used to synthesize findings on the main difficulties for the implementation of LSS in Industry, based on articles published between 20182023, also using Research Prism Figure. The results pointed to 10 articles that allowed the grouping of these difficulties into 7 thematic units: lack of technical training of professionals, communication and relationship failures, disregarding customer opinions and feedback, poorly designed and managed projects, waste of materials, equipment and materials of low quality and the need for Constant calibration of machines and equipment. From this data collection, it was possible to list the importance of seeking solutions for ea</w:t>
      </w:r>
    </w:p>
    <w:p>
      <w:r>
        <w:t>POSSIBLE 2023: Examples Concerning the Main Result — https://doi.org/10.1007/978-3-031-27704-7_11</w:t>
      </w:r>
    </w:p>
    <w:p>
      <w:r>
        <w:t>Shared claim-specific concepts: result, main, apply, necessary; EU scope not established. This is a provisional connection, not an outcome finding.</w:t>
      </w:r>
    </w:p>
    <w:p>
      <w:r>
        <w:t>Available abstract (not full text): Abstract We study whether it is possible to apply twisted Laplace spectra (and, if so, how many are necessary) to deduce isometry of some well-known examples of isospectral manifolds in the literature, due to Schüth (simply connected manifolds), Ikeda (lens spaces), Vignéras/Linowitz and Voight (arithmetic surfaces), Milnor (lattice examples), Doyle and Rossetti (Tetra and Didi), Sunada (based on group-theoretical examples from Gerst, Gaßmann and Komatsu), Brooks and Tse (surfaces of small genus, Riemann surfaces of small genus), Barden and Kang (surfaces of genus two), and Miatello and Rossetti (flat manifolds isospectral for all twists by linear characters).</w:t>
      </w:r>
    </w:p>
    <w:p>
      <w:r>
        <w:t>POSSIBLE 2023: Gold-Mining Offices of Siberia in 1923–1925: Main Results of Activity — https://doi.org/10.31518/2618-9100-2023-1-15</w:t>
      </w:r>
    </w:p>
    <w:p>
      <w:r>
        <w:t>Shared claim-specific concepts: found, main, time; EU scope not established. This is a provisional connection, not an outcome finding.</w:t>
      </w:r>
    </w:p>
    <w:p>
      <w:r>
        <w:t>Available abstract (not full text): The main purpose of the article is to analyze the activities of four gold-mining offices in Siberia for the entire period of their existence (1923)(1924)(1925), to determine their role and significance in Siberian gold mining.The relevance of the research is determined by the fact that significant gaps in the historiography of the industrial development of Siberia of the 1920s are filled, the experience of organizational work and the main results of the activities of small-scale gold industry units in the conditions of the new economic policy are studied.The author used historical-genetic, historical-comparative, concrete-historical methods.The methodological basis of the research is a region-oriented approach developed within the framework of modernization theory.In the course of the study, it was established that the Altai, Irkutsk, Krasnoyarsk and Tomsk gold-mining offices were organized by the Siberian authorities under the general leadership of Sibprombyuro to involve a huge mass of remote mines in the operation.These divisions gave organizational stability to mining operations in their areas of activity and consistently implemented a course of transition from buying gold to organizing prospecting works.At the same time, gold-mining offices failed to satisfactorily resolve a number of acute problems: to ensure their own self-sufficiency, organize geological exploration, me</w:t>
      </w:r>
    </w:p>
    <w:p>
      <w:pPr>
        <w:pStyle w:val="Heading2"/>
      </w:pPr>
      <w:r>
        <w:t>Future population ageing and productivity in Finland under different education and fertility scenarios</w:t>
      </w:r>
    </w:p>
    <w:p>
      <w:r>
        <w:t>Original source (2022): https://doi.org/10.23979/fypr.119666</w:t>
      </w:r>
    </w:p>
    <w:p>
      <w:r>
        <w:t>Original wording (abstract; indexed_source_text_not_full_document_verified): Applying a multidimensional demographic approach through a discrete-time microsimulation model, we project the newly introduced productivity-weighted labour force dependency ratio for Finnish scenarios until 2060 and compared it with the labour force dependency ratio and the traditional age dependency ratio. Provided a more rapid increase in educational attainment, the last indicator is expected to increase less, with 21 per cent until 2060.</w:t>
      </w:r>
    </w:p>
    <w:p>
      <w:r>
        <w:t>POSSIBLE 2026: MULTIDIMENSIONAL LOCAL RESILIENCE – ANALYSIS OF ENVIRONMENTAL, DEMOGRAPHIC AND INFRASTRUCTURAL FACTORS — https://doi.org/10.29119/1641-3466.2026.244.3</w:t>
      </w:r>
    </w:p>
    <w:p>
      <w:r>
        <w:t>Shared claim-specific concepts: multidimensional, demographic, approach; EU scope visible. This is a provisional connection, not an outcome finding.</w:t>
      </w:r>
    </w:p>
    <w:p>
      <w:r>
        <w:t>Available abstract (not full text): Purpose: The aim of this study is to assess the level and determinants of multidimensional local resilience in Polish municipalities between 2013 and 2023. The analysis focuses on the influence of environmental, demographic, and infrastructural factors on the adaptive capacity and socio-spatial cohesion of territorial units. Design/methodology/approach: The study is based on secondary data obtained from Statistics Poland (GUS), encompassing environmental, demographic, and infrastructural variables. A synthetic local resilience index was constructed using the CRITIC–TOPSIS method, and the results were analyzed with descriptive statistics, regression tests, ANOVA, and Spearman’s rank correlation. Findings: Local resilience in Poland depends primarily on environmental and infrastructural components, while demographic factors play a supporting role. Urban municipalities demonstrate the highest levels of resilience, with rural and urban–rural units showing intermediate values. The results indicate a synergistic interaction between environmental quality, infrastructure, and demographic stability, with a limited negative impact of intensive industrial activity. Research limitations/implications: The limitations concern insufficient data availability and challenges in capturing dynamic interactions. Future research should include cultural and institutional components, as well as predic</w:t>
      </w:r>
    </w:p>
    <w:p>
      <w:r>
        <w:t>POSSIBLE 2026: Understanding Life Insurance Demand In European Union: A Multidimensional Perspective — https://doi.org/10.6007/ijarbss/v16-i2/27518</w:t>
      </w:r>
    </w:p>
    <w:p>
      <w:r>
        <w:t>Shared claim-specific concepts: multidimensional, traditional; EU scope visible. This is a provisional connection, not an outcome finding.</w:t>
      </w:r>
    </w:p>
    <w:p>
      <w:r>
        <w:t>Available abstract (not full text): HRMARS - This paper investigates the role of cultural values in shaping life insurance demand across European Union countries. Using an unbalanced panel of 27 economies over the period 2017-2023, we estimate fixed-effects panel regressions to assess the impact of Hofstede’s cultural dimensions alongside key economic, socio-demographic, and institutional controls. Life insurance demand is proxied by the logarithm of insurance density, while income, inflation, income inequality, and political stability are included to ensure model robustness. The results confirm that economic factors remain fundamental drivers of life insurance demand: GDP per capita exerts a strong positive effect, whereas inflation significantly discourages long-term insurance uptake. Income inequality and political stability further support demand by enhancing purchasing capacity and institutional trust. Beyond these traditional determinants, cultural values play a substantial and persistent role. Individualism, indulgence, masculinity, uncertainty avoidance, and long-term orientation all exhibit positive and statistically significant effects in the fully specified model, while power distance remains insignificant. Notably, some cultural effects diverge from earlier findings for advanced economies, suggesting that cultural influences may operate differently within mature European insurance markets. Overall, th</w:t>
      </w:r>
    </w:p>
    <w:p>
      <w:r>
        <w:t>POSSIBLE 2026: Educational Mismatch and Multidimensional Immigration Attitudes: Evidence from Europe — https://openalex.org/W7207961011</w:t>
      </w:r>
    </w:p>
    <w:p>
      <w:r>
        <w:t>Shared claim-specific concepts: multidimensional, approach, educational, attainment; EU scope visible. This is a provisional connection, not an outcome finding.</w:t>
      </w:r>
    </w:p>
    <w:p>
      <w:r>
        <w:t>Available abstract (not full text): This paper uses European Social Survey (ESS) Round 11 (2023/24) data to analyse how educational mismatch is associated with attitudes toward immigration among European employees.It measures overeducation and undereducation through a realized-match approach, comparing workers' educational attainment to the modal level within their specific country and occupation.The study distinguishes between two attitudinal dimensions: 1 support for restrictive admission policies and the perceived positive consequences of immigration.Regression models reveal that while tertiary-educated workers show more favourable views, the pattern associated with educational mismatch is more nuanced.Specifically, undereducated workers tend to perceive the consequences of immigration more negatively than overeducated individuals but are simultaneously less supportive of restrictive admission policies.These findings indicate that educational mismatch relates differently to distinct dimensions of immigration attitudes, qualifying the assumption that overeducated workers are uniformly more proimmigration.</w:t>
      </w:r>
    </w:p>
    <w:p>
      <w:r>
        <w:t>POSSIBLE 2026: Distinct profiles of free speech support and their demographic, ideological, and epistemic characteristics — https://doi.org/10.1016/j.paid.2026.114009</w:t>
      </w:r>
    </w:p>
    <w:p>
      <w:r>
        <w:t>Shared claim-specific concepts: multidimensional, demographic, age; EU scope visible. This is a provisional connection, not an outcome finding.</w:t>
      </w:r>
    </w:p>
    <w:p>
      <w:r>
        <w:t>Available abstract (not full text): Background Support for free speech is often treated as a unidimensional construct, overlooking potential heterogeneity in how individuals evaluate different forms of expression. Building on recent multidimensional conceptualizations, the present study examines both the structure and person-centered patterns of free speech support. Method A sample of 563 European participants completed a 24-item measure assessing tolerance of offensive, disagreeing, heterodox, and socially divisive speech, alongside measures of demographics, political ideology, conspiracy ideation, and institutional trust. Confirmatory factor analysis (CFA) and latent profile analysis (LPA) were conducted. Findings CFA supported a correlated four-factor structure but not a higher-order general factor. LPA identified three profiles: conditional tolerance (56.7%), low tolerance (20.1%), and broad tolerance (23.3%). Profiles differed by gender, education, political ideology, conspiracy ideation, and institutional trust, but not age. Broad tolerance was associated with identifying as male, higher education, lower conservatism, higher conspiracy ideation, and lower institutional trust. Conclusion The findings demonstrate that support for free speech is both multidimensional and heterogeneously distributed. As the first study to apply LPA to this domain, it highlights distinct profiles of free speech attitudes and und</w:t>
      </w:r>
    </w:p>
    <w:p>
      <w:r>
        <w:t>POSSIBLE 2025: From symbolic violence to structural exclusion: The multidimensional nature of Islamophobia in Europe — https://doi.org/10.1016/j.ijintrel.2025.102327</w:t>
      </w:r>
    </w:p>
    <w:p>
      <w:r>
        <w:t>Shared claim-specific concepts: multidimensional, demographic, age; EU scope visible. This is a provisional connection, not an outcome finding.</w:t>
      </w:r>
    </w:p>
    <w:p>
      <w:r>
        <w:t>Available abstract (not full text): Amid growing concerns over rising religious tensions and anti-Muslim sentiment in Europe, this study develops and validates a robust Islamophobia Index to systematically measure experiences of discrimination among Muslim communities. Leveraging survey data from 3598 respondents (including 466 Muslims) across Belgium, Germany, Spain, and Italy, confirmatory factor analysis validated a three-factor structure for the Islamophobia Index, comprising Experiential Violence, Perceived Negativity, and Global Event Impacts. The index demonstrated metric invariance across Belgium, Germany, and Spain (N = 444 analysis sample), supporting its utility for cross-national comparisons. Regression analyses indicate systemic exclusion; perceived global event impacts emerged as a significant statistical predictor of both experiential violence and perceived negativity. Experiences were also found to vary with demographic factors such as age and income in certain models. While specific hypothesised intersectional effects (e.g., gender with religious identification) were not statistically significant in the tested models, the research illustrates the value of considering compounded vulnerabilities. The validated three-factor Islamophobia Index provides a nuanced quantitative measure capable of capturing both overt prejudice and perceptions of structural discrimination. By bridging critical theory wit</w:t>
      </w:r>
    </w:p>
    <w:p>
      <w:r>
        <w:t>POSSIBLE 2025: Measuring and targeting energy poverty in Europe using a multidimensional approach — https://doi.org/10.1016/j.enpol.2025.114518</w:t>
      </w:r>
    </w:p>
    <w:p>
      <w:r>
        <w:t>Shared claim-specific concepts: multidimensional, approach, increase; EU scope visible. This is a provisional connection, not an outcome finding.</w:t>
      </w:r>
    </w:p>
    <w:p>
      <w:r>
        <w:t>Available abstract (not full text): Despite the plethora of articles on energy poverty, very few use methods rooted in economic theory to measure the number of households facing this situation (i.e. extension) and its severity (i.e. intensity) of this multidimensional condition across different countries. We use a multidimensional approach and factor analysis to estimate a composite index. We compare both methods and use European data on self-reported energy poverty and expenditure to measure the problem at the extensive and intensive margins. We also use our indicators to assess the efficacy of targeting European energy-poor households. We find that Greece, Lithuania, and Bulgaria have the highest proportion of energy-impoverished households and the highest intensity. Ireland has the highest relative efficiency in targeting households in this condition. We also find that while having a low likelihood of being in energy poverty in some countries, the intensity of this condition can be severe. Unemployment, disabilities and face cuts in social benefits increase the probability of being in energy poverty. • Multidimensional methods provide a comprehensive measurement. • There is a strong correlation between energy poverty extent and intensity. • Data from 22 EU countries in 2021 was analysed. • Less than one-fourth of energy-poor households receive subsidies. • Ireland is the most efficient in targeting energy-poor</w:t>
      </w:r>
    </w:p>
    <w:p>
      <w:r>
        <w:t>POSSIBLE 2025: Demographic Drivers of Epidemic Outcomes: Sensitivity Analysis of Multidimensional Parameters in the Covasim Model — https://doi.org/10.1101/2025.10.14.25328629</w:t>
      </w:r>
    </w:p>
    <w:p>
      <w:r>
        <w:t>Shared claim-specific concepts: multidimensional, demographic, approach, age; EU scope not established. This is a provisional connection, not an outcome finding.</w:t>
      </w:r>
    </w:p>
    <w:p>
      <w:r>
        <w:t>Available abstract (not full text): Abstract Background Sensitivity analysis is a key tool for identifying which model inputs most strongly influence model outputs thereby informing data collection priorities. In agent-based models, these inputs include demographic parameters used to construct synthetic populations. Such parameters — age distributions, household size distributions, and contact matrices — are critical in shaping transmission dynamics. However, most established sensitivity analysis methods are designed for scalar inputs and cannot readily accommodate multidimensional demographic data. We introduce a novel sampling approach to assess the influence of such parameters on model outputs, addressing a key gap in sensitivity analysis of epidemiological agent-based models. Methods The Covasim model of COVID-19 transmission was used as the case study in this work. An autoencoder neural network was trained on country-level demographic datasets to generate realistic samples of high-dimensional inputs of the model. These sampled inputs were coupled with Sobol’ sensitivity indices to quantify their influence on cumulative infections and deaths. Results Non-scalar parameters were found to exert a major influence on model outputs. Household size distribution was the most important parameter for cumulative number of infectious cases, while age distribution had the largest effect on cumulative deaths. These finding</w:t>
      </w:r>
    </w:p>
    <w:p>
      <w:r>
        <w:t>POSSIBLE 2024: Multidimensionality Matters: The Implications of Educational Hierarchy and Differentiation for Intergenerational Mobility in Europe — https://doi.org/10.1086/729572</w:t>
      </w:r>
    </w:p>
    <w:p>
      <w:r>
        <w:t>Shared claim-specific concepts: multidimensional, age, educational, attainment; EU scope visible. This is a provisional connection, not an outcome finding.</w:t>
      </w:r>
    </w:p>
    <w:p>
      <w:r>
        <w:t>Available abstract (not full text): The effects on social mobility of stratifying pupils into different educational pathways have been debated for decades. We intervene in this debate by showing that stratification in secondary schooling is multidimensional. The extent of differentiation into separate tracks is distinct from hierarchy between tracks. To address data limitations in existing research, we collect novel data on education policies from 1945 onward for 16 European countries. Combined with mobility data from the European Social Survey, we use difference-in-differences regression models to test the effects of hierarchy and differentiation on intergenerational mobility. Hierarchical stratification shapes the inheritance of educational attainment while differentiation does not. Differentiation only reduces mobility where educational pathways are hierarchically structured. These findings imply that studies using measures of differentiation (e.g., the tracking age) may instead be picking up aspects of hierarchy. They therefore highlight the importance for future research to measure multiple dimensions of stratification and assessing how combinations of policies can reinforce or undermine one another.</w:t>
      </w:r>
    </w:p>
    <w:p>
      <w:r>
        <w:t>POSSIBLE 2024: Monitoring socioeconomic readiness for the demographic transition: Introducing the Senior Economy Tracker — https://doi.org/10.1016/j.strueco.2024.08.007</w:t>
      </w:r>
    </w:p>
    <w:p>
      <w:r>
        <w:t>Shared claim-specific concepts: multidimensional, demographic; EU scope visible. This is a provisional connection, not an outcome finding.</w:t>
      </w:r>
    </w:p>
    <w:p>
      <w:r>
        <w:t>Available abstract (not full text): Aging constitutes the dominant demographic challenge globally. The demographic transition entails a paradigm shift in the economic model to accommodate economic structures to life-expectancy gains. The socioeconomic implications from this transition remain largely undefined conceptually from an integrated perspective and unrecognized in official statistics. This study introduces a multidimensional and multi-actor reference framework, and a composite indicator, the Senior Economy Tracker (SET), to measure national readiness and progress in adapting to the demographic transition, over time and across countries. We apply our indicator to 27 European countries in 2010-2021. Our study reveals crucial differences in pathways and stages of maturity in addressing the socioeconomic impacts of aging. The proposed indicator aims to guide action to adapt economic structures to longer life spans, assist organizational and individual decision making, facilitate the development of effective policy interventions and raise awareness of the demographic transition.</w:t>
      </w:r>
    </w:p>
    <w:p>
      <w:r>
        <w:t>POSSIBLE 2024: Multidimensional comparative analysis of the number of students in Poland with the view to the demographic crisis and its impact on social security — https://doi.org/10.13166/jms/199491</w:t>
      </w:r>
    </w:p>
    <w:p>
      <w:r>
        <w:t>Shared claim-specific concepts: multidimensional, demographic, compared, age, educational; EU scope visible. This is a provisional connection, not an outcome finding.</w:t>
      </w:r>
    </w:p>
    <w:p>
      <w:r>
        <w:t>Available abstract (not full text): Objectives The article presents the original multidimensional comparative analysis of the number of students in terms of their population in Poland with the view to the demographic crisis and its impact on the acceptable level of social security. The demographic low in Poland is one of the largest in the European Union and the largest after the Second World War. Material and methods The research would be based mainly on the analysis of available studies and materials enabling the review and organization of information concerning the demographic crisis, the transformation of the family model and the reorganization of the education system. Primary research focused on statistical analyzes of total fertility rate, including births and deaths, marriages and divorces, and the number of children in educational institutions. Results Primary data on the number of students were grouped into voivodeships, school types and compared with the population in particular age groups. Additionally, the human population was divided into two groups of dependent variables: the number of people in cities and rural areas - men and women in particular age groups. The lack of a symmetrical distribution between the number of women and men in Poland is particularly visible in the group over 62 years of age. Conclusions The visible decline in the number of students in particular age groups from 0 to 19 year</w:t>
      </w:r>
    </w:p>
    <w:p>
      <w:r>
        <w:t>POSSIBLE 2023: Demographics, Land lease and Multidimensional Poverty Alleviation — https://doi.org/10.21203/rs.3.rs-3461329/v1</w:t>
      </w:r>
    </w:p>
    <w:p>
      <w:r>
        <w:t>Shared claim-specific concepts: multidimensional, demographic; EU scope not established. This is a provisional connection, not an outcome finding.</w:t>
      </w:r>
    </w:p>
    <w:p>
      <w:r>
        <w:t>Available abstract (not full text): Abstract In the context of the focus of poverty governance in China shifting from eradicating absolute poverty to alleviating multidimensional poverty after comprehensive poverty eradication, this paper incorporates demographic aging, demographic feminization, and Land lease into the analytical framework based on the demographic perspective. Based on the 2018 China Family Panel Studies (CFPS) sample survey data of 5,760 farm households, the impact of demographic structure on multidimensional poverty alleviation is empirically analyzed using the least squares (OLS) model. Attention is also paid to the heterogeneity of different regions and incomes on the alleviation of multidimensional poverty, and the logit model is applied to test it. The conclusions of the study are as follows: (1) Demographic aging has a significant negative effect on multidimensional poverty alleviation. Demographic feminization has a significant positive effect on multidimensional poverty alleviation. (2) Demographic aging has a significant contribution to Land lease and helps alleviate multidimensional poverty. (3) Demographic aging has a significant negative effect on multidimensional poverty alleviation in the eastern region, and demographic feminization has a significant positive effect on multidimensional poverty alleviation in the central region. (4) Demographic aging has a significant negative effec</w:t>
      </w:r>
    </w:p>
    <w:p>
      <w:r>
        <w:t>POSSIBLE 2023: The impact of ICT and robots on labour market outcomes of demographic groups in Europe — https://doi.org/10.1016/j.labeco.2023.102481</w:t>
      </w:r>
    </w:p>
    <w:p>
      <w:r>
        <w:t>Shared claim-specific concepts: demographic, labour; EU scope visible. This is a provisional connection, not an outcome finding.</w:t>
      </w:r>
    </w:p>
    <w:p>
      <w:r>
        <w:t>Available abstract (not full text): Unavailable</w:t>
      </w:r>
    </w:p>
    <w:p>
      <w:pPr>
        <w:pStyle w:val="Heading2"/>
      </w:pPr>
      <w:r>
        <w:t>Futures and foresight of Croatian cultural heritage</w:t>
      </w:r>
    </w:p>
    <w:p>
      <w:r>
        <w:t>Original source (2022): https://doi.org/10.17018/portal.2022.10</w:t>
      </w:r>
    </w:p>
    <w:p>
      <w:r>
        <w:t>Original wording (abstract; indexed_source_text_not_full_document_verified): This paper is primarily about anticipating the future, and not predicting it, by showing the methods and techniques that identify processes that could affect the future of heritage protection and management in the Republic of Croatia. Based on established trends, several scenarios are developed with certainties and uncertainties.</w:t>
      </w:r>
    </w:p>
    <w:p>
      <w:r>
        <w:t>POSSIBLE 2026: Two papal Europes: Benedict XVI, Francis and competing Christian imaginaries of Europe — https://doi.org/10.1080/14782804.2026.2718750</w:t>
      </w:r>
    </w:p>
    <w:p>
      <w:r>
        <w:t>Shared claim-specific concepts: primarily, not, identify; EU scope visible. This is a provisional connection, not an outcome finding.</w:t>
      </w:r>
    </w:p>
    <w:p>
      <w:r>
        <w:t>Available abstract (not full text): This article examines how Joseph Ratzinger/Benedict XVI and Jorge Bergoglio/Francis constructed Europe as a moral and political project, and how their contrasting narratives shape the political uses of Christianity in contemporary Europe. It employs a qualitative Critical Discourse Analysis of a bounded corpus of Europe-facing speeches and writings, examining lexical choices, metaphors, modality, argumentative topoi, intertextuality and editorial recontextualisation. In Ratzinger’s case, the analysis distinguishes between pre-pontifical interventions, used genealogically to reconstruct his intellectual repertoire, and texts delivered with the institutional authority of Benedict XVI’s pontificate. The findings identify two partially overlapping but distinct Christian imaginaries. Ratzinger and Benedict XVI construct Europe primarily through a grammar of roots, civilisational continuity and moral defence, presenting Christianity as foundational to European identity and political order. Francis, by contrast, articulates Europe through encounter, solidarity and responsibility, evaluating its moral credibility through its treatment of migrants, vulnerable groups and the peripheries. The article argues that papal discourse does not offer a unified Catholic definition of Europe. Instead, it provides competing authoritative repertoires that political and religious actors can selectivel</w:t>
      </w:r>
    </w:p>
    <w:p>
      <w:r>
        <w:t>POSSIBLE 2024: Burden of intracerebral haemorrhage in Europe: forecasting incidence and mortality between 2019 and 2050 — https://doi.org/10.1016/j.lanepe.2024.100842</w:t>
      </w:r>
    </w:p>
    <w:p>
      <w:r>
        <w:t>Shared claim-specific concepts: anticipating, not, methods, management, based, trends;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2024: Machine learning algorithms for the evaluation of risk by tick-borne pathogens in Europe — https://doi.org/10.1080/07853890.2024.2405074</w:t>
      </w:r>
    </w:p>
    <w:p>
      <w:r>
        <w:t>Shared claim-specific concepts: predicting, methods, identify, affect, based, several; EU scope visible. This is a provisional connection, not an outcome finding.</w:t>
      </w:r>
    </w:p>
    <w:p>
      <w:r>
        <w:t>Available abstract (not full text): Background Tick-borne pathogens pose a major threat to human health worldwide. Understanding the epidemiology of tick-borne diseases to reduce their impact on human health requires models covering large geographic areas and considering both the abiotic traits that affect tick presence, as well as the vertebrates used as hosts, vegetation, and land use. Herein, we integrated the public information available for Europe regarding the variables that may affect habitat suitability for ticks and hosts and tested five machine learning algorithms (MLA) for predicting the distribution of four prominent tick species across Europe.Materials and methods A grid of cells 20 km in diameter was prepared to cover the entire territory, containing data on vegetation, points of water, habitat fragmentation, forest density, grass extension, or imperviousness, with information on temperature and water deficit. The distribution of the hosts (162 species) was modelled and included in the dataset. We used five MLA, namely, Random Forest, Neural Networks, Naive Bayes, Gradient Boosting, and AdaBoost, trained with reliable coordinates for Ixodes ricinus, Dermacentor reticulatus, Dermacentor marginatus, and Hyalomma marginatum in Europe.Results Both Random Forest and Gradient Boosting best predicted ticks and host environmental niches. Our results demonstrate that MLA can identify trait-matching combinati</w:t>
      </w:r>
    </w:p>
    <w:p>
      <w:r>
        <w:t>POSSIBLE 2023: A Lexicographic Practice Map of Europe — https://doi.org/10.1093/ijl/ecad023</w:t>
      </w:r>
    </w:p>
    <w:p>
      <w:r>
        <w:t>Shared claim-specific concepts: identify, affect, based, trends; EU scope visible. This is a provisional connection, not an outcome finding.</w:t>
      </w:r>
    </w:p>
    <w:p>
      <w:r>
        <w:t>Available abstract (not full text):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r>
        <w:t>POSSIBLE 2023: Integration of migrant and refugee data in health information systems in Europe: advancing evidence, policy and practice — https://doi.org/10.1016/j.lanepe.2023.100744</w:t>
      </w:r>
    </w:p>
    <w:p>
      <w:r>
        <w:t>Shared claim-specific concepts: about, not, methods, management, based; EU scope visible. This is a provisional connection, not an outcome finding.</w:t>
      </w:r>
    </w:p>
    <w:p>
      <w:r>
        <w:t xml:space="preserve">Available abstract (not full text): Coverage of migrant and refugee data is incomplete and of insufficient quality in European health information systems. This is not because we lack the knowledge or technology. Rather, it is due to various political factors at local, national and European levels, which hinder the implementation of existing knowledge and guidelines. This reflects the low political priority given to the topic, and also complex governance challenges associated with migration and displacement. We review recent evidence, guidelines, and policies to propose four approaches that will advance science, policy, and practice. First, we call for strategies that ensure that data is collected, analyzed and disseminated systematically. Second, we propose methods to safeguard privacy while combining data from multiple sources. Third, we set out how to enable survey methods that take account of the groups' diversity. Fourth, we emphasize the need to engage migrants and refugees in decisions about their own health data. Based on these approaches, we propose a change management approach that narrows the gap between knowledge and action to create healthcare policies and practices that are truly inclusive of migrants and refugees. We thereby offer an agenda that will better serve public health needs, including those of migrants and refugees and advance equity in European health systems. Funding: No specific funding </w:t>
      </w:r>
    </w:p>
    <w:p>
      <w:pPr>
        <w:pStyle w:val="Heading2"/>
      </w:pPr>
      <w:r>
        <w:t>GHG emissions, trade balance, and carbon leakage: Insights from modeling thirty-one European decarbonization pathways towards 2050</w:t>
      </w:r>
    </w:p>
    <w:p>
      <w:r>
        <w:t>Original source (2022): https://doi.org/10.1016/j.eneco.2022.106240</w:t>
      </w:r>
    </w:p>
    <w:p>
      <w:r>
        <w:t>Original wording (abstract; indexed_source_text_not_full_document_verified): Recognizing the urgent need for concrete sectoral information in designing European climate change mitigation pathways of policy relevance, this study formulates, simulates and compares 31 European decarbonization pathways, focusing on changes in trade flows and GHG emissions.</w:t>
      </w:r>
    </w:p>
    <w:p>
      <w:r>
        <w:t>POSSIBLE 2026: Linguistic diversity of new minorities in Europe: A crossroads of rights and duties — https://doi.org/10.5281/zenodo.18845601</w:t>
      </w:r>
    </w:p>
    <w:p>
      <w:r>
        <w:t>Shared claim-specific concepts: recognizing, urgent, need, flows; EU scope visible. This is a provisional connection, not an outcome finding.</w:t>
      </w:r>
    </w:p>
    <w:p>
      <w:r>
        <w:t>Available abstract (not full text): Increasing international mobility flows have presented both opportunities and challenges for social cohesion and integration in Europe. Language, as a tool for communication and a marker of identity, plays a pivotal role in ensuring equality of access to education, the labor market, and justice. However, many European states face difficulties in balancing the need for integration with the recognition of linguistic diversity, particularly concerning new minorities arising from migration flows. These challenges have underlined the urgent need for effective governance of linguistic diversity. This paper explores the governance of linguistic diversity in the context ofintegrating new minorities in Europe. It argues for expanding the scope ofminority rights — traditionally reserved for historical minorities — to include new minorities. This approach addresses gaps in international frameworks, particularly regarding identity and language rights, and fosters amore inclusive diversity governance model. Recognizing and protectingthe linguistic rights of new minorities is essential to promoting cohesionand belonging, reducing the risk of alienation and conflict, and avoidingforced assimilation. The paper highlights the dual need for supporting minority languages while maintaining proficiency in a common public language to ensure state functionality and societal integration. Using an inte</w:t>
      </w:r>
    </w:p>
    <w:p>
      <w:r>
        <w:t>POSSIBLE 2025: The urgent need for climate protection as reflected in supreme court rulings in the European Union — https://doi.org/10.46941/2025.se1.17</w:t>
      </w:r>
    </w:p>
    <w:p>
      <w:r>
        <w:t>Shared claim-specific concepts: urgent, need, climate; EU scope visible. This is a provisional connection, not an outcome finding.</w:t>
      </w:r>
    </w:p>
    <w:p>
      <w:r>
        <w:t>Available abstract (not full text): It goes without saying that the climate change will affect the enjoyment of human rights, e.g., the right to life, the right to private life, economic rights. It is therefore not surprising that applications are being brought up to the supreme courts to enforce the effective climate protection measures. Nevertheless, the human rights documents in most of the European states as well as the EU Charter of Fundamental Rights and the European Convention on Human Rights do not contain a fundamental right to climate protection or to a healthy environment. The article will provide an overview of the respective decisions of several supreme courts across Europe without claiming to be complete. It will also analyze the relevant case law of European courts, i.e. the ECJ and the ECtHR. Against this background, the question is raised as to whether fundamental rights actions can be regarded as an effective instrument for enforcing climate protection measures.</w:t>
      </w:r>
    </w:p>
    <w:p>
      <w:r>
        <w:t>POSSIBLE 2025: Vectors on the Move: How Climate Change Fuels the Spread of Arboviruses in Europe — https://doi.org/10.3390/microorganisms13092034</w:t>
      </w:r>
    </w:p>
    <w:p>
      <w:r>
        <w:t>Shared claim-specific concepts: urgent, need, climate; EU scope visible. This is a provisional connection, not an outcome finding.</w:t>
      </w:r>
    </w:p>
    <w:p>
      <w:r>
        <w:t xml:space="preserve">Available abstract (not full text): Climate change is increasingly recognized as a major driver of emerging infectious diseases, particularly vector-borne diseases (VBDs), which are expanding in range and intensity worldwide. Europe, traditionally considered low-risk for many arboviral infections, is now experiencing autochthonous transmission of pathogens such as dengue, chikungunya, Zika virus, West Nile virus, malaria, and leishmaniasis. Rising temperatures, altered precipitation patterns, and milder winters have facilitated the establishment and spread of competent vectors, including Aedes, Anopheles, Phlebotomus, and Culex species, in previously non-endemic areas. These climatic shifts not only impact vector survival and distribution but also influence vector competence and pathogen development, ultimately increasing transmission potential. This narrative review explores the complex relationship between climate change and VBDs, with a particular focus on pediatric populations. It highlights how children may experience distinct clinical manifestations and complications, and how current data on pediatric burden remain limited for several emerging infections. Through an analysis of existing literature and reported outbreaks in Europe, this review underscores the urgent need for enhanced surveillance, integrated vector control strategies, and climate-adapted public health policies. Finally, it outlines research </w:t>
      </w:r>
    </w:p>
    <w:p>
      <w:r>
        <w:t>POSSIBLE 2025: Convection‐permitting dynamical downscaling of ERA5 for Europe and the Mediterranean basin — https://doi.org/10.1002/qj.5014</w:t>
      </w:r>
    </w:p>
    <w:p>
      <w:r>
        <w:t>Shared claim-specific concepts: urgent, need, climate, mitigation; EU scope visible. This is a provisional connection, not an outcome finding.</w:t>
      </w:r>
    </w:p>
    <w:p>
      <w:r>
        <w:t>Available abstract (not full text): Abstract As the European continent and the Mediterranean Sea experience rapid warming trends and diverse manifestations of extreme weather, there is an urgent need to understand and mitigate the impacts of climate change in these regions. This study introduces the Computational Hydrometeorology with Advanced Performance to Enhanced Realism (CHAPTER) high‐resolution dynamical downscaling of the European Centre for Medium‐Range Weather Forecasts Reanalysis v5 (ERA5) global reanalysis made with the Weather Research and Forecasting numerical model. CHAPTER covers Europe and the Mediterranean basin at a convection‐resolving grid resolution of 3 km by 3 km. CHAPTER's performances in representing precipitation and temperature are evaluated compared to state‐of‐the‐art datasets like ERA5‐Land. The focus is put on seasonal spatial distributions of the bias and the root mean square error, and fuzzy verification techniques are used to validate the precipitation outputs. The results reveal that CHAPTER's performance aligns closely with well‐recognized downscalings of ERA5 but has, in addition, the advantage of providing a rich portfolio of variables at hourly temporal resolution and on different terrain, following model levels. Therefore, CHAPTER is a valuable resource for studying extreme weather events, offering insights crucial for climate change adaptation and mitigation efforts in Eur</w:t>
      </w:r>
    </w:p>
    <w:p>
      <w:r>
        <w:t>POSSIBLE 2025: Europe as a subject and object of epistemic reflection — https://doi.org/10.30574/wjarr.2025.27.1.2547</w:t>
      </w:r>
    </w:p>
    <w:p>
      <w:r>
        <w:t>Shared claim-specific concepts: recognizing, need, relevance; EU scope visible. This is a provisional connection, not an outcome finding.</w:t>
      </w:r>
    </w:p>
    <w:p>
      <w:r>
        <w:t xml:space="preserve">Available abstract (not full text):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r>
        <w:t>POSSIBLE 2025: Europe as a subject and object of epistemic reflection — https://doi.org/10.5281/zenodo.17519703</w:t>
      </w:r>
    </w:p>
    <w:p>
      <w:r>
        <w:t>Shared claim-specific concepts: recognizing, need, relevance; EU scope visible. This is a provisional connection, not an outcome finding.</w:t>
      </w:r>
    </w:p>
    <w:p>
      <w:r>
        <w:t xml:space="preserve">Available abstract (not full text):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r>
        <w:t>POSSIBLE 2025: Review of: "The Limitations and Challenges of Researching Mass Casualty Incidents and Disasters in Europe" — https://doi.org/10.32388/9sm5gm</w:t>
      </w:r>
    </w:p>
    <w:p>
      <w:r>
        <w:t>Shared claim-specific concepts: recognizing, urgent, need, concrete, information, pathways; EU scope visible. This is a provisional connection, not an outcome finding.</w:t>
      </w:r>
    </w:p>
    <w:p>
      <w:r>
        <w:t>Available abstract (not full text): The article "The Limitations and Challenges of Researching Mass Casualty Incidents and Disasters in Europe" offers an outstanding overview of the main methodological, technological, and organizational barriers affecting research and management of mass casualty incidents in Europe, providing a thorough and constructive approach to the subject.The paper excels at presenting a detailed and well-referenced review of regulatory obstacles, the lack of a consensual de nition of mass casualty incidents, and the fragmentation in data collection systems and methodologies.This contextualized analysis, supported by multiple European projects and studies, enhances the understanding of the urgent need for coordinated and evidence-based solutions.A key strength of the article is its emphasis on interoperability between emergency services and the urgent need for the development of minimum data sets.The authors highlight cross-border initiatives and speci c examples, such as IDIRA and VALKYRIES, that have begun to overcome technical and language barriers, showing viable pathways toward harmonizing protocols and information formats in Europe.The discussion on adopting new technologies-drones, GIS, arti cial intelligence, and mobile platforms-is both critical and pragmatic, recognizing their real impact on improving situational awareness and operational coordination.Furthermore, the article rigor</w:t>
      </w:r>
    </w:p>
    <w:p>
      <w:r>
        <w:t>POSSIBLE 2025: Antibiotic Use in Livestock Production and Progress Made with Regulations in Europe and Africa: Implications for Illness Prevention and Health Promotion — https://doi.org/10.1007/978-981-97-0821-5_104-1</w:t>
      </w:r>
    </w:p>
    <w:p>
      <w:r>
        <w:t>Shared claim-specific concepts: recognizing, urgent, need; EU scope visible. This is a provisional connection, not an outcome finding.</w:t>
      </w:r>
    </w:p>
    <w:p>
      <w:r>
        <w:t>Available abstract (not full text): Antibiotic misuse in livestock production poses a significant threat to public health, contributing to antimicrobial resistance and illness. This chapter delves into the progress made in regulating antibiotic use in food animals, with a focus on Europe and Africa as representatives of developed and developing regions. While European countries have implemented stringent regulations and achieved substantial reductions in antibiotic use, many African nations lack robust regulatory frameworks and enforcement mechanisms. The One Health approach emerges as a crucial strategy in addressing this complex issue, recognizing the interconnectedness of human, animal, and environmental health. The implications of antibiotic regulation in food animal production extend beyond antimicrobial resistance, influencing animal welfare, environmental health, and global health equity. Notably, these regulations have spurred innovations in animal husbandry practices, potentially reducing the transmission of resistant bacteria from animals to humans. However, challenges remain in balancing the need for antibiotic reduction with ensuring appropriate therapeutic use and addressing potential economic impacts on farmers. The chapter underscores the importance of interdisciplinary collaboration in health promotion efforts and the need for improved surveillance systems to guide evidence-based policies. It also</w:t>
      </w:r>
    </w:p>
    <w:p>
      <w:r>
        <w:t>POSSIBLE 2024: The urgency of hydrogen: environmental issues and the need for change — https://doi.org/10.55670/fpll.fusus.2.2.5</w:t>
      </w:r>
    </w:p>
    <w:p>
      <w:r>
        <w:t>Shared claim-specific concepts: need, climate, decarbonization; EU scope not established. This is a provisional connection, not an outcome finding.</w:t>
      </w:r>
    </w:p>
    <w:p>
      <w:r>
        <w:t>Available abstract (not full text): While hydrogen adoption is progressing in different industries, challenges remain. The availability of a well-developed hydrogen infrastructure, including production, storage, and distribution, is a prerequisite for broader adoption. Additionally, cost reduction through technological advancements and economies of scale is essential to make hydrogen competitive with existing energy sources. Collaborative efforts between industry, governments, and research institutions are necessary to address these challenges. Hydrogen has the potential to play a significant role in achieving decarbonization goals and transitioning to a sustainable energy future. By completely changing to a hydrogen model, the rise in global temperatures would start to revert to a normal stage after multiple years. In light of these considerations, this article aims to comprehensively review the imperative need to transition to hydrogen fuel as a pivotal component of our sustainable energy future. Furthermore, it seeks to scrutinize and dissect the unique challenges that different regions across the globe face in embracing hydrogen as a clean energy solution. By shedding light on these challenges and emphasizing the collaborative efforts required between industry, governments, and research institutions, this article aims to contribute to the discourse on harnessing hydrogen's potential to combat climate change a</w:t>
      </w:r>
    </w:p>
    <w:p>
      <w:r>
        <w:t>POSSIBLE 2024: We urgently need data for equitable personalized medicine — https://doi.org/10.1146/knowable-011724-1</w:t>
      </w:r>
    </w:p>
    <w:p>
      <w:r>
        <w:t>Shared claim-specific concepts: need, information, focusing; EU scope visible. This is a provisional connection, not an outcome finding.</w:t>
      </w:r>
    </w:p>
    <w:p>
      <w:r>
        <w:t>Available abstract (not full text): Warfarin is a powerful blood thinner and a leading drug for cardiovascular disease worldwide. But in South Africa, it is among the top four drug varieties leading to hospitalization from adverse drug reactions. It’s reasonable to suppose that the drug has similar problematic effects farther across sub-Saharan Africa, though the national data needed to show it are lacking.The fact that warfarin is riskier in some populations than others isn’t a surprise. Different geographic regions tend to host people with slightly different genetic makeups, and sometimes those genetic differences lead to radically different reactions to drugs. For certain people, a higher dosage of warfarin is fine; for others, it’s dangerous. Researchers have known this for decades.The problem is that the majority of medical research, including genetic research, is still done mainly on one subset of the world’s population: men of Northern European origin. This means that negative drug-gene interactions in other, less well-studied populations can fly beneath the radar. In the case of warfarin, one study concluded that using someone’s genetic information to help guide their drug dosing would benefit 18 percent to 24 percent of people categorized as white, but have no benefit for people identified as Black, Chinese or Japanese. YOU MAY ALSO LIKE Health &amp; Disease Genes and heart disease: Finally making the link H</w:t>
      </w:r>
    </w:p>
    <w:p>
      <w:pPr>
        <w:pStyle w:val="Heading2"/>
      </w:pPr>
      <w:r>
        <w:t>Health horizons: Future trends and technologies from the European Medicines Agency’s horizon scanning collaborations</w:t>
      </w:r>
    </w:p>
    <w:p>
      <w:r>
        <w:t>Original source (2022): https://doi.org/10.3389/fmed.2022.1064003</w:t>
      </w:r>
    </w:p>
    <w:p>
      <w:r>
        <w:t>Original wording (abstract; indexed_source_text_not_full_document_verified): In this context, the European Medicines Agency uses horizon scanning to shine a light on early signals of relevant innovation and technological trends with impact on medicinal products. For each of these trends, the expected impact and challenges for their adoption are discussed, along with recommendations for developers, regulators and policy makers.</w:t>
      </w:r>
    </w:p>
    <w:p>
      <w:r>
        <w:t>POSSIBLE 2026: ANALYZING THE FEASIBILITY OF ADOPTING THE HUMAN MEDICINES REGULATORY PATHWAYS OF THE EUROPEAN MEDICINES AGENCY FOR THE AFRICAN MEDICINES AGENCY — https://doi.org/10.5281/zenodo.18206130</w:t>
      </w:r>
    </w:p>
    <w:p>
      <w:r>
        <w:t>Shared claim-specific concepts: context, medicines, agency, products, each; EU scope visible. This is a provisional connection, not an outcome finding.</w:t>
      </w:r>
    </w:p>
    <w:p>
      <w:r>
        <w:t>Available abstract (not full text):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r>
        <w:t>POSSIBLE 2026: Artificial Intelligence for Regulatory Evidence: A Systematic Document Analysis of European Medicines Agency Regulatory Advice and Public Reports — https://doi.org/10.1002/cpt.70300</w:t>
      </w:r>
    </w:p>
    <w:p>
      <w:r>
        <w:t>Shared claim-specific concepts: context, medicines, agency, light, early; EU scope visible. This is a provisional connection, not an outcome finding.</w:t>
      </w:r>
    </w:p>
    <w:p>
      <w:r>
        <w:t>Available abstract (not full text): Artificial intelligence (AI) is receiving increasing attention across the entire lifecycle of medicines, from early development to postauthorization use. While various AI tools have been developed in commercial and academic settings, the extent of their use in regulatory contexts within the European Union remains unknown. In this study, we systematically analyzed the use of AI for regulatory evidence by reviewing Public reports and internal development advice documents from the European Medicines Agency (EMA). Of 26,480 documents screened, 52 documents contained AI use, reflecting 43 unique AI tools used across quality, nonclinical, clinical, and pharmacovigilance domains. The majority of AI tools were deployed in clinical applications, and outputs were used either directly as endpoints, in shaping clinical trial methodology, or in ancillary analyses. Comments and advice from the EMA regarding AI use varied according to the context of use and covered aspects of documentation, methodology, validation, and lifecycle management. Our findings indicate that AI use in regulatory evidence is still limited but showing an increasing trend. As the field is still novel, there are limited regulatory precedents, and AI-specific guideline development and harmonization across regulatory jurisdictions are still ongoing. In this light, the quantitative characterization of AI tools and AI-relate</w:t>
      </w:r>
    </w:p>
    <w:p>
      <w:r>
        <w:t>POSSIBLE 2025: EMA – Eighth European Medicines Agency (EMA) and Medicines for Europe bilateral meeting - 15 December 2025 — https://doi.org/10.58079/15bvb</w:t>
      </w:r>
    </w:p>
    <w:p>
      <w:r>
        <w:t>Shared claim-specific concepts: context, medicines, agency; EU scope visible. This is a provisional connection, not an outcome finding.</w:t>
      </w:r>
    </w:p>
    <w:p>
      <w:r>
        <w:t>Available abstract (not full text): This meeting between European Medicines Agency (EMA) and Medicines for Europe is organised in the context of the EMA annual bilateral meetings with industry stakeholder organisations. The purpose of the meeting is to exchange views and promote dialogue on topics of common interest. More information on the EMA Website.</w:t>
      </w:r>
    </w:p>
    <w:p>
      <w:r>
        <w:t>POSSIBLE 2025: Insights from the European Medicines Agency on digital health technology derived endpoints — https://doi.org/10.1016/j.drudis.2025.104388</w:t>
      </w:r>
    </w:p>
    <w:p>
      <w:r>
        <w:t>Shared claim-specific concepts: context, medicines, agency; EU scope visible. This is a provisional connection, not an outcome finding.</w:t>
      </w:r>
    </w:p>
    <w:p>
      <w:r>
        <w:t>Available abstract (not full text): This study evaluates the use of digital health technologies (DHTs) for endpoint measurement in clinical trials, as documented in the Qualification Opinions, Qualification Advice, and Scientific Advice procedures issued by the European Medicines Agency (EMA) between 2013 and 2022. Accelerometers are the most proposed DHTs, followed by glucose monitors and smartphones. Accelerometers are often proposed for nervous system diseases to support mobility measures and objective testing. Most DHTs were proposed for efficacy endpoints. The feedback provided by EMA emphasizes the importance of validation, precision, and a clearly defined context of use. The EMA's recent action plan further supports advancing DHT methodologies in clinical trials.</w:t>
      </w:r>
    </w:p>
    <w:p>
      <w:r>
        <w:t>POSSIBLE 2025: Populations Addressed in Vaccines Approved via the European Medicines Agency — https://doi.org/10.1002/cpt.3694</w:t>
      </w:r>
    </w:p>
    <w:p>
      <w:r>
        <w:t>Shared claim-specific concepts: medicines, agency; EU scope visible. This is a provisional connection, not an outcome finding.</w:t>
      </w:r>
    </w:p>
    <w:p>
      <w:r>
        <w:t>Available abstract (not full text): Therapeutic and prophylactic agents require robust evidence before patient use. Randomized controlled trials are essential for evaluating safety and efficacy but often exclude specific populations that are also targets for the intervention. This study assessed which populations are included in vaccine registration studies and/or addressed in label indications, and if special populations are considered at any point in the regulatory life cycle of vaccines approved in the European Union. We analyzed product labels, pivotal studies, risk management plans, and post-authorization studies for all vaccines centrally approved via the European Medicines Agency between 2012 and 2022. For the 31 vaccines approved, we identified 90 pivotal studies supporting initial marketing authorizations and 46 studies supporting product revisions. At the end of our follow-up, 27 vaccines (87%) were approved for adults, 19 (68%) for pediatric patients, 3 (11%) were recommended for pregnant populations, 4 (14%) for breastfeeding populations, and 7 (23%) for immunocompromised populations. Pregnant, breastfeeding, and immunocompromised individuals were rarely included in studies supporting regulatory actions. We observed a slight increase in the inclusion of special populations in post-marketing studies, yet this had limited impact on product indications or information availability on labels. Pivotal studi</w:t>
      </w:r>
    </w:p>
    <w:p>
      <w:r>
        <w:t>POSSIBLE 2025: Biomarkers for neurodegenerative diseases in regulatory decision‐making by the European Medicines Agency — https://doi.org/10.1002/trc2.70072</w:t>
      </w:r>
    </w:p>
    <w:p>
      <w:r>
        <w:t>Shared claim-specific concepts: context, medicines, agency, early, discussed; EU scope visible. This is a provisional connection, not an outcome finding.</w:t>
      </w:r>
    </w:p>
    <w:p>
      <w:r>
        <w:t xml:space="preserve">Available abstract (not full text): INTRODUCTION: Biomarkers (BMs) are valuable tools to facilitate early diagnosis of (subtypes of) diseases, improve patient selection and stratification, and detect therapeutic effects or safety concerns. This study explores the extent to which BMs are utilized in the development of treatments for neurodegenerative diseases (NDDs), as well as topics of discussion regarding BMs in regulatory advice- and decision-making processes and sharing of BM-related data. METHODS: The European Medicines Agency's marketing authorization application (MAA), qualification (QA/QO), and scientific advice (SA) procedures regarding NDDs were screened, and those that mention BMs were analyzed. Data were extracted on the intended disease, BM type, and context of use proposed by applicants. BMs were categorized based on both nature and function. RESULTS: = 33). Imaging BMs were the most common type of BMs discussed, and most BMs were used as pharmacodynamic/response measures. The acceptance and role of BMs differed between AD, PD, MS, and other NDDs. In regulatory procedures for AD, for example, diagnostic BMs guiding patient selection were commonly discussed, whereas in MAAs for MS, imaging BMs (particularly lesions) were generally accepted as supportive/secondary endpoints. DISCUSSION: Despite the established role of certain BMs, mainly imaging BMs for MS, there remains a major need for more precise </w:t>
      </w:r>
    </w:p>
    <w:p>
      <w:r>
        <w:t>POSSIBLE 2025: Review on organ-on-chips for medicines safety assessment: A European regulatory perspective — https://doi.org/10.14573/altex.2502061</w:t>
      </w:r>
    </w:p>
    <w:p>
      <w:r>
        <w:t>Shared claim-specific concepts: context, medicines, agency, relevant, medicinal, products; EU scope visible. This is a provisional connection, not an outcome finding.</w:t>
      </w:r>
    </w:p>
    <w:p>
      <w:r>
        <w:t>Available abstract (not full text):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r>
        <w:t>POSSIBLE 2025: Capability Development in the European Medicines Regulatory Network—A European Learning Needs Analysis and Survey Study — https://doi.org/10.1002/cpt.70158</w:t>
      </w:r>
    </w:p>
    <w:p>
      <w:r>
        <w:t>Shared claim-specific concepts: medicines, agency, technological, medicinal, products, challenges; EU scope visible. This is a provisional connection, not an outcome finding.</w:t>
      </w:r>
    </w:p>
    <w:p>
      <w:r>
        <w:t>Available abstract (not full text): The European Medicines Regulatory Network plays a critical role in safeguarding public health through the assessment and supervision of human medicines. However, rapid scientific and technological advancements have exposed capability deficits across the network, threatening timely and effective regulatory decision-making. To identify the most critical learning needs within the European Medicines Regulatory Network-specifically those related to capability gaps-the EU4Health Joint Action, IncreaseNET, conducted a learning needs analysis. This study presents a learning needs analysis conducted via two complementary approaches: stakeholder collaboration with European Medicines Agency expert committees and a network-wide survey of National Competent Authorities. The analysis identified six priority subject areas requiring urgent capability development: Advanced Therapy Medicinal Products, Biologically Active Substances, Clinical Trials, Modeling and Simulation, Pharmacokinetics, and Statistics. Additional training needs-such as Environmental Risk Assessment and Radiopharmaceuticals-were highlighted through the National Competent Authority survey. Key barriers to capability development include uneven distribution of expertise, limited time for training due to high workloads, and recruitment challenges. The study also revealed methodological variation in how learning needs analyses ar</w:t>
      </w:r>
    </w:p>
    <w:p>
      <w:r>
        <w:t>POSSIBLE 2025: Review on organ-on-chips for medicines safety assessment: A European regulatory perspective_suppl1 — https://doi.org/10.14573/altex.2502061s1</w:t>
      </w:r>
    </w:p>
    <w:p>
      <w:r>
        <w:t>Shared claim-specific concepts: context, medicines, agency, relevant, medicinal, products; EU scope visible. This is a provisional connection, not an outcome finding.</w:t>
      </w:r>
    </w:p>
    <w:p>
      <w:r>
        <w:t>Available abstract (not full text): This review examines a decade (2010-2020) of organ-on-chip (OoC) development, focusing on their application in the non-clinical safety assessment of medicinal products. It includes a detailed description of the types of OoCs, the organs, tissues and interactions mimicked, as well as their various applications. A broad range of organs and combinations of organs were modelled in the reviewed OoCs, with the liver, kidney and heart being the most frequently mimicked. Consistent with this, hepatoxicity and metabolism-induced toxicity were the primary focus of the safety assessment, highlighting the interest in improving safety testing in this organ. Furthermore, a list of the reported biological safety endpoints and medicinal compounds tested in all OoCs is detailed. The majority of OoCs reviewed measured toxicity using only one endpoint, which were often related to viability or cell death. In the context of the data collected, this review also includes a regulatory discussion, highlighting challenges and opportunities for increased regulatory acceptance of OoCs for safety assessment. Key considerations for OoC qualification are discussed, including the importance of defining a clear context of use, selecting relevant endpoints and reference compounds. The ongoing activities of the European Medicines Agency to promote the integration of new approach methodologies (NAMs), including O</w:t>
      </w:r>
    </w:p>
    <w:p>
      <w:r>
        <w:t>POSSIBLE 2024: The life cycle of vaccines evaluated by the European Medicines Agency — https://doi.org/10.1016/j.vaccine.2024.126186</w:t>
      </w:r>
    </w:p>
    <w:p>
      <w:r>
        <w:t>Shared claim-specific concepts: medicines, agency, products, challenges, adoption; EU scope visible. This is a provisional connection, not an outcome finding.</w:t>
      </w:r>
    </w:p>
    <w:p>
      <w:r>
        <w:t>Available abstract (not full text): BACKGROUND: vaccines are complex products used in healthy populations. They should be carefully regulated, and benefits should clearly outweigh risks. OBJECTIVES: To describe the evidence used to support benefit-risk evaluations of vaccines centrally assessed by the European Medicines Agency (EMA), and to identify if real-world data (RWD) was used throughout the vaccine life cycle. METHODS: Cohort study of vaccines approved in the European Union. Inclusion criteria comprised having ATC code J07 and being centrally approved between 2012 and 2022. We collected data from regulatory documents, study protocols, and, when necessary, from scientific publications. Vaccines were followed from initial approval up to March 2023. RESULTS: We included 31 vaccines addressing 17 therapeutic areas. More than 390 studies were used in the process of initial marketing authorisation (MA) and monitoring, and 174 studies were listed in initial risk management plans. We also identified 93 studies in the EU PAS register. At MA, all vaccines had at least one pivotal trial and 27 vaccines had at least one supportive study. Most pivotal trials were randomized, double-blinded and active-controlled, with immunogenicity endpoints as primary outcome. RWD was used for extension of indications and monitoring of at least 4 vaccines, and the undertaking of RWE studies was foreseen in the RMP of at least 17 vacci</w:t>
      </w:r>
    </w:p>
    <w:p>
      <w:r>
        <w:t>POSSIBLE 2023: Real world evidence: Perspectives from a European Society of Cardiology Cardiovascular Round Table with contribution from the European Medicines Agency — https://doi.org/10.1093/ehjqcco/qcad009</w:t>
      </w:r>
    </w:p>
    <w:p>
      <w:r>
        <w:t>Shared claim-specific concepts: medicines, agency; EU scope visible. This is a provisional connection, not an outcome finding.</w:t>
      </w:r>
    </w:p>
    <w:p>
      <w:r>
        <w:t>Available abstract (not full text): Real world data (RWD) refers to healthcare information that is routinely collected in electronic healthcare records (EHR), hospital and pharmacy records, patient and disease registries, and health insurance databases. The collection and analysis of this vast amount of data is an important complement to that obtained from conventional randomised controlled trials (RCT). Real world data has been used for healthcare quality improvements, to conduct clinical trials, to support drug and device development, and to inform medical guidelines. The utility of RWD may be facilitated by common data models, which standardise format and content, and allow data from different health systems to be analysed together. The European Society of Cardiology (ESC) supports the use of RWD in collaboration with national cardiac societies, regulatory authorities, and industry to encourage continuous quality of care improvements at the hospital and country level, to conduct registry-based randomised clinical trials (R-RCT) and to facilitate safety surveillance of novel drugs and devices. The European Medicines Agency (EMA) is developing systems and processes to enable the use of RWD that can help in trial planning, defining clinical contexts, and enhancing outcome assessments. RWD can also contribute to the measurement of the impact of regulatory actions, such as contraindications or restriction of indica</w:t>
      </w:r>
    </w:p>
    <w:p>
      <w:r>
        <w:t>POSSIBLE 2023: The European Medicines Agency assessment of mavacamten as treatment of symptomatic obstructive hypertrophic cardiomyopathy in adult patients — https://doi.org/10.1093/eurheartj/ehad429</w:t>
      </w:r>
    </w:p>
    <w:p>
      <w:r>
        <w:t>Shared claim-specific concepts: context, medicines, agency, relevant, medicinal, products; EU scope visible. This is a provisional connection, not an outcome finding.</w:t>
      </w:r>
    </w:p>
    <w:p>
      <w:r>
        <w:t>Available abstract (not full text): Obstructive hypertrophic cardiomyopathy (oHCM) affects approximately 1.6 per 10 000 inhabitants of the European Union (EU).1 Currently, there are no approved disease-specific or sarcomere-targeted therapies for oHCM. On 30 September 2021, Bristol-Myers Squibb Pharma EEIG applied for an initial marketing authorisation via the European Medicines Agency (EMA) centralised procedure for mavacamten (Camzyos®) for the treatment of symptomatic (New York Heart Association, NYHA, class II-III) oHCM in adult patients. The review was conducted by EMA’s Committee for Medicinal Products for Human Use (CHMP), and a positive opinion was issued on 26 April, 2023, this being the first EU approval of a cardiac myosin inhibitor. Mavacamten is a modulator of beta-cardiac myosin that reversibly inhibits its binding to actin, diminishing sarcomere force output to reduce myocardial contractility and improve ventricular compliance. It is available in capsules containing 2.5, 5, 10, or 15 mg. Mavacamten is mainly metabolised by CYP2C19, and elimination half-life strongly depends on the CYP2C19 phenotype, ranging from 72 to 533 h. Cytochrome P450 CYP2C19 genotype should therefore be determined. Having two loss-of-function alleles (*2/*2, *2/*3, *3/*3) results in a Poor Metaboliser phenotype, which has a frequency of slightly over 2% in the European population and up to 18% in the Asian population.2 The r</w:t>
      </w:r>
    </w:p>
    <w:p>
      <w:pPr>
        <w:pStyle w:val="Heading2"/>
      </w:pPr>
      <w:r>
        <w:t>Horizon scanning exercise on preparedness for future risk assessment requirements and possible challenges in regulatory science</w:t>
      </w:r>
    </w:p>
    <w:p>
      <w:r>
        <w:t>Original source (2022): https://doi.org/10.2903/sp.efsa.2022.en-7297</w:t>
      </w:r>
    </w:p>
    <w:p>
      <w:r>
        <w:t>Original wording (abstract; indexed_source_text_not_full_document_verified): The horizon scan resulted in a set of recommended actions for the six thematic areas that could contribute in EFSA’s preparedness and in preventing challenges and potential divergences from materialising. The findings of this horizon scanning exercise should not be considered as an indication of the direction that ongoing EU policy initiatives in the food system may take.</w:t>
      </w:r>
    </w:p>
    <w:p>
      <w:r>
        <w:t>POSSIBLE 2026: Horizon scanning for potential upcoming invasive alien species in the European Union — https://doi.org/10.3897/aca.9.e202112</w:t>
      </w:r>
    </w:p>
    <w:p>
      <w:r>
        <w:t>Shared claim-specific concepts: horizon, resulted, recommended, six, thematic, areas; EU scope visible. This is a provisional connection, not an outcome finding.</w:t>
      </w:r>
    </w:p>
    <w:p>
      <w:r>
        <w:t>Available abstract (not full text): The EU Biodiversity Strategy for 2030 aims to mitigate the impacts of invasive alien species (IAS) on native biodiversity, by strengthening the implementation of the EU IAS Regulation. A central component of this Regulation is the establishment of a list of IAS of Union concern, which is updated periodically through decisions made by the European Commission and Member States, informed by risk assessments aligning with agreed minimum standards and conducted by the European Commission or the Member States themselves. To support these updates, an EU-level horizon scanning for species that could be considered for listing was undertaken, aiming to identify at least 100 species likely to arrive, establish, spread and have an impact on native biodiversity or ecosystem services within the next ten years. Species were assessed by experts within five thematic groups: plants, marine species, freshwater invertebrates, terrestrial invertebrates, and vertebrates. A long list of relevant species was collated from various sources, such as species lists from global horizon scanning exercises and databases. This longlist was subsequently enriched with information on species occurrence in EU Member States using a data-driven pipeline based on the Global Biodiversity Information Facility. Species with a lack of robust distribution data and widely spread species, defined as occurring in three or mo</w:t>
      </w:r>
    </w:p>
    <w:p>
      <w:r>
        <w:t>POSSIBLE 2026: Horizon Scanning of Green Logistics Futures in Central and Eastern Europe: An Economic Perspective — https://doi.org/10.15290/oes.2026.03.125.02</w:t>
      </w:r>
    </w:p>
    <w:p>
      <w:r>
        <w:t>Shared claim-specific concepts: horizon, scanning, direction; EU scope visible. This is a provisional connection, not an outcome finding.</w:t>
      </w:r>
    </w:p>
    <w:p>
      <w:r>
        <w:t xml:space="preserve">Available abstract (not full text): Purpose | The paper aims to identify key megatrends and economic uncertainties shaping the future development of green logistics in Central and Eastern Europe. It seeks to examine how regulatory, financial, and geopolitical conditions may influence alternative pathways of green logistics transformation in the region. Research method | The study applies a foresight-based research design that combines horizon scanning and scenario analysis. Horizon scanning identifies long-term trends and critical uncertainties affecting green logistics. At the same time, scenario analysis constructs alternative future development paths under different configurations of financing availability, regulatory and geopolitical stability. Results | Green logistics development in Central and Eastern Europe is primarily shaped by economic factors, including access to financing, cost structures, and investment risk, as well as the gradual emergence of circular economy practices within logistics systems. Regulation sets the direction, but funding and institutional uncertainty shape unstable, path-dependent processes of transformation. Originality / value / implications / recommendations | The paper contributes to the literature by framing green logistics as an economically conditioned transformation process rather than a uniform sustainability pathway. The study provides foresight-based insights for policy </w:t>
      </w:r>
    </w:p>
    <w:p>
      <w:r>
        <w:t>POSSIBLE 2026: Evaluating international collaboration on horizon scanning for pharmaceuticals: developing key performance indicators for the international horizon scanning initiative — https://doi.org/10.1017/s0266462325103358</w:t>
      </w:r>
    </w:p>
    <w:p>
      <w:r>
        <w:t>Shared claim-specific concepts: horizon, areas, potential, scanning, considered; EU scope visible. This is a provisional connection, not an outcome finding.</w:t>
      </w:r>
    </w:p>
    <w:p>
      <w:r>
        <w:t>Available abstract (not full text):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r>
        <w:t>POSSIBLE 2026: Horizon scanning for European wild pollinators identifies world-leading legislation as a key opportunity for pollinators — https://doi.org/10.1038/s41598-026-53025-1</w:t>
      </w:r>
    </w:p>
    <w:p>
      <w:r>
        <w:t>Shared claim-specific concepts: horizon, scan, contribute, potential, findings, scanning; EU scope visible. This is a provisional connection, not an outcome finding.</w:t>
      </w:r>
    </w:p>
    <w:p>
      <w:r>
        <w:t>Available abstract (not full text):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r>
        <w:t>POSSIBLE 2026: Horizon scan of the clinical development landscape of biosimilar products in the UK and EU — https://doi.org/10.1017/s0266462326103468</w:t>
      </w:r>
    </w:p>
    <w:p>
      <w:r>
        <w:t>Shared claim-specific concepts: horizon, scan, scanning; EU scope visible. This is a provisional connection, not an outcome finding.</w:t>
      </w:r>
    </w:p>
    <w:p>
      <w:r>
        <w:t>Available abstract (not full text): OBJECTIVES: Biosimilars are biological medicines highly similar to an authorized reference medicine, offering substantial cost savings and increased treatment access. Despite the regulatory framework in the UK and EU facilitating their approval, the biosimilar landscape remains small compared to small-molecule drugs. This study provides a horizon scanning overview of the current biosimilar landscape, procured through horizon scanning activities. METHODS: Data were sourced from ClinicalTrials.gov and the EU Clinical Trials Register, scanned monthly to identify innovative medicines in clinical development. We included biosimilars identified through horizon scanning from April 2017 to February 2025. Supplementary data were collected from the European Medicines Agency to ascertain approval status, and additional clinical trial information was manually extracted from relevant registries. RESULTS: We identified 156 unique biosimilars developed across 174 clinical trials, with sixty-four approved by the MHRA and seventy-eight by the European Medicines Agency. Adalimumab, bevacizumab, and denosumab were the reference products with the most biosimilars in development. Most biosimilar trials were at phase III. There are seventy-one biosimilars in active development. CONCLUSIONS: The development landscape of biosimilars in the UK and EU show high activity levels. Continuous improvements i</w:t>
      </w:r>
    </w:p>
    <w:p>
      <w:r>
        <w:t>POSSIBLE 2026: A global review of horizon scanning exercises for invasive alien species — https://doi.org/10.3897/aca.9.e202375</w:t>
      </w:r>
    </w:p>
    <w:p>
      <w:r>
        <w:t>Shared claim-specific concepts: horizon, challenges, potential, scanning; EU scope visible. This is a provisional connection, not an outcome finding.</w:t>
      </w:r>
    </w:p>
    <w:p>
      <w:r>
        <w:t>Available abstract (not full text):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r>
        <w:t>POSSIBLE 2026: Scientific foundations of Horizon Scanning methodology for early signal identification in healthcare — https://doi.org/10.32352/0367-3057.3.26.03</w:t>
      </w:r>
    </w:p>
    <w:p>
      <w:r>
        <w:t>Shared claim-specific concepts: horizon, contribute, potential, findings, scanning; EU scope visible. This is a provisional connection, not an outcome finding.</w:t>
      </w:r>
    </w:p>
    <w:p>
      <w:r>
        <w:t>Available abstract (not full text): The article presents a systematic analysis of contemporary international approaches to the application of Horizon Scanning (HS) methodology in healthcare and the pharmaceutical sector. The relevance of the study is driven by the increasing importance of early identification of innovative medical technologies in strategic planning, budget forecasting, and managerial decision-making processes. The aim of the study is to generalize international experience in the functioning of Horizon Scanning systems and to identify structural elements with potential for implementation in Ukraine. The research was conducted as a systematic literature review in accordance with PRISMA 2020 guidelines. The search was performed in the PubMed database covering the period 2019–2025. A total of 288 publications were identified in the initial search, and after a two-stage screening process, 128 sources were included in the qualitative analysis. The findings indicate that Horizon Scanning has evolved from a tool for early identification of pharmaceuticals into an integrated mechanism for strategic innovation management. It was determined that contemporary Horizon Scanning models are based on a staged process that includes signal identification, filtering, prioritization, impact assessment, and the use of results in decision-making. The authors identified the common features of international models, inclu</w:t>
      </w:r>
    </w:p>
    <w:p>
      <w:r>
        <w:t>POSSIBLE 2026: Horizon Scanning 2025 Results of the EEA – Eionet participatory horizon scan to identify emerging issues relevant to sustainable consumption &amp; production — https://doi.org/10.5281/zenodo.22808836</w:t>
      </w:r>
    </w:p>
    <w:p>
      <w:r>
        <w:t>Shared claim-specific concepts: horizon, scan, areas, challenges, potential, scanning; EU scope visible. This is a provisional connection, not an outcome finding.</w:t>
      </w:r>
    </w:p>
    <w:p>
      <w:r>
        <w:t>Available abstract (not full text): This Horizon Scanning report addresses emerging issues influencing sustainable consumption and production in Europe over the coming decades. Recognising rapid changes in global supply chains, digital platforms, social practices, and geopolitical conditions, the report seeks to identify early signals of change that may drive systemic transformations. It highlights the accelerating pace of innovation and the shifting societal dynamics challenging existing environmental policies and governance frameworks, emphasising the need for anticipatory and integrated policy responses. The report explores emerging issues on consumption through the lens of human behaviour, neuroscience, and market dynamics, revealing how digital environments and the attention economy intensify consumption patterns, sometimes fostering addictive behaviours and excess. It unpacks the acceleration of product lifecycles, driven by technological advances and changing competitive pressures, alongside growing ethical and environmental concerns about unchecked innovation in areas such as artificial intelligence, biotechnology, and space travel. The report draws attention to the widening gap between innovation speed and regulatory capacity, with potential related risks of undermining sustainable development goals. Production-related emerging issues include Europe's quest for strategic autonomy in critical raw material</w:t>
      </w:r>
    </w:p>
    <w:p>
      <w:r>
        <w:t>POSSIBLE 2026: Horizon scanning at EMA: preparing for the medicines of the future — https://doi.org/10.3389/fmed.2026.1800213</w:t>
      </w:r>
    </w:p>
    <w:p>
      <w:r>
        <w:t>Shared claim-specific concepts: horizon, preparedness, challenges, scanning; EU scope visible. This is a provisional connection, not an outcome finding.</w:t>
      </w:r>
    </w:p>
    <w:p>
      <w:r>
        <w:t>Available abstract (not full text): This article provides insights into the European Medicines Agency's approach to horizon scanning as a foresight tool to support early identification, analysis and preparedness for emerging trends, technologies and challenges relevant to medicines development and authorization. Emerging topics are identified through a continuous scanning of several sources of information, including key trends identified by leading institutions such as the World Health Organization, the European Commission Joint Research Centre, and the European Innovation Council. This perspective sets out the scope, impact and outputs of horizon scanning within the European medicines regulatory network, which include topic-specific reports, collaborative workshops and webinars, and contributions to regulatory policy, strategic planning, capacity building and research prioritization. It also emphasizes the European medicines regulatory network's commitment to collaboration and knowledge sharing across European and international organizations. Through these efforts, horizon scanning supports regulatory preparedness and resilience of the European medicines regulatory system.</w:t>
      </w:r>
    </w:p>
    <w:p>
      <w:r>
        <w:t>POSSIBLE 2025: Unravelling potential plant health threats for the European Union: application of horizon scanning methodology — https://doi.org/10.5194/we-25-189-2025</w:t>
      </w:r>
    </w:p>
    <w:p>
      <w:r>
        <w:t>Shared claim-specific concepts: horizon, actions, areas, efsa, preparedness, challenges; EU scope visible. This is a provisional connection, not an outcome finding.</w:t>
      </w:r>
    </w:p>
    <w:p>
      <w:r>
        <w:t>Available abstract (not full text): The European Food Safety Authority (EFSA) has been conducting horizon scanning (HS) activity in the field of plant health, in collaboration with the EC Joint Research Centre (JRC) and the French Agency for Food, Environmental and Occupational Health and Safety (ANSES), since 2017. As of 2024, this activity has produced 130 reports, named newsletters. The aim of this activity is to capture signals from the web about potential threats caused by plant pests from all around the world and to convey them to European Union risk managers in support of their preparedness and timely reactions. The tool used was the Medical Information System (MedISys), a public health surveillance system that continuously monitors the content of more than 3200 scientific and media sources worldwide. The items selected for inclusion in the monthly newsletters are reviewed and validated by a team of experts, while another team carries out further analysis on specific “not-listed” pests. This analysis, PeMoScoring (short for pest and monitoring scoring), is a fast procedure based on a ranking system that warns risk managers of the potential new threats by unknown or not-listed pests. These signals can then trigger actions by risk managers: requests for more assessments by EFSA or facilitation of preventive measures. Recently, a series of workshops and webinars have been organised to foster collaboration amo</w:t>
      </w:r>
    </w:p>
    <w:p>
      <w:r>
        <w:t>POSSIBLE 2025: OP57 Introducing The New MedTech Innovation Scanning Techniques Framework: A Tool For Guiding Horizon Scanning Of MedTech Innovations — https://doi.org/10.1017/s0266462325101153</w:t>
      </w:r>
    </w:p>
    <w:p>
      <w:r>
        <w:t>Shared claim-specific concepts: horizon, recommended, scanning, direction; EU scope visible. This is a provisional connection, not an outcome finding.</w:t>
      </w:r>
    </w:p>
    <w:p>
      <w:r>
        <w:t>Available abstract (not full text): Introduction Horizon scanning (HS) identifies future trends and weak signals, aiding timely healthcare decisions, but lacks a formal framework. The Innovation Observatory’s MedTech Horizon Scanning Techniques (MIST) framework integrates evidence synthesis, HS methods, and foresight approaches. MIST aligns scanning techniques with foresight stages and the technology development pipeline, offering a structured approach to detect emerging science and technology trends for healthcare advancements. Methods The MIST framework was developed iteratively, combining HS expertise with regulatory knowledge of medical devices. First, a MedTech development pathway was established with international HS agencies, providing a foundation. Second, the pathway was mapped against the regulatory milestones involved in medical technology development from ideation to post-marketing according to recent European legislation. Last, we overlaid the foresight “Three Horizons Model” with the development stages to produce a framework that combines different innovation stages with their regulatory requirements and maps sources of weak signal detection to the horizons where those sources are most likely to be relevant. Results Our MIST framework presents three horizons: emerging, transitional, and imminent. Each horizon maps to different technology readiness levels, life cycle stages, time periods, and regulat</w:t>
      </w:r>
    </w:p>
    <w:p>
      <w:r>
        <w:t>POSSIBLE 2025: Invasive Alien Species Horizon Scanning in support of implementation of Regulation 1143/2014 — https://openalex.org/W7128121341</w:t>
      </w:r>
    </w:p>
    <w:p>
      <w:r>
        <w:t>Shared claim-specific concepts: horizon, resulted, six, challenges, scanning, considered; EU scope visible. This is a provisional connection, not an outcome finding.</w:t>
      </w:r>
    </w:p>
    <w:p>
      <w:r>
        <w:t>Available abstract (not full text): At the core of Regulation (EU) 1143/2014 is a list of invasive alien species of Union concern. An EU-level horizon scanning for species that can be added to this list was undertaken, aiming to derive at least 100 species likely to arrive, establish, spread and have an impact on native biodiversity or ecosystem services over the next ten years. An updated methodology was put together, consisting of gathering species lists from global horizon scanning exercises and additional databases. These lists were refined, after which a rapid assessment of each species was undertaken, followed by consensus building to achieve a final list of prioritised species through an in-person workshop. This resulted in 165 species considered the most likely to enter or spread in the EU, with 57 of these presenting the highest threats to biodiversity. Possible challenges to listing species under the Regulation were identified and discussed, such as insufficient or uncertain data, management feasibility or resource constraints, and push back by different stakeholders. Finally, 49 genera and six families were identified as taxonomic groups where a high number of invasive species would call for additional policy measures to prevent their negative impact on European biodiversity.</w:t>
      </w:r>
    </w:p>
    <w:p>
      <w:pPr>
        <w:pStyle w:val="Heading2"/>
      </w:pPr>
      <w:r>
        <w:t>How Sustainable Development Goals interlinkages influence European Union countries’ progress towards the 2030 Agenda</w:t>
      </w:r>
    </w:p>
    <w:p>
      <w:r>
        <w:t>Original source (2022): https://doi.org/10.1002/sd.2290</w:t>
      </w:r>
    </w:p>
    <w:p>
      <w:r>
        <w:t>Original wording (abstract; indexed_source_text_not_full_document_verified): While it is evident that trade‐offs between the 2030 Agenda's objectives might prevent countries from achieving all 17 SDGs simultaneously, the extent to which interactions (synergies and trade‐offs) between the goals facilitate or hinder countries' progress towards achieving the 2030 Agenda has so far received little attention. In order to achieve the SDGs by 2030, it is thus crucial to not only exploit synergies between the goals but also to overcome trade‐offs.</w:t>
      </w:r>
    </w:p>
    <w:p>
      <w:r>
        <w:t>POSSIBLE 2025: Thinking in trade-offs — https://openalex.org/W7134102523</w:t>
      </w:r>
    </w:p>
    <w:p>
      <w:r>
        <w:t>Shared claim-specific concepts: between, objectives, all, progress; EU scope not established. This is a provisional connection, not an outcome finding.</w:t>
      </w:r>
    </w:p>
    <w:p>
      <w:r>
        <w:t xml:space="preserve">Available abstract (not full text): Every day, people face decisions that involve multiple, often conflicting objectives: balancing cost against quality, safety against speed, or personal benefit against social responsibility.These trade-offs rarely admit a single "right" answer, and they become even more challenging when other decision-makers are involved.Reinforcement learning offers a powerful framework for constructing artificial agents that act autonomously in complex, uncertain environments, learning through trial and error how to make effective decisions.Yet, most existing approaches focus on a single objective, assuming away the trade-offs that are intrinsic to real decision-making.This thesis addresses that gap directly.Its central theme is how to design agents that can think in trade-offs, that is, agents that can reason about multiple objectives and act optimally under uncertainty.The contributions unfold in three parts that build on one another.First, we bridge singleand multi-objective reinforcement learning by showing how decomposition techniques allow well-established single-objective methods to be extended to learning the Pareto front, a classical solution set that captures efficient trade-offs for certain decision-makers.Building on this foundation, we then introduce and analyse alternative solution concepts that more directly reflect decision-makers' preferences, developing rigorous theoretical </w:t>
      </w:r>
    </w:p>
    <w:p>
      <w:r>
        <w:t>POSSIBLE 2025: Family matters: the role of trade-offs in shaping human life-histories and health — https://doi.org/10.33612/diss.1419980082</w:t>
      </w:r>
    </w:p>
    <w:p>
      <w:r>
        <w:t>Shared claim-specific concepts: evident, between, all, little; EU scope visible. This is a provisional connection, not an outcome finding.</w:t>
      </w:r>
    </w:p>
    <w:p>
      <w:r>
        <w:t>Available abstract (not full text): All organisms are born and die, but the parts in between are incredibly varied. Evolutionary life-history theory tells us that this diversity across species is partly shaped by trade-offs, because organisms cannot, for example, maximize both their reproduction and lifespan. However, how well these trade-offs shape some of the most important outcomes in our own lives, such as how long we live for, is less well understood. To this end, I applied a diversity of approaches to data from three unique human datasets. First, using Swiss historical data, I found little evidence for these life-history trade-offs limiting overall family sizes, despite the high birth-rates present in this preindustrial population and no strong findings of cooperation amongst siblings. However, analyzing historical data from Finland suggested that family size may trade-off against a mother’s own lifespan, at least during challenging environmental conditions, revealing one potential factor shaping human lifespan. Whether these trade-offs remain important in more contemporary populations was less evident. Using European genomic data, I found that genetic factors shaping time to maturity and first childbirth, and fertility were not associated with genetic predispositions to breast cancer, suggesting that life-history trade-offs have not led to genes underlying this particular disease. More work must be done to</w:t>
      </w:r>
    </w:p>
    <w:p>
      <w:r>
        <w:t>POSSIBLE 2025: Navigating trade-offs: Energy dependency, geopolitical shocks, and sustainability in European parliamentary debates — https://doi.org/10.1016/j.erss.2025.104198</w:t>
      </w:r>
    </w:p>
    <w:p>
      <w:r>
        <w:t>Shared claim-specific concepts: between, objectives, countries, sdgs, goals, attention; EU scope visible. This is a provisional connection, not an outcome finding.</w:t>
      </w:r>
    </w:p>
    <w:p>
      <w:r>
        <w:t xml:space="preserve">Available abstract (not full text): This study examines the evolution of energy and sustainability debates in European parliaments from 2014 to 2022, focusing on how national energy dependency moderates responses to geopolitical shocks, specifically, the Russian invasion of Ukraine. The research uses quantitative text analysis via the BERTopic model to compare the allocation of parliamentary attention between immediate energy security concerns and long-term sustainability objectives. The analysis finds that, following the escalation of the conflict, countries with a higher reliance on imported energy allocate a comparatively smaller share of their debates to sustainability issues, as evidenced by decreased legislative engagement with the Sustainable Development Goals. This pattern suggests that structural vulnerabilities in energy supply might restrict legislative capacity to uphold long-term sustainability commitments as short-term security imperatives increase. It highlights the importance of policy approaches that effectively combine immediate energy security measures with long-term sustainability strategies to strengthen national resilience. • EU parliamentary debates reveal energy security vs. sustainability trade-offs. • Energy dependency moderates sustainability legislative focus post-geopolitical shock. • Higher energy dependency correlates with reduced SDGs focus. • Integrated policies needed to balance </w:t>
      </w:r>
    </w:p>
    <w:p>
      <w:r>
        <w:t>POSSIBLE 2024: Mesopelagic Fish Traits: Functions and Trade‐Offs — https://doi.org/10.1111/faf.12867</w:t>
      </w:r>
    </w:p>
    <w:p>
      <w:r>
        <w:t>Shared claim-specific concepts: trade, offs, interactions, attention; EU scope not established. This is a provisional connection, not an outcome finding.</w:t>
      </w:r>
    </w:p>
    <w:p>
      <w:r>
        <w:t>Available abstract (not full text): ABSTRACT Fishes inhabiting the mesopelagic zone of the world's oceans are estimated to account for the majority of the world's fish biomass. They have recently attracted new attention because they are part of the biological carbon pump and have been reconsidered as a contribution to food security. Hence, there is an urgent need to understand how environmental conditions and species interactions shape their assemblages, and how they contribute to the functioning of marine ecosystems. Trait‐based approaches are valuable for addressing these types of questions. However, the biology and ecology of mesopelagic fishes are understudied compared to fishes in shallow and epipelagic waters. Here, we synthesise existing knowledge of traits of mesopelagic fishes and relate them to their role in survival, feeding and growth and reproduction, the key functions that contribute to fitness. Vertical migrations, specialised vision and the use of bioluminescence are among the most striking adaptations to the conditions in the mesopelagic realm. Many traits are interrelated as a result of trade‐offs, which may help to understand selection pressures. While morphological traits are straightforward to observe, major knowledge gaps exist for traits that require frequent sampling, assessment under experimental conditions or age determination. The unique adaptations of mesopelagic fishes need to be incl</w:t>
      </w:r>
    </w:p>
    <w:p>
      <w:r>
        <w:t>POSSIBLE 2024: Cross‐border dimensions of Arctic climate change impacts and implications for Europe — https://doi.org/10.1002/wcc.905</w:t>
      </w:r>
    </w:p>
    <w:p>
      <w:r>
        <w:t>Shared claim-specific concepts: trade, offs, between; EU scope visible. This is a provisional connection, not an outcome finding.</w:t>
      </w:r>
    </w:p>
    <w:p>
      <w:r>
        <w:t>Available abstract (not full text):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r>
        <w:t>POSSIBLE 2023: Beyond trade: The European Union - New Zealand Free Trade Agreement — https://doi.org/10.30722/anzjes.vol15.iss1.17363</w:t>
      </w:r>
    </w:p>
    <w:p>
      <w:r>
        <w:t>Shared claim-specific concepts: evident, trade, agenda; EU scope visible. This is a provisional connection, not an outcome finding.</w:t>
      </w:r>
    </w:p>
    <w:p>
      <w:r>
        <w:t>Available abstract (not full text): The 2022 announcement of the European Union- New Zealand Free Trade Agreement was seminal for both sides. For New Zealand, the deal is projected to be worth up to an extra NZ$1.8 billion per annum by 2035. What is less evident is the motivation for securing the deal for Europe – New Zealand is only the EU’s 50th most important trading partner and accounts for 0.2% of its total trade. This article outlines three major benefits for the EU. Firstly, it symbolises that the EU’s neoliberal trading agenda is continuing in the face of perceived increased protectionism. Second, the deal includes a seminal clause of holding each partner to account in climate change responsibilities – a detail that should garner support from EU citizens. Finally, closer EU cooperation with New Zealand may add to the EU’s legitimacy in the Indo-Pacific.</w:t>
      </w:r>
    </w:p>
    <w:p>
      <w:r>
        <w:t>POSSIBLE 2023: Is there a trade-off between productivity and employment? — https://doi.org/10.1787/99bede51-en</w:t>
      </w:r>
    </w:p>
    <w:p>
      <w:r>
        <w:t>Shared claim-specific concepts: between, countries, progress; EU scope not established. This is a provisional connection, not an outcome finding.</w:t>
      </w:r>
    </w:p>
    <w:p>
      <w:r>
        <w:t>Available abstract (not full text): The impact of productivity on employment remains uncertain, particularly in light of growing concerns regarding potential negative effects of technological progress on labour demand. This report uses harmonised and comparable data from 13 countries spanning the last two decades to comprehensively analyse how productivity growth affects employment dynamics at various levels of aggregation. The study's findings highlight a positive correlation between productivity growth and employment as well as wage growth, both at the firm level and on a broader scale. This outcome arises from counteracting mechanisms and heterogeneous dynamics across different groups of firms. The findings have relevant policy implications: productivity is not just an isolated key economic objective, but well-designed and complementary policies can also help convert technological and organisational change into higher employment and wage growth.</w:t>
      </w:r>
    </w:p>
    <w:p>
      <w:pPr>
        <w:pStyle w:val="Heading2"/>
      </w:pPr>
      <w:r>
        <w:t>Impact of demographic changes and screening colonoscopy on long-term projection of incident colorectal cancer cases in Germany: A modelling study</w:t>
      </w:r>
    </w:p>
    <w:p>
      <w:r>
        <w:t>Original source (2022): https://doi.org/10.1016/j.lanepe.2022.100451</w:t>
      </w:r>
    </w:p>
    <w:p>
      <w:r>
        <w:t>Original wording (abstract; indexed_source_text_not_full_document_verified): We estimated the number of new CRC cases until 2060, assuming screening colonoscopy use to be constant or to increase to between 1·5 and 3 times the current levels. Assuming no change in screening colonoscopy use, the overall annual caseload was predicted to increase from approximately 62,000 cases in 2020 to more than 70,000 cases by the year 2040 and more than 75,000 cases by 2050.</w:t>
      </w:r>
    </w:p>
    <w:p>
      <w:r>
        <w:t>POSSIBLE 2026: Estimating European Pilchard ( Sardina pilchardus ) Total Length: New Equations for the Ichthyoarchaeological Record — https://doi.org/10.1002/oa.70087</w:t>
      </w:r>
    </w:p>
    <w:p>
      <w:r>
        <w:t>Shared claim-specific concepts: number, until, between, times; EU scope visible. This is a provisional connection, not an outcome finding.</w:t>
      </w:r>
    </w:p>
    <w:p>
      <w:r>
        <w:t>Available abstract (not full text): ABSTRACT Throughout its area of distribution, in particular in the Iberian Peninsula, the European pilchard ( Sardina pilchardus Walbaum 1792) has been an extensively exploited species since Prehistoric times. Our knowledge of the past fisheries of this clupeid nevertheless remains limited due to a scarcity of ichthyoarchaeological data, which reflects, among other things, a lack of systematic fine sieving in archaeological excavations until recent times. Specifically, although predictive equations to infer fish size from archaeological remains provide valuable information about past fisheries, published data for the European pilchard are still comparatively rare. This study presents 33 new equations based on selected cranial elements to estimate total length that considerably expand the number thus far available for the European pilchard. Also, given that the number and size ranges of specimens used to build these models are greater than those from previous studies, our equations provide a higher degree of accuracy, offering more reliable tools for reconstructing the size from archaeological sardine bones. These equations, along with previously published ones, were tested on European pilchard collections from medieval and Modern Age Barcelona (Catalonia, Spain). Although some of the previously published equations provide acceptable overviews of size distributions, the new equa</w:t>
      </w:r>
    </w:p>
    <w:p>
      <w:r>
        <w:t>POSSIBLE 2026: The Price of Speed: Estimating the Impact of List Prices on Time to Availability of New Medicines in 18 European Countries — https://doi.org/10.1007/s40258-026-01053-3</w:t>
      </w:r>
    </w:p>
    <w:p>
      <w:r>
        <w:t>Shared claim-specific concepts: number, use, increase, between; EU scope visible. This is a provisional connection, not an outcome finding.</w:t>
      </w:r>
    </w:p>
    <w:p>
      <w:r>
        <w:t>Available abstract (not full text): OBJECTIVES: To examine whether higher national list prices for new medicines are associated with faster patient access across 18 European countries. METHODS: Data were drawn from the 2023 European Federation of Pharmaceutical Industries &amp; Associations (EFPIA) Patients Waiting to Access Innovative Therapies (WAIT) Indicator Survey and the Swedish TLV's 2023 international price index. Time to availability was defined as the number of days between marketing authorisation and national reimbursement access. A multivariable linear regression model was applied, controlling for gross domestic product (GDP) per capita, population size, health technology assessment (HTA) duration, and the use of Managed Entry Agreements (MEAs). To address endogeneity, a two-stage least squares (2SLS) regression was conducted using a composite headquarters (HQ) Index as an instrumental variable for national list prices. RESULTS: In the multivariable model, each one-point increase in the list price index (European average = 100) was associated with a 7.9-day reduction in time to availability (p = 0.091). A slow HTA/reimbursement process was significantly associated with longer delays (p = 0.022). Managed entry agreement intensity was positively associated with longer delays but did not reach statistical significance (p = 0.103). In the 2SLS model, a one-point increase in the instrumented list price was ass</w:t>
      </w:r>
    </w:p>
    <w:p>
      <w:r>
        <w:t>POSSIBLE 2024: Projection of the number of new lymphoma cases in the world — https://doi.org/10.1093/jjco/hyae147</w:t>
      </w:r>
    </w:p>
    <w:p>
      <w:r>
        <w:t>Shared claim-specific concepts: estimated, number, cases, until, constant, increase; EU scope visible. This is a provisional connection, not an outcome finding.</w:t>
      </w:r>
    </w:p>
    <w:p>
      <w:r>
        <w:t>Available abstract (not full text): In order to compare the estimated number of lymphoma cases including both Hodgkin and non-Hodgkin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and the USA (graph on the far left and second to the left) are to be interpreted with reference to the right Y-axis, by contrast with results for all other countries, given with reference to the left Y-axis of each graph. Figure 1 shows the trend in the estimated numbers of lymphoma cases for males. Estimated number of new Hodgkin and non-Hodgkin lymphoma cases from 2022 to 2050 (male). In 2022, the highest number of new cases were found in the USA (48 249), Chi</w:t>
      </w:r>
    </w:p>
    <w:p>
      <w:r>
        <w:t>POSSIBLE 2024: Projection of the number of new cases of ovarian cancer in the world — https://doi.org/10.1093/jjco/hyad191</w:t>
      </w:r>
    </w:p>
    <w:p>
      <w:r>
        <w:t>Shared claim-specific concepts: estimated, number, cases, until, constant, increase; EU scope visible. This is a provisional connection, not an outcome finding.</w:t>
      </w:r>
    </w:p>
    <w:p>
      <w:r>
        <w:t>Available abstract (not full text): In order to compare the estimated number of ovarian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illustrates the projected trends in the estimated number of ovarian cancer cases for females in 2020 and 2040. Notice that results for China (shown in the leftmost graph) and for the USA (shown in the second graph from the left) are represented on the right Y axis, by contrast with all other numbers represented on the left Y axis of each graph. This differentiation is attributed to the considerably higher number of cases in these two countries compared to the rest. In 2020, the highest number of new cases o</w:t>
      </w:r>
    </w:p>
    <w:p>
      <w:r>
        <w:t>POSSIBLE 2024: Estimating the potential risk of transmission of arboviruses in the Americas and Europe: a modelling study — https://doi.org/10.1016/s2542-5196(23)00252-8</w:t>
      </w:r>
    </w:p>
    <w:p>
      <w:r>
        <w:t>Shared claim-specific concepts: estimated, number, cases, between; EU scope visible. This is a provisional connection, not an outcome finding.</w:t>
      </w:r>
    </w:p>
    <w:p>
      <w:r>
        <w:t>Available abstract (not full text):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r>
        <w:t>POSSIBLE 2024: Projection of the number of new brain and central nervous system cancer cases in the world — https://doi.org/10.1093/jjco/hyae165</w:t>
      </w:r>
    </w:p>
    <w:p>
      <w:r>
        <w:t>Shared claim-specific concepts: estimated, number, cases, until, constant, increase; EU scope visible. This is a provisional connection, not an outcome finding.</w:t>
      </w:r>
    </w:p>
    <w:p>
      <w:r>
        <w:t>Available abstract (not full text): In order to compare the estimated number of new brain and central nervous system cancer cases from 2022 to 2050 between Japan and other countries, we extracted information on reported projection of the number of new cancer cases from ‘Global Cancer Observatory’ website [1]. In this site, the predicted future cancer burden worldwide from the estimates in 2022 up until 2050 were reported. The estimates were based on the assumption that the incidence rate by sex and age group for each country in the world as of 2022, as estimated by the GLOBOCAN project, will remain constant until 2050. This means that the increase or decrease in the number of cancer cases will depend only on the corresponding increase or decrease in the size of the projected population. We calculated the percentage increase in the number of cases by 2050 prediction relative to the number of cases in 2022 for each country. Notice that results for China, the USA and Brazil (graph on the far left and second to the left) are to be interpreted with reference to the right Y-axis, by contrast with results for all other countries, given with reference to the left Y-axis of each graph. Figure 1 shows the trend in the estimated numbers of new brain and central nervous system cancer cases for males. In 2022, the largest number of new cases were found in China (42’398) followed by the USA (14 034) and Brazil (6381). Europe s</w:t>
      </w:r>
    </w:p>
    <w:p>
      <w:r>
        <w:t>POSSIBLE 2024: Ammonia emission estimates using CrIS satellite observations over Europe — https://doi.org/10.5194/acp-24-10583-2024</w:t>
      </w:r>
    </w:p>
    <w:p>
      <w:r>
        <w:t>Shared claim-specific concepts: number, use; EU scope visible. This is a provisional connection, not an outcome finding.</w:t>
      </w:r>
    </w:p>
    <w:p>
      <w:r>
        <w:t>Available abstract (not full text): Over the past century, ammonia (NH 3 ) emissions have increased with the growth of livestock and fertilizer usage. The abundant NH 3 emissions lead to secondary fine particulate matter (PM 2.5 ) pollution, climate change, and a reduction in biodiversity, and they affect human health. Up-to-date and spatially and temporally resolved information on NH 3 emissions is essential to better quantify their impact. In this study we applied the existing Daily Emissions Constrained by Satellite Observations (DECSO) algorithm to NH 3 observations from the Cross-track Infrared Sounder (CrIS) to estimate NH 3 emissions. Because NH 3 in the atmosphere is influenced by nitrogen oxides (NO x ), we implemented DECSO to estimate NO x and NH 3 emissions simultaneously. The emissions are derived over Europe for 2020 on a spatial resolution of 0.2 ° ×0.2 ° using daily observations from both CrIS and the TROPOspheric Monitoring Instrument (TROPOMI; on the Sentinel-5 Precursor (S5P) satellite). Due to the limited number of daily satellite observations of NH 3 , monthly emissions of NH 3 are reported. The total NH 3 emissions derived from observations are about 8 Tg yr −1 , with a precision of about 5 %–17 % per grid cell per year over the European domain (35–55° N, 10° W–30° E). The comparison of the satellite-derived NH 3 emissions from DECSO with independent bottom-up inventories and in situ observa</w:t>
      </w:r>
    </w:p>
    <w:p>
      <w:r>
        <w:t>POSSIBLE 2024: Projection of the number of new cases of prostate cancer in the world — https://doi.org/10.1093/jjco/hyae030</w:t>
      </w:r>
    </w:p>
    <w:p>
      <w:r>
        <w:t>Shared claim-specific concepts: estimated, number, cases, until, constant, increase; EU scope visible. This is a provisional connection, not an outcome finding.</w:t>
      </w:r>
    </w:p>
    <w:p>
      <w:r>
        <w:t>Available abstract (not full text): In order to compare the estimated number of prostate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predicted percentage increase in the number of cases by 2040 relative to the number of cases in 2020 for each country. Figure 1 illustrates the projected trends in the estimated number of prostate cancer cases for males between 2020 and 2040. In 2020, the highest number of new cases of prostate cancer was estimated in the USA (209512), China (115426), Japan (106139) and Brazil (97278). Estimated numbers of cases were also high in European countries, ranging from 56 780 in the UK to 67 959 in Germany. In all other countries included in this report, numbers of cases of prostate cancer were much lower, with the lowest numbers estimated</w:t>
      </w:r>
    </w:p>
    <w:p>
      <w:r>
        <w:t>POSSIBLE 2023: The estimated distribution of autochthonous leishmaniasis by Leishmania infantum in Europe in 2005–2020 — https://doi.org/10.1371/journal.pntd.0011497</w:t>
      </w:r>
    </w:p>
    <w:p>
      <w:r>
        <w:t>Shared claim-specific concepts: estimated, number, cases, between, overall; EU scope visible. This is a provisional connection, not an outcome finding.</w:t>
      </w:r>
    </w:p>
    <w:p>
      <w:r>
        <w:t>Available abstract (not full text): BACKGROUND: This study describes the spatial and temporal distribution between 2005 and 2020 of human and animal leishmaniasis by Leishmania infantum in European countries reporting autochthonous cases, and highlights potential activities to improve disease control. METHODOLOGY/PRINCIPAL FINDINGS: It was based on a review of the scientific literature and data reported by the World Health Organization (WHO), the World Organization for Animal Health (WOAH) and the Ministries of Health, including hospital discharges in some countries. Autochthonous infections were reported in the scientific literature from 22 countries, including 13 and 21 countries reporting human and animal infections, respectively. In contrast, only 17 countries reported autochthonous human leishmaniasis cases to the WHO and 8 countries animal infections to the WOAH. The number of WOAH reported cases were 4,203, comprising 4,183 canine cases and 20 cases in wildlife. Of 8,367 WHO reported human cases, 69% were visceral leishmaniasis cases-of which 94% were autochthonous-and 31% cutaneous leishmaniasis cases-of which 53% were imported and mostly in France. The resulting cumulative incidence per 100,000 population of visceral leishmaniasis between 2005-2020, was highest in Albania (2.15 cases), followed by Montenegro, Malta, Greece, Spain and North Macedonia (0.53-0.42), Italy (0.16), Portugal (0.09) and lower in</w:t>
      </w:r>
    </w:p>
    <w:p>
      <w:r>
        <w:t>POSSIBLE 2023: Projection of the number of new liver cancer cases in the world — https://doi.org/10.1093/jjco/hyad126</w:t>
      </w:r>
    </w:p>
    <w:p>
      <w:r>
        <w:t>Shared claim-specific concepts: estimated, number, cases, until, constant, increase; EU scope visible. This is a provisional connection, not an outcome finding.</w:t>
      </w:r>
    </w:p>
    <w:p>
      <w:r>
        <w:t>Available abstract (not full text): In order to compare the estimated number of liver and intrahepatic bile ducts cancer cases from 2020 to 2040 between Japan and other countries, we extracted information on reported projection of the number of new cancer cases from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number of cases by 2040 prediction relative to the number of cases in 2020 for each country. Figure 1 shows the trend in the estimated numbers of liver cancer cases for males. In 2020, the estimated numbers of cases were highest in China (302 598; represented according to the right Y-axis of the graph of Asia because of extremely higher number than other countries) followed by Japan (29 854), the USA (29 713), Thailand (18 268), Egypt (18 145) and Republic Korea (10 926). In other countries, such as Europe and Oceania, the estimated numbers of cases were &lt;10 000 cases, especially low i</w:t>
      </w:r>
    </w:p>
    <w:p>
      <w:r>
        <w:t>POSSIBLE 2023: Projection of the number of new cases of kidney and renal pelvis cancer in the world — https://doi.org/10.1093/jjco/hyad146</w:t>
      </w:r>
    </w:p>
    <w:p>
      <w:r>
        <w:t>Shared claim-specific concepts: estimated, number, cases, until, constant, increase; EU scope visible. This is a provisional connection, not an outcome finding.</w:t>
      </w:r>
    </w:p>
    <w:p>
      <w:r>
        <w:t>Available abstract (not full text): In order to compare the estimated number of kidney and renal pelvis cancer cases from 2020 to 2040 between Japan and other countries, we extracted information on reported projection of the number of new cancer cases from the ‘Global Cancer Observatory’ website (1). In this site, the predicted future cancer burden worldwide from the estimates in 2020 up until 2040 were reported. The estimates were based on the assumption that the incidence rate by sex and age group for each country in the world as of 2020, as estimated by the GLOBOCAN project (2), will remain constant until 2040. This means that the increase or decrease in the number of cancer cases will depend only on the corresponding increase or decrease in the size of the projected population. We calculated the percentage increase in the predicted number of cases by 2040 relative to the number of cases in 2020 for each country. Estimated number of new kidney and renal pelvis cancer cases from 2020 to 2040 (Male). Figure 1 shows the trend in the estimated numbers of kidney and renal pelvis cancer cases for males. Notice that results for China (shown in the leftmost graph) and for the USA (shown in the second graph from the left) are to be interpreted with reference to the right Y-axis, by contrast with results for all other countries, given with reference to the left Y-axis of each graph. In 2020, the highest number of new ca</w:t>
      </w:r>
    </w:p>
    <w:p>
      <w:r>
        <w:t>POSSIBLE 2023: Incidence of Syndromes Associated With Frontotemporal Lobar Degeneration in 9 European Countries — https://doi.org/10.1001/jamaneurol.2022.5128</w:t>
      </w:r>
    </w:p>
    <w:p>
      <w:r>
        <w:t>Shared claim-specific concepts: estimated, number, cases, increase, overall, annual; EU scope visible. This is a provisional connection, not an outcome finding.</w:t>
      </w:r>
    </w:p>
    <w:p>
      <w:r>
        <w:t>Available abstract (not full text): Importance: Diagnostic incidence data for syndromes associated with frontotemporal lobar degeneration (FTLD) in multinational studies are urgent in light of upcoming therapeutic approaches. Objective: To assess the incidence of FTLD across Europe. Design, Setting, and Participants: The Frontotemporal Dementia Incidence European Research Study (FRONTIERS) was a retrospective cohort study conducted from June 1, 2018, to May 31, 2019, using a population-based registry from 13 tertiary FTLD research clinics from the UK, the Netherlands, Finland, Sweden, Spain, Bulgaria, Serbia, Germany, and Italy and including all new FTLD-associated cases during the study period, with a combined catchment population of 11 023 643 person-years. Included patients fulfilled criteria for the behavioral variant of frontotemporal dementia (BVFTD), the nonfluent variant or semantic variant of primary progressive aphasia (PPA), unspecified PPA, progressive supranuclear palsy, corticobasal syndrome, or frontotemporal dementia with amyotrophic lateral sclerosis (FTD-ALS). Data were analyzed from July 19 to December 7, 2021. Main Outcomes and Measures: Random-intercept Poisson models were used to obtain estimates of the European FTLD incidence rate accounting for geographic heterogeneity. Results: Based on 267 identified cases (mean [SD] patient age, 66.70 [9.02] years; 156 males [58.43%]), the estimated ann</w:t>
      </w:r>
    </w:p>
    <w:p>
      <w:pPr>
        <w:pStyle w:val="Heading2"/>
      </w:pPr>
      <w:r>
        <w:t>Impacts of Scaling up Agroecology on the Sustainability of European Agriculture in 2050</w:t>
      </w:r>
    </w:p>
    <w:p>
      <w:r>
        <w:t>Original source (2022): https://doi.org/10.1111/1746-692x.12373</w:t>
      </w:r>
    </w:p>
    <w:p>
      <w:r>
        <w:t>Original wording (abstract; indexed_source_text_not_full_document_verified): We here assess socio‐economic and environmental implications of multiple agroecological futures in the European Union in 2050, based on a novel diagnostic scenario approach, i.e. the biomass balancing model BioBaM‐GHG 2.0.</w:t>
      </w:r>
    </w:p>
    <w:p>
      <w:r>
        <w:t>POSSIBLE 2026: Assessing urban green roofs for CO2 removal via enhanced rock weathering in Europe — https://doi.org/10.1016/j.envadv.2026.100708</w:t>
      </w:r>
    </w:p>
    <w:p>
      <w:r>
        <w:t>Shared claim-specific concepts: here, based, novel, approach; EU scope visible. This is a provisional connection, not an outcome finding.</w:t>
      </w:r>
    </w:p>
    <w:p>
      <w:r>
        <w:t>Available abstract (not full text): Green roofs represent a novel and promising platform for integrating enhanced rock weathering (ERW) as a carbon dioxide removal (CDR) strategy within urban environments. By utilising underused rooftop spaces, rock (feedstock)-amended green roofs for ERW could contribute meaningfully to climate mitigation targets while fitting within existing markets and policy frameworks. Despite this, a comprehensive assessment of opportunities and barriers to deployment is missing. Here, we provide a conceptual assessment, serving as a benchmark for the potential for large-scale ERW green roof deployment in Europe, examining literature from similar applications and estimating theoretical CDR potential at European and global scales, and identifying key opportunities and challenges. Our estimates suggest that, under conditions where 100% reactivity is achieved, green roofs in Europe could theoretically remove tens of millions of tonnes of CO 2 via ERW (in addition to plant uptake) by 2060, assuming expanded rooftop coverage. However, these findings are based on maximum geochemical capacities rather than empirical data from real-world conditions. Globally, theoretical removal potential ranges from tens to hundreds of millions of tonnes CO 2 per year, with major contributions from Central Asia, North America, Latin America and the Pacific. Beyond CDR benefits, ERW green roofs can enhance photovol</w:t>
      </w:r>
    </w:p>
    <w:p>
      <w:r>
        <w:t>POSSIBLE 2024: HANZE v2.1: an improved database of flood impacts in Europe from 1870 to 2020 — https://doi.org/10.5194/essd-16-5145-2024</w:t>
      </w:r>
    </w:p>
    <w:p>
      <w:r>
        <w:t>Shared claim-specific concepts: here, union; EU scope visible. This is a provisional connection, not an outcome finding.</w:t>
      </w:r>
    </w:p>
    <w:p>
      <w:r>
        <w:t>Available abstract (not full text):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r>
        <w:t>POSSIBLE 2023: Environmental and socio-economic effects of construction and demolition waste recycling in the European Union — https://doi.org/10.1016/j.scitotenv.2023.168295</w:t>
      </w:r>
    </w:p>
    <w:p>
      <w:r>
        <w:t>Shared claim-specific concepts: assess, environmental, union; EU scope visible. This is a provisional connection, not an outcome finding.</w:t>
      </w:r>
    </w:p>
    <w:p>
      <w:r>
        <w:t>Available abstract (not full text): The recovery rate of construction and demolition waste (CDW) in the European Union (EU) is at 89 % and thus high relative to other waste streams. However, the relatively high figure can be misleading because it typically does not correspond to high-value material recovery but rather “poor” levels of circularity. From a life-cycle perspective, we assess the environmental impacts and costs of 12 CDW material fractions relying on alternative pathways and treatment technologies. The results indicate important trade-offs in the transition towards the circular economy. Indeed, recycling of concrete, bricks, gypsum, and ceramics and tiles represent the best environmental performance but also the most expensive pathway. However, when shifting from landfill to recycling the total societal costs in the EU are reduced mainly due to the lower external costs. Overall, recycling CDW in the EU with advanced technologies would save about 264 kg CO2-eq t−1 with a cost of 25 EUR t−1. The maximum potential for recycling under current technology in the EU would lead to an annual total reduction of about 33 Mt. of CO2-eq using 2020 as reference year. The fractions with the highest potential for improving current waste management practices in terms of environmental improvements are concrete and bricks. The economic and non-economic barriers for realising this potential at EU level are discussed in r</w:t>
      </w:r>
    </w:p>
    <w:p>
      <w:r>
        <w:t>POSSIBLE 2023: Assessing the Potential of Artificial Intelligence in Advancing Clean Energy Technologies in Europe: A Systematic Review — https://doi.org/10.3390/en16227633</w:t>
      </w:r>
    </w:p>
    <w:p>
      <w:r>
        <w:t>Shared claim-specific concepts: environmental, based, approach; EU scope visible. This is a provisional connection, not an outcome finding.</w:t>
      </w:r>
    </w:p>
    <w:p>
      <w:r>
        <w:t>Available abstract (not full text): This systematic review investigates the role of artificial intelligence (AI) in advancing clean energy technologies within Europe, based on a literature survey from 2006 to 2023. The assessment reveals that AI, particularly through deep learning and neural networks, enhances the efficiency, optimization, and management of clean energy systems. Noteworthy is AI’s capacity to improve short-term energy forecasts, essential for smart cities and IoT applications. Our findings indicate that AI drives innovation in renewable energy, contributing to the development of smart grids and enabling collaborative energy-sharing models. While the research underscores AI’s substantial influence in Europe’s energy sector, it also identifies gaps, such as varied AI algorithm applications in different renewable energy sectors. The study emphasizes the need for integrating AI with emerging clean energy innovations, advocating for interdisciplinary research to navigate the socio-economic, environmental, and policy dimensions. This approach is crucial for guiding a sustainable and balanced advancement in the clean energy landscape, signifying AI’s pivotal role in Europe’s energy transition.</w:t>
      </w:r>
    </w:p>
    <w:p>
      <w:r>
        <w:t>POSSIBLE 2023: Assessing the socio-demographic representativeness of mobile phone application data — https://doi.org/10.1016/j.apgeog.2023.102997</w:t>
      </w:r>
    </w:p>
    <w:p>
      <w:r>
        <w:t>Shared claim-specific concepts: multiple, novel, approach; EU scope not established. This is a provisional connection, not an outcome finding.</w:t>
      </w:r>
    </w:p>
    <w:p>
      <w:r>
        <w:t>Available abstract (not full text): Emerging forms of mobile phone data generated from the use of mobile phone applications have the potential to advance scientific research across a range of disciplines. However, there are risks regarding uncertainties in the socio-demographic representativeness of these data, which may introduce bias and mislead policy recommendations. This paper addresses the issue directly by developing a novel approach to assessing socio-demographic representativeness, demonstrating this with two large independent mobile phone application datasets, Huq and Tamoco, each with three years data for a large and diverse city-region (Glasgow, Scotland) home to over 1.8 million people. We advance methods for detecting home location by including high-resolution land use data in the process and test representativeness across multiple dimensions. Our findings offer greater confidence in using mobile phone app data for research and planning. Both datasets show good representativeness compared to the known population distribution. Indeed, they achieve better population coverage than the ‘gold standard’ random sample survey which is the alternative source of data on population mobility in this region. More importantly, our approach provides an improved benchmark for assessing the quality of similar data sources in the future.</w:t>
      </w:r>
    </w:p>
    <w:p>
      <w:r>
        <w:t>POSSIBLE 2023: Assessing the energy trap of industrial agriculture in North America and Europe: 82 balances from 1830 to 2012 — https://doi.org/10.1007/s13593-023-00925-5</w:t>
      </w:r>
    </w:p>
    <w:p>
      <w:r>
        <w:t>Shared claim-specific concepts: here, based, approach, biomass; EU scope visible. This is a provisional connection, not an outcome finding.</w:t>
      </w:r>
    </w:p>
    <w:p>
      <w:r>
        <w:t xml:space="preserve">Available abstract (not full text): Early energy analyses of agriculture revealed that behind higher labor and land productivity of industrial farming, there was a decrease in energy returns on energy (EROI) invested, in comparison to more traditional organic agricultural systems. Studies on recent trends show that efficiency gains in production and use of inputs have again somewhat improved energy returns. However, most of these agricultural energy studies have focused only on external inputs at the crop level, concealing the important role of internal biomass flows that livestock and forestry recirculate within agroecosystems. Here, we synthesize the results of 82 farm systems in North America and Europe from 1830 to 2012 that for the first time show the changing energy profiles of agroecosystems, including livestock and forestry, with a multi-EROI approach that accounts for the energy returns on external inputs, on internal biomass reuses, and on all inputs invested. With this historical circular bioeconomic approach, we found a general trend towards much lower external returns, little or no increases in internal returns, and almost no improvement in total returns. This "energy trap" was driven by shifts towards a growing dependence of crop production on fossil-fueled external inputs, much more intensive livestock production based on feed grains, less forestry, and a structural disintegration of agroecosystem </w:t>
      </w:r>
    </w:p>
    <w:p>
      <w:r>
        <w:t>POSSIBLE 2023: Cost-effective adaptation strategies to rising river flood risk in Europe — https://doi.org/10.1038/s41558-022-01540-0</w:t>
      </w:r>
    </w:p>
    <w:p>
      <w:r>
        <w:t>Shared claim-specific concepts: here, based; EU scope visible. This is a provisional connection, not an outcome finding.</w:t>
      </w:r>
    </w:p>
    <w:p>
      <w:r>
        <w:t>Available abstract (not full text):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pPr>
        <w:pStyle w:val="Heading2"/>
      </w:pPr>
      <w:r>
        <w:t>Implementing Systemic Innovation Strategies for a More Sustainable Future: The Case of Three Overseas Countries and Territories</w:t>
      </w:r>
    </w:p>
    <w:p>
      <w:r>
        <w:t>Original source (2022): https://doi.org/10.3389/frma.2021.801789</w:t>
      </w:r>
    </w:p>
    <w:p>
      <w:r>
        <w:t>Original wording (abstract; indexed_source_text_not_full_document_verified): We conclude by discussing the potential implications of this foresight approach for the sustainable development and transformation of other less-favoured regions and territories.</w:t>
      </w:r>
    </w:p>
    <w:p>
      <w:r>
        <w:t>POSSIBLE 2026: Concluding Comments — https://doi.org/10.4324/9781003645337-16</w:t>
      </w:r>
    </w:p>
    <w:p>
      <w:r>
        <w:t>Shared claim-specific concepts: potential, implications; EU scope not established. This is a provisional connection, not an outcome finding.</w:t>
      </w:r>
    </w:p>
    <w:p>
      <w:r>
        <w:t>Available abstract (not full text): The final chapter reflects on the broader implications of Integrative Systemic Therapy (IST) for clinical practice with children, adolescents, and families. It revisits the core principles of the model and highlights its capacity to integrate diverse theoretical perspectives while maintaining a clear clinical focus. The chapter discusses the relevance of IST in contemporary practice and its potential for ongoing development. It also considers how therapists can continue to refine their skills and adapt the framework to new contexts and challenges. The book concludes by emphasizing the importance of collaboration, flexibility, and systemic thinking in supporting families through processes of change and adaptation.</w:t>
      </w:r>
    </w:p>
    <w:p>
      <w:r>
        <w:t>POSSIBLE 2025: Concluding Remarks — https://doi.org/10.1017/9781009381437.012</w:t>
      </w:r>
    </w:p>
    <w:p>
      <w:r>
        <w:t>Shared claim-specific concepts: conclude, potential, approach, other; EU scope not established. This is a provisional connection, not an outcome finding.</w:t>
      </w:r>
    </w:p>
    <w:p>
      <w:r>
        <w:t>Available abstract (not full text): Chapter 11 starts with embedding the framework of Direction Dependence Analysis (DDA) into the methodological landscape of approaches to establishing causal effects. Specifically, it discusses the role of DDA relative to randomized experiments and describes three application scenarios in which DDA provides novel insights into the causal mechanisms underlying variable relations. It then discusses the use of statistical principles of DDA that emerge from incorporating non-Gaussianity information in existing methods for causal inference such as instrumental variable estimation, cross-lagged panel modeling, Granger-causality testing, and estimating models of reciprocal causation. For each approach, we outline how and to what extent principles of DDA can aid the pursuit of consistently estimating causal effects. The chapter closes with potential extensions of DDA principles to the categorical data domain and a reminder of the importance of data quality when applying DDA in practice. Here, it focuses on potential adverse effects of measurement error, the role of psychometric measurement of constructs of interest, and other forms of data contamination that can bias DDA decisions (e.g., ceiling/floor effects). Overall, however, we conclude that DDA and related methods that use non-Gaussian information for studying causation constitute an exciting and developing field of methods researc</w:t>
      </w:r>
    </w:p>
    <w:p>
      <w:r>
        <w:t>POSSIBLE 2024: When Replication Fails: What to Conclude and Not to Conclude? — https://doi.org/10.1177/25152459241268197</w:t>
      </w:r>
    </w:p>
    <w:p>
      <w:r>
        <w:t>Shared claim-specific concepts: conclude, potential, implications; EU scope not established. This is a provisional connection, not an outcome finding.</w:t>
      </w:r>
    </w:p>
    <w:p>
      <w:r>
        <w:t>Available abstract (not full text): In this commentary, we examine the implications of the failed replication reported by Vaidis et al., which represents the largest multilab attempt to replicate the induced-compliance paradigm in cognitive-dissonance theory. We respond to commentaries on this study and discuss potential explanations for the null findings, including issues with the perceived choice manipulation and various post hoc explanations. Our commentary includes an assessment of the broader landscape of cognitive-dissonance research, revealing pervasive methodological limitations, such as underpowered studies and a lack of open-science practices. We conclude that our replication study and our examination of the literature raise substantial concerns about the reliability of the induced-compliance paradigm and highlight the need for more rigorous research practices in the field of cognitive dissonance.</w:t>
      </w:r>
    </w:p>
    <w:p>
      <w:r>
        <w:t>POSSIBLE 2023: Discussing ChatGPT in education: A literature review and bibliometric analysis — https://doi.org/10.1080/2331186x.2023.2243134</w:t>
      </w:r>
    </w:p>
    <w:p>
      <w:r>
        <w:t>Shared claim-specific concepts: conclude, discussing, potential; EU scope not established. This is a provisional connection, not an outcome finding.</w:t>
      </w:r>
    </w:p>
    <w:p>
      <w:r>
        <w:t>Available abstract (not full text): This article aims to provide a review of existing research on the use of OpenAI ChatGPT in education using bibliometric analysis and systematic literature review. We explored published articles to observe the leading contributors to this field, the important subtopics, and the potential study in the future. We discovered that there is already a rise in the quantity of articles published on this subject between 2022 and 2023. We also map the research clusters using network analysis. The results obtained found a total of 93 articles. The analysis conclude that keywords such as “challenge,” “teaching,” and “knowledge,” have not been thoroughly researched This article contributes to the literature discussing the use of artificial intelligence in education and can be useful for academics and policymakers in education.</w:t>
      </w:r>
    </w:p>
    <w:p>
      <w:r>
        <w:t>POSSIBLE 2023: A Brief Overview of ChatGPT: The History, Status Quo and Potential Future Development — https://doi.org/10.1109/jas.2023.123618</w:t>
      </w:r>
    </w:p>
    <w:p>
      <w:r>
        <w:t>Shared claim-specific concepts: conclude, potential; EU scope not established. This is a provisional connection, not an outcome finding.</w:t>
      </w:r>
    </w:p>
    <w:p>
      <w:r>
        <w:t>Available abstract (not full text): ChatGPT, an artificial intelligence generated content (AIGC) model developed by OpenAI, has attracted world-wide attention for its capability of dealing with challenging language understanding and generation tasks in the form of conversations. This paper briefly provides an overview on the history, status quo and potential future development of ChatGPT, helping to provide an entry point to think about ChatGPT. Specifically, from the limited open-accessed resources, we conclude the core techniques of ChatGPT, mainly including large-scale language models, in-context learning, reinforcement learning from human feedback and the key technical steps for developing Chat-GPT. We further analyze the pros and cons of ChatGPT and we rethink the duality of ChatGPT in various fields. Although it has been widely acknowledged that ChatGPT brings plenty of opportunities for various fields, mankind should still treat and use ChatGPT properly to avoid the potential threat, e.g., academic integrity and safety challenge. Finally, we discuss several open problems as the potential development of ChatGPT.</w:t>
      </w:r>
    </w:p>
    <w:p>
      <w:pPr>
        <w:pStyle w:val="Heading2"/>
      </w:pPr>
      <w:r>
        <w:t>Integrated energy planning to meet 2050 European targets: A Southern Italian region case study</w:t>
      </w:r>
    </w:p>
    <w:p>
      <w:r>
        <w:t>Original source (2022): https://doi.org/10.1016/j.esr.2022.100844</w:t>
      </w:r>
    </w:p>
    <w:p>
      <w:r>
        <w:t>Original wording (abstract; indexed_source_text_not_full_document_verified): The 2030 ‘transition scenario’ is characterized by a reduction in GHG emissions. The results obtained show that the 2030 ‘transition’ scenario is characterized by a reduction in the “1990 CO2 emissions” of approximately 45%.</w:t>
      </w:r>
    </w:p>
    <w:p>
      <w:r>
        <w:t>POSSIBLE 2026: Circular Economy and Energy Transition as Drivers of Carbon Emission Reduction: Evidence from Central and Eastern European Countries — https://doi.org/10.3390/su18147209</w:t>
      </w:r>
    </w:p>
    <w:p>
      <w:r>
        <w:t>Shared claim-specific concepts: transition, reduction, emissions; EU scope visible. This is a provisional connection, not an outcome finding.</w:t>
      </w:r>
    </w:p>
    <w:p>
      <w:r>
        <w:t>Available abstract (not full text): Reducing carbon emissions has become a central objective of sustainable development policies as countries seek to address the environmental challenges associated with climate change and resource depletion. In this context, circular economy practices and energy transition policies have emerged as key mechanisms for achieving environmental sustainability. This study examines the determinants of carbon emissions within the framework of the circular economy and energy transition for selected Central and Eastern European countries (Romania, Poland, Hungary, Bulgaria, Slovakia, and Slovenia) over the period 2010–2024. Using panel data analysis, the study incorporates key variables including circular economy, economic growth, recycling, renewable energy consumption, and urbanization. To enhance the reliability of the empirical estimates, panel unit root tests, the Hausman specification test, fixed-effects estimation, and Driscoll–Kraay robust standard errors are employed to address heteroskedasticity, serial correlation, and cross-sectional dependence. The results indicate that improvements in circular economy practices together with greater renewable energy use are associated with lower carbon emissions, providing empirical support for the proposed hypotheses. Recycling activities are found to increase emissions in the short run, indicating energy-intensive processes. In contrast, th</w:t>
      </w:r>
    </w:p>
    <w:p>
      <w:r>
        <w:t>POSSIBLE 2026: Spatial Analysis of the Progress of Energy Transition in Europe — https://doi.org/10.3390/en19020353</w:t>
      </w:r>
    </w:p>
    <w:p>
      <w:r>
        <w:t>Shared claim-specific concepts: transition, emissions, obtained; EU scope visible. This is a provisional connection, not an outcome finding.</w:t>
      </w:r>
    </w:p>
    <w:p>
      <w:r>
        <w:t>Available abstract (not full text): The aim of the presented research was to conduct a spatial analysis of the progress of energy transition in countries of the European Union. The energy transition is understood as replacing fossil fuels with renewable energy sources, reducing greenhouse gas emissions, and improving the energy efficiency of the EU economy. The analysis used statistical data obtained from Eurostat. These data were subjected to spatial analysis, enabling the identification of hot spots and clusters representing spatial variations in the degree of transformation progress. This allowed for the identification of countries with similar dynamics of change, as well as the differences between clusters. The weights of the explanatory variables and the energy transition progress index (ETPI) were also determined. The results obtained allowed the proposal of strategies and energy policies for individual clusters. The ETPI clearly shows that more than half of the EU countries have values of this index below their average. The maximum value of the index is 67% (for Denmark), and only two countries achieved an index of 50%. Therefore, even the leaders of the transition did not achieve their goals completely. There are still areas that need improvement, such as the decarbonization of transportation, industry, and construction. Countries that are lagging behind in their transition should implement measures to ac</w:t>
      </w:r>
    </w:p>
    <w:p>
      <w:r>
        <w:t>POSSIBLE 2026: UKRAINE’S TRANSITION TO THE EUROPEAN VERTICAL REFERENCE SYSTEM (EVRS): GEODETIC PRECONDITIONS AND SPATIAL IMPLICATIONS — https://doi.org/10.25128/2519-4577.26.1.13</w:t>
      </w:r>
    </w:p>
    <w:p>
      <w:r>
        <w:t>Shared claim-specific concepts: transition, characterized, reduction; EU scope visible. This is a provisional connection, not an outcome finding.</w:t>
      </w:r>
    </w:p>
    <w:p>
      <w:r>
        <w:t>Available abstract (not full text): The purpose of this article is to analyze the geodetic prerequisites, methodological foundations, and spatial consequences of Ukraine’s transition from the Baltic Height System of 1977 (BHS-77) to the European Vertical Reference System (EVRS). The study focuses on substantiating the necessity of implementing a unified and modern vertical reference framework as a basis for improving the accuracy, consistency, and interoperability of national geospatial data. Particular attention is paid to the regional distribution of height differences between BHS-77 and EVRS, as well as to the role of EVRF2019_AMST/NH in harmonizing height data with European geodetic standards. The impact of the selected vertical reference system on the quality of digital elevation models (DEM), spatial analysis, and geoinformation products is also examined. Methodology. The research is based on a systematic analysis of regulatory documents governing the implementation of EVRS, as well as a review of scientific publications devoted to vertical reference systems, geoid and quasigeoid modeling, and precise levelling. A comparative assessment of the characteristics of BHS-77 and EVRS was conducted using official cartographic materials, results of the European Vertical Reference Frame EVRF2019, and GNSS-derived height data. Methods of spatial analysis and cartographic generalization were applied to identify region</w:t>
      </w:r>
    </w:p>
    <w:p>
      <w:r>
        <w:t>POSSIBLE 2025: 14. (How) Can the Energy Transition in Europe be a Just Transition? — https://doi.org/10.11647/obp.0499.14</w:t>
      </w:r>
    </w:p>
    <w:p>
      <w:r>
        <w:t>Shared claim-specific concepts: transition, emissions; EU scope visible. This is a provisional connection, not an outcome finding.</w:t>
      </w:r>
    </w:p>
    <w:p>
      <w:r>
        <w:t>Available abstract (not full text): In order to ensure that benefits and burdens of the transition to a net-zero economy are shared in a just and balanced way—which is a precondition for accepting the needed changes—effective and inclusive governance structures in both private and public spheres are essential. Given sluggish growth and increasing competition for resources from other policy goals, especially defence, the challenges of achieving a just transition, and with it political acceptance, not to mention political and social stability, will also intensify. We examine four key dimensions of a just energy transition: employment transitions, distributional effects of energy transition, accessibility and affordability of clean energy, and the participation of social partners and stakeholders. Analysis of the EU instruments in place—in particular the Just Transition Fund (JTF) and the nascent Social Climate Fund (SCF)—reveals serious gaps behind large headline numbers. Amongst other issues, JTF disbursement has been very slow. The SCF imposes Just Transition principles on only a small proportion of the revenue to come from the expanded emissions trading scheme, leaving much to the Member States. The chapter closes with policy proposals.</w:t>
      </w:r>
    </w:p>
    <w:p>
      <w:r>
        <w:t>POSSIBLE 2024: Mapping lock-ins and enabling environments for agri-food sustainability transitions in Europe — https://doi.org/10.1007/s11625-024-01480-y</w:t>
      </w:r>
    </w:p>
    <w:p>
      <w:r>
        <w:t>Shared claim-specific concepts: transition, ghg, emissions; EU scope visible. This is a provisional connection, not an outcome finding.</w:t>
      </w:r>
    </w:p>
    <w:p>
      <w:r>
        <w:t>Available abstract (not full text):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r>
        <w:t>POSSIBLE 2024: Renewable energy transition in Europe in the context of renewable energy transition processes in the world. A review — https://doi.org/10.1016/j.heliyon.2024.e40997</w:t>
      </w:r>
    </w:p>
    <w:p>
      <w:r>
        <w:t>Shared claim-specific concepts: transition, reduction; EU scope visible. This is a provisional connection, not an outcome finding.</w:t>
      </w:r>
    </w:p>
    <w:p>
      <w:r>
        <w:t>Available abstract (not full text):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r>
        <w:t>POSSIBLE 2024: Feedbacks in district heating systems and transition policies: A systems analysis of net-zero district heating transitions in Europe — https://doi.org/10.1016/j.egyr.2024.11.067</w:t>
      </w:r>
    </w:p>
    <w:p>
      <w:r>
        <w:t>Shared claim-specific concepts: transition, emissions; EU scope visible. This is a provisional connection, not an outcome finding.</w:t>
      </w:r>
    </w:p>
    <w:p>
      <w:r>
        <w:t>Available abstract (not full text): Net-zero district heating systems are considered a feasible heating alternative to replace individual natural gas boilers to mitigate emissions in European cities. However, achieving carbon-neutral cities in Europe is a complex affair due to interdependencies in energy transitions. Energy transitions are discussed as products of interdependencies between socio-technical elements within each context, including but not limited to institutions, society, culture, markets, policies, regulations, and technological disruptions/changes. These interdependencies have the potential to transcend beyond the boundaries of technologies, sectors, markets, policies, cities, and even countries which may result in feedback effects. The presence of feedback effects implies co-evolution: policy-making shapes energy system developments which, in turn, influences policy-making through a range of feedback effects. The objective of this study is to increase knowledge on the implications of feedback effects in energy systems and transition policies by highlighting how they can lead to unexpected systemic consequences, thereby causing inertia or acceleration during the switch out of individual natural gas boilers towards net-zero district heating systems. Understanding the root causes and mechanisms behind district heating transitions could support European policymakers in developing policies that can st</w:t>
      </w:r>
    </w:p>
    <w:p>
      <w:r>
        <w:t>POSSIBLE 2024: Study and analysis of energy transition in European ports — https://openalex.org/W7131511882</w:t>
      </w:r>
    </w:p>
    <w:p>
      <w:r>
        <w:t>Shared claim-specific concepts: transition; EU scope visible. This is a provisional connection, not an outcome finding.</w:t>
      </w:r>
    </w:p>
    <w:p>
      <w:r>
        <w:t>Available abstract (not full text): This study aims to analyze the possible alternatives to fossil fuels for obtaining energy and their respective production processes. It will explain the physical properties of fuels, the resources required for production and storage resources. The legal framework of the European and IMO regulation system will also be explained, detailing application dates, scope, and obligations for shipping companies and port operators. Subsequently, a methodology for establishing an energy transition plan will be explained, citing specific cases and examples. And finally, an analysis of an hypothetical case of a container terminal will be done to develop a set of solutions to reduce the carbon footprint in a profitable way.</w:t>
      </w:r>
    </w:p>
    <w:p>
      <w:r>
        <w:t>POSSIBLE 2023: Long-term trends in human body size track regional variation in subsistence transitions and growth acceleration linked to dairying — https://doi.org/10.1073/pnas.2209482119</w:t>
      </w:r>
    </w:p>
    <w:p>
      <w:r>
        <w:t>Shared claim-specific concepts: transition, characterized, reduction; EU scope visible. This is a provisional connection, not an outcome finding.</w:t>
      </w:r>
    </w:p>
    <w:p>
      <w:r>
        <w:t>Available abstract (not full text): Evidence for a reduction in stature between Mesolithic foragers and Neolithic farmers has been interpreted as reflective of declines in health, however, our current understanding of this trend fails to account for the complexity of cultural and dietary transitions or the possible causes of phenotypic change. The agricultural transition was extended in primary centers of domestication and abrupt in regions characterized by demic diffusion. In regions such as Northern Europe where foreign domesticates were difficult to establish, there is strong evidence for natural selection for lactase persistence in relation to dairying. We employ broad-scale analyses of diachronic variation in stature and body mass in the Levant, Europe, the Nile Valley, South Asia, and China, to test three hypotheses about the timing of subsistence shifts and human body size, that: 1) the adoption of agriculture led to a decrease in stature, 2) there were different trajectories in regions of in situ domestication or cultural diffusion of agriculture; and 3) increases in stature and body mass are observed in regions with evidence for selection for lactase persistence. Our results demonstrate that 1) decreases in stature preceded the origins of agriculture in some regions; 2) the Levant and China, regions of in situ domestication of species and an extended period of mixed foraging and agricultural subsistence,</w:t>
      </w:r>
    </w:p>
    <w:p>
      <w:pPr>
        <w:pStyle w:val="Heading2"/>
      </w:pPr>
      <w:r>
        <w:t>Investigating European Union Decarbonization Strategies: Evaluating the Pathway to Carbon Neutrality by 2050</w:t>
      </w:r>
    </w:p>
    <w:p>
      <w:r>
        <w:t>Original source (2022): https://doi.org/10.3390/su14084728</w:t>
      </w:r>
    </w:p>
    <w:p>
      <w:r>
        <w:t>Original wording (abstract; indexed_source_text_not_full_document_verified): Despite the rich and extensive documentation provided by European Member States and the European Commission in describing National Energy and Climates Plans and Long-Term Strategy plans, it is still very difficult to evaluate where and how the European Union as a whole has positioned itself on the path to achieving the Green Deal objectives, named the Fit 55% package in 2030 and the achievement of carbon neutrality by 2050.</w:t>
      </w:r>
    </w:p>
    <w:p>
      <w:r>
        <w:t>POSSIBLE 2025: Prediction of the Methane Yield From Extensively Managed, Flower‐Rich Fen Grassland Based on NIRS Data — https://doi.org/10.1111/gcbb.70046</w:t>
      </w:r>
    </w:p>
    <w:p>
      <w:r>
        <w:t>Shared claim-specific concepts: despite, rich, extensive, energy; EU scope visible. This is a provisional connection, not an outcome finding.</w:t>
      </w:r>
    </w:p>
    <w:p>
      <w:r>
        <w:t>Available abstract (not full text): ABSTRACT In many regions of Europe, biogas production is an integral part of farming to generate methane as a sustainable and versatile renewable energy carrier. Besides providing feedstock for ruminants and energy production, grasslands support multiple beneficial ecosystem services, namely diverse flora and habitats that serve as resources for pollinators. The cost‐effective utilization of grassland biomass is mainly determined by the biomass quality, which is highly variable and dependent on the management intensities. Besides chemical analyses, biogas models are usually applied to predict the biogas yield of a specific biomass type and quality. However, available models do not apply to mixed grass stands as they primarily refer to individual grass species and/or are just based on single parameters such as lignin. In this work, we evaluated flower‐rich extensive fen grassland for its biogas yield using a newly created model based on common chemical parameters. Therefore, flower‐rich biomass from a cultivation experiment (n = 48) was analyzed for its biomass yield (average 9.43 ± 1.26 tVS × ha−1), chemical composition by wet chemical analysis and near‐infrared spectroscopy (NIRS), specific methane yield (SMY) potential via batch tests, and methane hectare yield (1505.62 ± 282.86 m3N × ha−1). In the results obtained, we found flower‐rich grassland biomass characterized by high</w:t>
      </w:r>
    </w:p>
    <w:p>
      <w:r>
        <w:t>POSSIBLE 2025: Traditional agroforestry systems in Europe revisited: a systematic review — https://doi.org/10.1007/s10457-025-01335-0</w:t>
      </w:r>
    </w:p>
    <w:p>
      <w:r>
        <w:t>Shared claim-specific concepts: despite, rich, long-term; EU scope visible. This is a provisional connection, not an outcome finding.</w:t>
      </w:r>
    </w:p>
    <w:p>
      <w:r>
        <w:t>Available abstract (not full text): Abstract Traditional agroforestry systems (TAFs) in Europe represent an interface between agriculture and biodiversity conservation, being able to offer sustainable production while supporting diverse ecosystems often with unique species assemblages. This systematic review synthesises research on TAFs conducted between 1992 and 2024 using the PRISMA methodology. We analysed 232 studies to assess TAFs types, their distribution, biodiversity significance, and ecosystem services’ contributions across Europe. The findings highlight regional variations, with dehesa / montado systems dominating Southern Europe and traditional orchards and wood pastures being prevalent in Central and Eastern Europe. Our review gives evidence that TAFs provide multifaceted ecosystem services, such as carbon sequestration, soil fertility enhancement, water regulation, and cultural heritage preservation. Additionally, TAFs harbour a rich biodiversity, particularly among vascular plants, birds, and insects, whose ecological roles are pivotal to the ecological functioning of these systems. Despite their significance, studies indicate that a decline in economic viability and changing land-use patterns have threatened the future of TAFs. This review emphasises the need for innovative management practices that integrate traditional knowledge, alongside political and public support, to ensure the long-term con</w:t>
      </w:r>
    </w:p>
    <w:p>
      <w:r>
        <w:t>POSSIBLE 2025: Multicultural Issues: A Comparison of India and Europe — https://doi.org/10.54103/milanoup.196.c365</w:t>
      </w:r>
    </w:p>
    <w:p>
      <w:r>
        <w:t>Shared claim-specific concepts: despite, states, national; EU scope visible. This is a provisional connection, not an outcome finding.</w:t>
      </w:r>
    </w:p>
    <w:p>
      <w:r>
        <w:t>Available abstract (not full text): The chapter introduces the general framework of the multicultural debate in India and Europe, highlighting the points of originality and convergence.India and Europe, despite having different historical paths, today find themselves facing similar problems regarding the possibility of developing inclusive societies, capable of integrating diversity and difference in a context of democratic participation in common social and political life.India had to face -well before the multicultural debate was consolidated in the West -the question of including cultural difference in the definition of national unity.The central point of the multicultural comparison was the effort and need to build unity, solidarity and a sense of common belonging starting from the recognition of cultural differences.In many respects Europe has had to deal with an inverse problem: how to recognize the plurality and multiplicity of cultural differences starting from a deep-rooted idea of internal homogeneity which constituted the ideological and rhetorical basis of the formation of European nation states.A narrative of homogeneity and cultural purity which has fostered both internal cohesion and competitive distinction with other European states, but which is unmasked in its claim to naturalness by migratory phenomena and globalization processes.After briefly introducing the different ways in which multicultur</w:t>
      </w:r>
    </w:p>
    <w:p>
      <w:r>
        <w:t>POSSIBLE 2024: Understanding and addressing shortfalls in European wild bee data — https://doi.org/10.1016/j.biocon.2024.110455</w:t>
      </w:r>
    </w:p>
    <w:p>
      <w:r>
        <w:t>Shared claim-specific concepts: despite, national, long-term, still; EU scope visible. This is a provisional connection, not an outcome finding.</w:t>
      </w:r>
    </w:p>
    <w:p>
      <w:r>
        <w:t>Available abstract (not full text):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pPr>
        <w:pStyle w:val="Heading2"/>
      </w:pPr>
      <w:r>
        <w:t>Long term impact of residue management on soil organic carbon stocks and nitrous oxide emissions from European croplands</w:t>
      </w:r>
    </w:p>
    <w:p>
      <w:r>
        <w:t>Original source (2022): https://doi.org/10.1016/j.scitotenv.2022.154932</w:t>
      </w:r>
    </w:p>
    <w:p>
      <w:r>
        <w:t>Original wording (abstract; indexed_source_text_not_full_document_verified): For a scenario with 100% residues retention and reduced tillage we calculated that in average SOC stocks may increase over 50–100 years by 19–23% under RCP8.5 and RCP4.5. CERES-EGC, LandscapeDNDC and LandscapeDNDC-MeTrx, were used in an ensemble approach on a grid of 0.25° × 0.25° spatial resolution for calculating EU-27 wide inventories of changes in SOC stocks and N2O emissions due to residue management for the years 2000–2100 using different climate change projections (RCP4.5 and RCP8.5).</w:t>
      </w:r>
    </w:p>
    <w:p>
      <w:r>
        <w:t>POSSIBLE 2026: Biophysical climate responses to albedo management for wheat residue retention, cover crops, and pale wheat across European croplands — https://doi.org/10.5194/egusphere-egu26-9895</w:t>
      </w:r>
    </w:p>
    <w:p>
      <w:r>
        <w:t>Shared claim-specific concepts: retention, increase, over; EU scope visible. This is a provisional connection, not an outcome finding.</w:t>
      </w:r>
    </w:p>
    <w:p>
      <w:r>
        <w:t>Available abstract (not full text): Agricultural management offers a pathway for climate change mitigation beyond greenhouse gas fluxes through biophysical processes that directly modify land-atmosphere energy exchange. Changes in cropland surface albedo influence the climate that operates independently of the biogeochemical impact. The need to account for both biogeochemical and biophysical processes in agriculture is increasingly recognized in assessments of climate-neutral agriculture, but the biophysical impacts remain largely unconstrained.In this study, we quantified the albedo-mediated climate impacts of three promising agricultural practices, which include cover crop, residue management, and selection of highly reflective crop varieties (pale wheat) over European croplands under present and future climate conditions. To do so, we employed the ORCHIDEE-CROP land surface model, which incorporates a detailed representation of crop growth and management, together with improved albedo dynamics calibrated using observations from nine European cropland sites and satellite-derived leaf area index (LAI) from the Copernicus Land Monitoring Service.In idealized simulations assuming EU-wide implementation of solutions, we show that scenarios of cover crop, residue retention and pale-wheat cultivation increase annual mean surface albedo by 0.001±0.001, 0.008±0.003 and 0.021±0.004, with pale wheat generating the larges</w:t>
      </w:r>
    </w:p>
    <w:p>
      <w:r>
        <w:t>POSSIBLE 2026: Implementing Reduced Tillage, Residue Retention and Nitrogen Rates on CO₂ and CH₄ Fluxes in Irrigated Wheat on Subtropical Floodplain Soils — https://doi.org/10.4236/oalib.1115720</w:t>
      </w:r>
    </w:p>
    <w:p>
      <w:r>
        <w:t>Shared claim-specific concepts: retention, reduced, tillage, wide; EU scope not established. This is a provisional connection, not an outcome finding.</w:t>
      </w:r>
    </w:p>
    <w:p>
      <w:r>
        <w:t>Available abstract (not full text): Quantifying carbon (C) sequestration in soils is necessary to help better understand the effect of agricultural practices on the C cycle.The estimated contribution of agricultural carbon dioxide (CO2) and methane (CH4) to global warming potential (GWP) has a wide range.The underlying causes of this huge uncertainty are the difficulties in predicting regional CO2 and CH4 losses due to lack of experimental evidence on CO2 and CH4 emissions and associated drivers.The CH4 and CO2 emissions were measured in irrigated wheat in a subtropical floodplain soils which have been under two soil disturbance levels (strip vs. conventional tillage; ST vs. CT being both with 30% residue retention) and three N fertilizer rates (60%, 100% and 140% of the recommended N fertilizer dose, RD) in an annual wheat (Triticum aestivum)-mungbean (Vigna radiata)-rice (Oryza sativa L) for seven consecutive years.The highest CH4 and CO2 emission peak was observed on day 3 after urea application in both tillage systems, except for CO2 flux in CT.Nitrogen fertilizer application rate significantly influenced mean and cumulative CH4 and CO2 fluxes.At the optimum dose of N fertilizer, both CH4 and CO2 fluxes decreased, except for CH4 under ST.CO2 emissions were significantly higher under minimum (60% of RD) fertilizer application in both tillage systems.Soil microbial biomass carbon</w:t>
      </w:r>
    </w:p>
    <w:p>
      <w:r>
        <w:t>POSSIBLE 2026: Associations between landscape-scale cereal residue management and local biodiversity in Europe — https://doi.org/10.1016/j.agee.2026.110664</w:t>
      </w:r>
    </w:p>
    <w:p>
      <w:r>
        <w:t>Shared claim-specific concepts: residues, retention, increase, used; EU scope visible. This is a provisional connection, not an outcome finding.</w:t>
      </w:r>
    </w:p>
    <w:p>
      <w:r>
        <w:t>Available abstract (not full text): Cereal crop residues could become increasingly used to produce bioenergy as part of the European green transition, which may increase the amount of such residues removed from fields. At the same time, on-field residue retention is an important regenerative agriculture practice with positive effects on soils. Thus, excessive residue removal can be environmentally unsustainable at the field level. Yet, the effects of residue removal on local biodiversity – especially aboveground – are not well known. Given the large land footprint of cereal production in Europe, the impacts of changing cereal residue management on biodiversity could be substantial. Here, landscape-scale cereal residue management data, field measurements of local biodiversity, cereal yield and other environmental data were combined in statistical models to estimate local biodiversity in cereal cropland in Europe and investigate the effects of on-field residue retention. Local biodiversity in cereal cropland was poor relative to other land uses, but was positively associated with landscape-scale on-field residue retention, with significantly greater local biodiversity in cereal cropland in landscapes with a high proportion of residues (≥ 70%) left on fields. On the other hand, local biodiversity in cereal cropland was negatively associated with landscape-scale cereal yield. Cereal residue retention was a stronger p</w:t>
      </w:r>
    </w:p>
    <w:p>
      <w:r>
        <w:t>POSSIBLE 2025: The 2023 European Union report on pesticide residues in food — https://doi.org/10.2903/j.efsa.2025.9398</w:t>
      </w:r>
    </w:p>
    <w:p>
      <w:r>
        <w:t>Shared claim-specific concepts: residues, increase, used; EU scope visible. This is a provisional connection, not an outcome finding.</w:t>
      </w:r>
    </w:p>
    <w:p>
      <w:r>
        <w:t>Available abstract (not full text): Under European Union legislation (Article 32, Regulation (EC) No 396/2005), the European Food Safety Authority publishes an annual report assessing the pesticide residue levels in food. In 2023, as part of the EU-coordinated multiannual control programme subset, 13,246 samples placed on the European market were analysed, with a 1.0% found to be non-compliant. Risk-based sampling procedures were used for the remaining 132,793 samples with a 2.0% non-compliant rate. Both dietary acute and chronic risk to consumers' health were estimated providing the probabilities of exceedance of the health-based guidance values (HBGV) for the pesticides in food by the different subpopulation of European consumers. This meant dropping the deterministic assessment used in the past. Overall, the dietary risk was found to be very low for most of the EU subpopulation groups. Recommendations were provided to risk managers to increase the effectiveness of European control systems and to ensure a high level of consumer protection throughout the EU.</w:t>
      </w:r>
    </w:p>
    <w:p>
      <w:r>
        <w:t>POSSIBLE 2025: Carbon footprint analysis of different tillage and crop residue management practices in wheat — https://doi.org/10.33545/2618060x.2025.v8.i1b.5207</w:t>
      </w:r>
    </w:p>
    <w:p>
      <w:r>
        <w:t>Shared claim-specific concepts: retention, reduced, tillage, over; EU scope visible. This is a provisional connection, not an outcome finding.</w:t>
      </w:r>
    </w:p>
    <w:p>
      <w:r>
        <w:t>Available abstract (not full text): Wheat production in western Europe accounts for a substantial share of agricultural greenhouse gas emissions, yet the relative contributions of tillage intensity and residue handling remain poorly separated. This research quantified the carbon footprint of 16 tillage-by-residue management combinations in winter wheat at the University of Bonn's experimental station, Klein-Altendorf, Germany, over two growing seasons (October 2021-August 2023). Four tillage methods (conventional moldboard plough, reduced tillage, no-till, strip tillage) were crossed with four residue treatments (removal, partial retention, full retention, incorporation) in a split-plot design with four replications. Carbon footprint was lowest under no-till with full residue retention (2,391 kg CO₂-eq/ha/yr), representing a 44.2% reduction compared to conventional tillage with residue removal (4,287 kg CO₂-eq/ha/yr). Fuel consumption drove 31.4% of the conventional tillage footprint but only 8.7% under no-till. Soil N₂O emissions were 23.8% lower where residue was retained on the surface versus incorporated. Wheat grain yield didn't differ significantly across tillage treatments in the second season, though first-season no-till plots showed a 7.3% yield reduction. These results indicate that tillage reduction combined with surface residue retention offers the largest carbon savings in German wheat systems.</w:t>
      </w:r>
    </w:p>
    <w:p>
      <w:r>
        <w:t>POSSIBLE 2024: Soil bulk density assessment in Europe — https://doi.org/10.1016/j.agee.2024.108907</w:t>
      </w:r>
    </w:p>
    <w:p>
      <w:r>
        <w:t>Shared claim-specific concepts: stocks, over, used, spatial; EU scope visible. This is a provisional connection, not an outcome finding.</w:t>
      </w:r>
    </w:p>
    <w:p>
      <w:r>
        <w:t xml:space="preserve">Available abstract (not full text):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pPr>
        <w:pStyle w:val="Heading2"/>
      </w:pPr>
      <w:r>
        <w:t>Long-term transport decarbonization pathways in the European Union: a strategic energy-economy analysis</w:t>
      </w:r>
    </w:p>
    <w:p>
      <w:r>
        <w:t>Original source (2022): https://doi.org/10.1080/15567249.2022.2101712</w:t>
      </w:r>
    </w:p>
    <w:p>
      <w:r>
        <w:t>Original wording (abstract; indexed_source_text_not_full_document_verified): Owing to their uncertain and disruptive role, we assess the potential contribution of e-fuels deployment to the EU transport decarbonization in line with the region’s climate neutrality ambition in 2050. However, the two scenarios differ in the other technology and fuel choices, with implications on road freight transport, infrastructure, R&amp;D spending, and maturity requirements for alternative vehicles.</w:t>
      </w:r>
    </w:p>
    <w:p>
      <w:r>
        <w:t>POSSIBLE 2026: Unpacking the Paradoxes of Trust in Uncertain Times — https://doi.org/10.1177/01708406261430577</w:t>
      </w:r>
    </w:p>
    <w:p>
      <w:r>
        <w:t>Shared claim-specific concepts: uncertain, however, technology, implications; EU scope not established. This is a provisional connection, not an outcome finding.</w:t>
      </w:r>
    </w:p>
    <w:p>
      <w:r>
        <w:t>Available abstract (not full text): Trust has been recognized as a foundational pillar underpinning the functioning of organizations and society. However, contemporary developments have unleashed unprecedented uncertainty, challenging established notions of social order and raising urgent questions about how trust will operate in the years to come. A deeper understanding of the interface between uncertainty and trust is needed, elaborating how institutions and advanced technologies offer pathways for building and maintaining trust. Our analysis identifies three core paradoxes: trust–uncertainty, trust–institution, and trust–technology. These paradoxes highlight that trust proves indispensable where it is hardest to build, that trusted institutions falter when uncertainty is high and they are needed most, and that technologies designed to reduce uncertainty can in fact increase it. This special issue curates five studies that illuminate these paradoxes. A qualitative study of whistleblowing reveals tensions in how organizations signal ability, benevolence, integrity, transparency, and identification across stakeholders and over time (trust–uncertainty). A mixed‑methods study of a high court theorizes fidelity mechanisms—recognition, selection, socialization—that stabilize the production of “trust objects” (trust–institution). A multilevel network analysis of a corporate top‑management team shows that shared organi</w:t>
      </w:r>
    </w:p>
    <w:p>
      <w:r>
        <w:t>POSSIBLE 2025: Persistent positive anomalies in geopotential heights drive enhanced wildfire activity across Europe — https://doi.org/10.1098/rstb.2023.0455</w:t>
      </w:r>
    </w:p>
    <w:p>
      <w:r>
        <w:t>Shared claim-specific concepts: role, climate, fuel, implications; EU scope visible. This is a provisional connection, not an outcome finding.</w:t>
      </w:r>
    </w:p>
    <w:p>
      <w:r>
        <w:t>Available abstract (not full text): Persistent positive anomalies (PPAs) in 500 hPa geopotential height are upper-air circulation patterns associated with surface heatwaves, drought and fuel aridity. We examined the association between PPA events and surface fire weather and burned area at a pan-European level. Europe-wide, extreme fire weather and wildfires were on average 3.5 and 2.3 times more likely to occur concurrently with a PPA, respectively. PPAs were associated with 45% of pan-European area burned between March and October 2001-2021, and there was a latitudinal increase of up to 63% in the percentage of area burned during or up to 7 days following PPAs over Northern Europe. The burned area was highest up to one week following PPA presence, and fuel moisture indices from the Canadian Fire Weather Index System lagged behind peak PPA strength, demonstrating the role of PPAs in pre-drying fuels. Our findings highlight opportunities for developing early warning systems of wildfire danger, having implications for wildfire awareness and preparedness, informing policy and wildfire management decisions like early mobilization and resource sharing initiatives across Europe.This article is part of the theme issue 'Novel fire regimes under climate changes and human influences: impacts, ecosystem responses and feedbacks'.</w:t>
      </w:r>
    </w:p>
    <w:p>
      <w:r>
        <w:t>POSSIBLE 2025: Uncertain research country rankings. Should we continue producing uncertain rankings? — https://doi.org/10.2478/jdis-2025-0030</w:t>
      </w:r>
    </w:p>
    <w:p>
      <w:r>
        <w:t>Shared claim-specific concepts: uncertain, however, implications; EU scope not established. This is a provisional connection, not an outcome finding.</w:t>
      </w:r>
    </w:p>
    <w:p>
      <w:r>
        <w:t>Available abstract (not full text): ABSTRACT Purpose Citation-based assessments of countries’ research capabilities often misrepresent their ability to achieve breakthrough advancements. These assessments commonly classify Japan as a developing country, which contradicts its prominent scientific standing. The purpose of this study is to investigate the underlying causes of such inaccurate assessments and to propose methods for conducting more reliable evaluations. Design/methodology/approach The study evaluates the effectiveness of top-percentile citation metrics as indicators of breakthrough research. Using case studies of selected countries and research topics, the study examines how deviations from lognormal citation distributions impact the accuracy of these percentile indicators. A similar analysis is conducted using university data from the Leiden Ranking to investigate citation distribution deviations at the institutional level. Findings The study finds that inflated lower tails in citation distributions lead to undervaluation of research capabilities in advanced technological countries, as captured by some percentile indicators. Conversely, research-intensive universities exhibit the opposite trend: a reduced lower tail relative to the upper tail, which causes percentile indicators to overestimate their actual research capacity. Research limitations The descriptions are mathematical facts that are self-ev</w:t>
      </w:r>
    </w:p>
    <w:p>
      <w:r>
        <w:t>POSSIBLE 2025: The Uncertain World of Renaissance Geneva and Savoy — https://doi.org/10.5117/9789048566396</w:t>
      </w:r>
    </w:p>
    <w:p>
      <w:r>
        <w:t>Shared claim-specific concepts: uncertain, line, other; EU scope visible. This is a provisional connection, not an outcome finding.</w:t>
      </w:r>
    </w:p>
    <w:p>
      <w:r>
        <w:t>Available abstract (not full text):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r>
        <w:t>POSSIBLE 2025: The Uncertain World of Renaissance Geneva and Savoy — https://doi.org/10.1515/9789048566402</w:t>
      </w:r>
    </w:p>
    <w:p>
      <w:r>
        <w:t>Shared claim-specific concepts: uncertain, line, other; EU scope visible. This is a provisional connection, not an outcome finding.</w:t>
      </w:r>
    </w:p>
    <w:p>
      <w:r>
        <w:t>Available abstract (not full text): Uncertainty and instability affected Geneva and the Duchy of Savoy since the mid-fifteenth century. French and Swiss expansionism had turned Savoy into part of a long geopolitical fault line, running from the North Sea to the Mediterranean along the border between France and the Empire. In Geneva, and partially in other towns of Piedmont and the Pays de Vaud, this instability fuelled urban factionalism, confessional conflicts, but also wider discussions about the ways in which society could be reformed. Conflicts were, in the end, the consequence of a struggle about the best political and religious option to reduce uncertainty. The Uncertain World of Renaissance Geneva and Savoy looks at how political life worked in a time of great instability, seeking to answer a straightforward—but not easy—question: how did people face and react to political and religious uncertainty?</w:t>
      </w:r>
    </w:p>
    <w:p>
      <w:r>
        <w:t>POSSIBLE 2025: The Double Tidal Disruption Event AT 2022dbl Implies that at Least Some “Standard” Optical Tidal Disruption Events Are Partial Disruptions — https://doi.org/10.3847/2041-8213/ade155</w:t>
      </w:r>
    </w:p>
    <w:p>
      <w:r>
        <w:t>Shared claim-specific concepts: two; EU scope not established. This is a provisional connection, not an outcome finding.</w:t>
      </w:r>
    </w:p>
    <w:p>
      <w:r>
        <w:t xml:space="preserve">Available abstract (not full text): Abstract Flares produced following the tidal disruption of stars by supermassive black holes can reveal the properties of the otherwise dormant majority of black holes and the physics of accretion. In the past decade, a class of optical-ultraviolet tidal disruption flares has been discovered whose emission properties do not match theoretical predictions. This has led to extensive efforts to model the dynamics and emission mechanisms of optical-ultraviolet tidal disruptions in order to establish them as probes of supermassive black holes. Here we present the optical-ultraviolet tidal disruption event AT 2022dbl, which showed a nearly identical repetition 700 days after the first flare. Ruling out gravitational lensing and two chance unrelated disruptions, we conclude that at least the first flare represents the partial disruption of a star, possibly captured through the Hills mechanism. Since both flares are typical of the optical-ultraviolet class of tidal disruptions in terms of their radiated energy, temperature, luminosity, and spectral features, it follows that either the entire class are partial rather than full stellar disruptions, contrary to the prevalent assumption, or some members of the class are partial disruptions, having nearly the same observational characteristics as full disruptions. Whichever option is true, these findings could require revised models for the </w:t>
      </w:r>
    </w:p>
    <w:p>
      <w:r>
        <w:t>POSSIBLE 2024: Groundwater stress in Europe—assessing uncertainties in future groundwater discharge alterations due to water abstractions and climate change — https://doi.org/10.3389/frwa.2024.1448625</w:t>
      </w:r>
    </w:p>
    <w:p>
      <w:r>
        <w:t>Shared claim-specific concepts: line, climate, two; EU scope visible. This is a provisional connection, not an outcome finding.</w:t>
      </w:r>
    </w:p>
    <w:p>
      <w:r>
        <w:t>Available abstract (not full text):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r>
        <w:t>POSSIBLE 2024: The uncertain world: The gift of development on the Mekong — https://doi.org/10.1017/s0026749x24000088</w:t>
      </w:r>
    </w:p>
    <w:p>
      <w:r>
        <w:t>Shared claim-specific concepts: uncertain, two, other; EU scope not established. This is a provisional connection, not an outcome finding.</w:t>
      </w:r>
    </w:p>
    <w:p>
      <w:r>
        <w:t>Available abstract (not full text): Abstract Development promises change. It is fundamental to the word both in English and in Lao: an improvement towards a pre-determined goal, but it is a process that is never entirely complete. In the Lao-speaking parts of Thailand, promises of development have formed the key commitments of particular regimes: military and monarchical, neoliberal and capitalist. Each presents a future that is nationally focused, guided by a paternalistic hand, be it that of a general, monarch, or tycoon. Spirits, too, play into such regimes, ensuring that development projects will fulfil their promises and that more such projects will come. But what happens when these goals shift towards distant centres of power? Here, I examine the magico-religious aspect of these promises. As large-scale hydropower on the Mekong, part of Chinese infrastructure projects, throws the river into chaos, new regimes of development arise. In the realm of popular religion, the link between spirits and development, too, has altered, with old powers’ promises growing stale, and new ones yet to appear. And between these two conflicting orders of power—orders that collapse state and religious dimensions—emerge different pathways towards navigating the uncertain world: an appeal towards other sources of monarchical authority, a search for survival in a newly shifting and globalized realm, and a waiting for a future as ye</w:t>
      </w:r>
    </w:p>
    <w:p>
      <w:r>
        <w:t>POSSIBLE 2024: The adverse role of endocrine disrupting chemicals in the reproductive system — https://doi.org/10.3389/fendo.2023.1324993</w:t>
      </w:r>
    </w:p>
    <w:p>
      <w:r>
        <w:t>Shared claim-specific concepts: role, potential, other; EU scope not established. This is a provisional connection, not an outcome finding.</w:t>
      </w:r>
    </w:p>
    <w:p>
      <w:r>
        <w:t xml:space="preserve">Available abstract (not full text): Reproductive system diseases pose prominent threats to human physical and mental well-being. Besides being influenced by genetic material regulation and changes in lifestyle, the occurrence of these diseases is closely connected to exposure to harmful substances in the environment. Endocrine disrupting chemicals (EDCs), characterized by hormone-like effects, have a wide range of influences on the reproductive system. EDCs are ubiquitous in the natural environment and are present in a wide range of industrial and everyday products. Currently, thousands of chemicals have been reported to exhibit endocrine effects, and this number is likely to increase as the testing for potential EDCs has not been consistently required, and obtaining data has been limited, partly due to the long latency of many diseases. The ability to avoid exposure to EDCs, especially those of artificially synthesized origin, is increasingly challenging. While EDCs can be divided into persistent and non-persistent depending on their degree of degradation, due to the recent uptick in research studies in this area, we have chosen to focus on the research pertaining to the detrimental effects on reproductive health of exposure to several EDCs that are widely encountered in daily life over the past six years, specifically bisphenol A (BPA), phthalates (PAEs), polychlorinated biphenyls (PCBs), parabens, pesticides, </w:t>
      </w:r>
    </w:p>
    <w:p>
      <w:r>
        <w:t>POSSIBLE 2023: Economics for an uncertain world — https://doi.org/10.1016/j.worlddev.2023.106426</w:t>
      </w:r>
    </w:p>
    <w:p>
      <w:r>
        <w:t>Shared claim-specific concepts: uncertain, however, two; EU scope not established. This is a provisional connection, not an outcome finding.</w:t>
      </w:r>
    </w:p>
    <w:p>
      <w:r>
        <w:t>Available abstract (not full text): Uncertainty, where we do not know the likelihood of future events, dominates our world. This article examines how economics as a profession and discipline can address uncertainty. From Frank Knight to John Maynard Keynes to Friedrich von Hayek to George Shackle, economics has highlighted the importance of uncertain knowledge and distinguished this from calculable risk. In this article we show how such insights were lost through the rise of narrow neoclassical thinking and were excluded through the emergence of a dominant economics of control that rose to prominence during the twentieth century and especially in the neoliberal era. However, through a range of perspectives in economics that emphasise the importance of complexity, informality, positionality and narratives, uncertainty is once again being embraced within an increasingly heterodox economics. In many ways, this chimes with the work of Albert Hirschman who, starting from the mid-1960s, emphasised the importance of addressing uncertainty in development theory and practice. Through two examples on pastoral development and global financial governance, we highlight the continued relevance of Hirschman’s thinking on the importance of adaptation, flexibility and learning-by-doing as responses to uncertainty and for the development of reliable, robust approaches to development policy and practice. In conclusion, we argue tha</w:t>
      </w:r>
    </w:p>
    <w:p>
      <w:r>
        <w:t>POSSIBLE 2023: Ethics of Socially Disruptive Technologies — https://doi.org/10.11647/obp.0366</w:t>
      </w:r>
    </w:p>
    <w:p>
      <w:r>
        <w:t>Shared claim-specific concepts: disruptive, potential, climate; EU scope not established. This is a provisional connection, not an outcome finding.</w:t>
      </w:r>
    </w:p>
    <w:p>
      <w:r>
        <w:t>Available abstract (not full text): Technologies shape who we are, how we organize our societies and how we relate to nature. For example, social media challenges democracy; artificial intelligence raises the question of what is unique to humans; and the possibility to create artificial wombs may affect notions of motherhood and birth. Some have suggested that we address global warming by engineering the climate, but how does this impact our responsibility to future generations and our relation to nature? This book shows how technologies can be socially and conceptually disruptive and investigates how to come to terms with this disruptive potential.</w:t>
      </w:r>
    </w:p>
    <w:p>
      <w:pPr>
        <w:pStyle w:val="Heading2"/>
      </w:pPr>
      <w:r>
        <w:t>Materials for Sustainable Nuclear Energy: A European Strategic Research and Innovation Agenda for All Reactor Generations</w:t>
      </w:r>
    </w:p>
    <w:p>
      <w:r>
        <w:t>Original source (2022): https://doi.org/10.3390/en15051845</w:t>
      </w:r>
    </w:p>
    <w:p>
      <w:r>
        <w:t>Original wording (abstract; indexed_source_text_not_full_document_verified): Nuclear energy is presently the single major low-carbon electricity source in Europe and is overall expected to maintain (perhaps eventually even increase) its current installed power from now to 2045.</w:t>
      </w:r>
    </w:p>
    <w:p>
      <w:r>
        <w:t>POSSIBLE 2026: Implications of Innovative Nuclear Technologies on Ghana’s Nuclear Future — https://doi.org/10.1155/stni/7161397</w:t>
      </w:r>
    </w:p>
    <w:p>
      <w:r>
        <w:t>Shared claim-specific concepts: nuclear, energy, power; EU scope not established. This is a provisional connection, not an outcome finding.</w:t>
      </w:r>
    </w:p>
    <w:p>
      <w:r>
        <w:t>Available abstract (not full text): Innovations in nuclear technology have the potential to play a transformative role in Ghana’s pursuit of a secure, reliable and low‐carbon energy future. This review examines recent global advances in nuclear reactor technologies, fuel cycle systems, waste management approaches, regulatory practices and digital applications and assesses their relevance to Ghana’s emerging nuclear power programme. Particular attention is given to advanced reactor concepts, including small modular reactors, which offer scalable and flexible options aligned with Ghana’s projected energy demand. Developments in advanced fuels, reprocessing technologies and waste minimisation strategies are discussed as pathways for improving resource efficiency and long‐term environmental safety. The paper also highlights the role of digitalisation and artificial intelligence in enhancing operational safety and efficiency, alongside associated cybersecurity and workforce challenges. By situating these innovations within Ghana’s institutional and regulatory context, the paper identifies key strategic and policy considerations for the responsible deployment of nuclear energy in support of national development goals.</w:t>
      </w:r>
    </w:p>
    <w:p>
      <w:r>
        <w:t>POSSIBLE 2026: Enhanced nuclear fusion in the sub-keV energy regime — https://doi.org/10.1038/s41467-026-74421-1</w:t>
      </w:r>
    </w:p>
    <w:p>
      <w:r>
        <w:t>Shared claim-specific concepts: nuclear, energy, expected; EU scope not established. This is a provisional connection, not an outcome finding.</w:t>
      </w:r>
    </w:p>
    <w:p>
      <w:r>
        <w:t>Available abstract (not full text): Nuclear fusion requires overcoming or traversing a repulsive Coulomb barrier of hundreds of kiloelectronvolts, rendering the probability of fusion at sub-keV energies vanishingly small. Yet in condensed matter, the electronic and structural environment of reacting nuclei can profoundly alter fusion rates. Here we demonstrate that deuterium-deuterium fusion within metallic foils exhibits a pronounced reaction yield plateau (i.e., a finite, non-vanishing yield floor) below 2 keV-in stark contrast to the expected exponential suppression at low energy. At the lowest energies measured, this corresponds to fusion yields enhanced by more than 10¹⁸ relative to bare-nucleus (unscreened) expectations. Using a dual-chamber platform that combines electrochemical deuterium loading with low-energy ion-beam bombardment, we observe this behavior in both palladium and titanium hydrides. These results reveal a previously unrecognized regime of low-energy nuclear reactions in solids, demonstrating that materials degrees of freedom can fundamentally renormalize tunneling probabilities and fusion cross-sections.</w:t>
      </w:r>
    </w:p>
    <w:p>
      <w:r>
        <w:t>POSSIBLE 2024: Imperatives of Nuclear Energy in India's Clean Energy Transition — https://doi.org/10.11610/connections.23.3.03</w:t>
      </w:r>
    </w:p>
    <w:p>
      <w:r>
        <w:t>Shared claim-specific concepts: nuclear, energy, low-carbon, electricity, source, increase; EU scope not established. This is a provisional connection, not an outcome finding.</w:t>
      </w:r>
    </w:p>
    <w:p>
      <w:r>
        <w:t>Available abstract (not full text): Climate change is a reality, and India has been proactive in addressing the issue both nationally and in cooperation with the global community, despite its demographic and developmental imperatives. While exploring technological solutions to curb domestic carbon emissions in various sectors in the short term, India is also attempting to rationalize its energy mix for long-term sustainability by opting for green and clean energy options. To navigate this transition, India has planned a judicious combination of energy sources to meet its self-set goal of net-zero emissions by 2070. In the process, it is promoting a long-term low-carbon development strategy and aims to generate at least 50 percent of its electricity from renewable sources by 2030. Solar and wind energy projects, in particular, are being promoted aggressively through government incentives, leading to a visible increase in renewable energy production. However, nuclear energy remains a cost-effective and stable baseload alternative power source that should be promoted simultaneously to help India achieve its clean energy transition smoothly in a carbon-constrained world. This article argues that nuclear energy is a viable option for meeting India’s climate change obligations while sustaining its high economic development trajectory.</w:t>
      </w:r>
    </w:p>
    <w:p>
      <w:r>
        <w:t>POSSIBLE 2024: Prospects of Nuclear Energy for Clean and Sustainable Energy Development in Rwanda — https://doi.org/10.11648/j.ns.20240904.11</w:t>
      </w:r>
    </w:p>
    <w:p>
      <w:r>
        <w:t>Shared claim-specific concepts: nuclear, energy, electricity, source, current; EU scope not established. This is a provisional connection, not an outcome finding.</w:t>
      </w:r>
    </w:p>
    <w:p>
      <w:r>
        <w:t>Available abstract (not full text): Rwanda, just like many other developing countries, still faces challenges in the energy sector. The country is still not able to supply reliable and affordable electricity to meet the current and future energy needs, as a result of rapid economic growth, increasing population and urbanization. Rwanda currently has limited generation resources, particularly during the dry season, when several hydropower stations are experiencing water shortages. Sometimes, leased diesel generation is needed to meet peak demand, which comes at a hefty cost. Efforts are being made to determine the true number of existing resources in the country for energy generation. Diversifying sources of energy inevitably becomes a strategic option. Rwanda has decided to embark on an ambitious programme for nuclear development as one of the alternatives to tackle energy challenges. This paper briefly presents plans featuring in the nuclear science and technology programme with the ultimate goal to leverage nuclear applications for sustainable social-economic development. A review of the country’s energy sector status is presented with focus on prospects of the nuclear programme as the solution to the country’s high energy demand and applications in different socio-economic sectors. In efforts to join the rest of world in the “net zero” greenhouse gas emission by 2050, Rwanda embraces the perspective under whic</w:t>
      </w:r>
    </w:p>
    <w:p>
      <w:r>
        <w:t>POSSIBLE 2024: Sustainability of Nuclear Energy—A Critical Review from a UK Perspective — https://doi.org/10.3390/su162410952</w:t>
      </w:r>
    </w:p>
    <w:p>
      <w:r>
        <w:t>Shared claim-specific concepts: nuclear, energy, low-carbon, electricity, source, overall; EU scope not established. This is a provisional connection, not an outcome finding.</w:t>
      </w:r>
    </w:p>
    <w:p>
      <w:r>
        <w:t>Available abstract (not full text): Many countries, including the United Kingdom, have committed to reaching “net zero” emissions by 2050. To meet this challenge requires urgent deployment of low-carbon energy-generating technologies, not just for electricity generation but also other sectors, including transportation and heating. However, this will only be successful if the other two pillars of sustainability (social and economic impacts) are balanced with the environmental drivers. All energy-generation technologies have benefits and drawbacks, and these must be objectively and fairly assessed using a “level playing field” approach. Nuclear energy has benefits that are complementary to renewables and thus can play a valuable role in delivering large amounts of low-carbon energy globally. However, critics of nuclear energy raise concerns related to safety (and security), radioactive waste management, and economics that have challenged its acceptance as a sustainable energy source in some quarters. Nevertheless, objective consideration of sustainability in global energy needs and the different generating technologies clearly indicate a valuable role for nuclear energy in a sustainable and low-carbon future. It is concluded that nuclear energy should be recognised as “sustainable”, and the analysis shows that energy portfolios incorporating nuclear provide the most sustainable system overall.</w:t>
      </w:r>
    </w:p>
    <w:p>
      <w:r>
        <w:t>POSSIBLE 2024: Nexus between Nuclear Energy, Economic Growth, and Greenhouse Gas Emissions in India — https://doi.org/10.32479/ijeep.15347</w:t>
      </w:r>
    </w:p>
    <w:p>
      <w:r>
        <w:t>Shared claim-specific concepts: nuclear, energy, increase, power; EU scope not established. This is a provisional connection, not an outcome finding.</w:t>
      </w:r>
    </w:p>
    <w:p>
      <w:r>
        <w:t>Available abstract (not full text): The escalating demand for fossil fuels in India has resulted in a significant strain on the environment due to the amplified emissions of greenhouse gases (GHGs). Nevertheless, India possesses a significant capacity for nuclear energy, as seen by its 22 operational nuclear reactors. This capacity holds promise for reducing GHG emissions. This research utilized a dataset spanning from 1969 to 2021 to examine the impact of nuclear energy utilization on GHG emissions. The study also aimed to verify the validity of the environmental Kuznets curve (EKC) hypothesis in India, employing the Autoregressive Distributive Lag (ARDL) model. The findings suggest that the EKC is applicable to India. Furthermore, it has been observed that a marginal increase of 1% in the use of nuclear energy leads to a reduction of GHG by 0.02% in the immediate term and 0.16% in the long term. This finding highlights the significance of expanding nuclear power as a crucial policy objective in order to attain environmentally friendly and sustainable economic development.</w:t>
      </w:r>
    </w:p>
    <w:p>
      <w:r>
        <w:t>POSSIBLE 2024: Can the European nuclear power industry compete with the Chinese nuclear power industry? — https://doi.org/10.24294/jipd.v8i11.8715</w:t>
      </w:r>
    </w:p>
    <w:p>
      <w:r>
        <w:t>Shared claim-specific concepts: nuclear, even, power, now; EU scope visible. This is a provisional connection, not an outcome finding.</w:t>
      </w:r>
    </w:p>
    <w:p>
      <w:r>
        <w:t>Available abstract (not full text):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r>
        <w:t>POSSIBLE 2024: A Comprehensive Review of Green Energy Technologies: Towards Sustainable Clean Energy Transition and Global Net-Zero Carbon Emissions — https://doi.org/10.3390/pr13010069</w:t>
      </w:r>
    </w:p>
    <w:p>
      <w:r>
        <w:t>Shared claim-specific concepts: nuclear, energy, source, overall; EU scope not established. This is a provisional connection, not an outcome finding.</w:t>
      </w:r>
    </w:p>
    <w:p>
      <w:r>
        <w:t>Available abstract (not full text): The present paper seeks to showcase the significant potential of alternative energy technologies in driving clean energy transition. Renewable energy sources, including hydro, geothermal, biomass, solar, and wind energy, are developed and marketed as low- or non-carbon alternatives to conventional energy sources. However, the high upfront costs of these energy resources, coupled with their intermittency, are demerits that must be dealt with. Since certain nuclear technologies generate significantly less waste than coal and oil, nuclear energy is occasionally regarded as a green energy source, though the primary source of nuclear energy, namely uranium, is a finite resource. The main goal of developing green energy technologies is to provide energy in a sustainable manner while cutting down on waste and greenhouse gas emissions, thus reducing the overall carbon footprint of energy production.</w:t>
      </w:r>
    </w:p>
    <w:p>
      <w:r>
        <w:t>POSSIBLE 2024: The Need for Diversification of the Nigerian Economy through a Low-Carbon Energy Mix Programme Using Nuclear Power — https://doi.org/10.37745/ijeer.13/vol12n25582</w:t>
      </w:r>
    </w:p>
    <w:p>
      <w:r>
        <w:t>Shared claim-specific concepts: nuclear, energy, low-carbon, expected, power; EU scope not established. This is a provisional connection, not an outcome finding.</w:t>
      </w:r>
    </w:p>
    <w:p>
      <w:r>
        <w:t xml:space="preserve">Available abstract (not full text): Numerous structural issues, such as poor infrastructure, trade and non-tariff barriers, investment barriers, a lack of trust in the currency's worth, and restricted foreign exchange facilities, limit Nigeria's economic potential. Since the late 1960s, when the oil and gas industry replaced agriculture as the primary driver of expansion, there has been very little progress made in diversifying the economy and laying a stronger foundation for rapid, steady, and productive growth. Despite massive oil earnings, the nation remains among the World's poorest in terms of important development indicators. Prosperity and progress have not followed as expected. The economy continues to grow in an unpredictable manner, devoid of steady or constant growth, and is influenced by fluctuations in the price of oil and gas, despite a multitude of plans, frameworks for policy, and reforms. While incompetence, corruption, and inefficiency remain at the core of economic management, every plan, programme, vision, and change raises high aspirations but never achieve the desired impact. Nigeria's economic dependency on crude oil and other commodities makes economic diversification difficult. Nigeria's economy must diversify in order to support employment, economic growth and human development to meet up the country's fast expanding population needs. In order to have a life beyond oil and gas, there is </w:t>
      </w:r>
    </w:p>
    <w:p>
      <w:r>
        <w:t>POSSIBLE 2024: Toward a Global History of the Nuclear Age — https://doi.org/10.5007/2175-7976.2024.e102709</w:t>
      </w:r>
    </w:p>
    <w:p>
      <w:r>
        <w:t>Shared claim-specific concepts: nuclear, energy, major, power; EU scope not established. This is a provisional connection, not an outcome finding.</w:t>
      </w:r>
    </w:p>
    <w:p>
      <w:r>
        <w:t>Available abstract (not full text): The environmental history of the nuclear enterprise has grown increasingly important, not the least because of the strong conviction that an ongoing, and self-proclaimed “renaissance” in nuclear energy must be a major part of world energy scenarios in the battle against global warming and the need to abandon carbon-based energy production. This article suggests a number of ways to take advantage of the recently available primary sources by using a global approach to make sense of nuclear environmental history. It calls for looking at environmental impacts across a variety of ecosystems: desert, Arctic, tropical, limnological and oceanic. It insists on considering the entire nuclear enterprise from mining to enrichment to fission. It suggests focusing on interactions between the atom, nature, and the lives of mammals, fish and birds in the nuclear world. In the end, this analysis shows that the atom is not green, and that the argument that nuclear power is a solution to global warming ignores the troubled relationship between the natural environment and peaceful and military technologies.</w:t>
      </w:r>
    </w:p>
    <w:p>
      <w:r>
        <w:t>POSSIBLE 2023: The Role of Nuclear Energy in Reducing Greenhouse Gas (GHG) Emissions and Energy Security: A Systematic Review — https://doi.org/10.1155/2023/8823507</w:t>
      </w:r>
    </w:p>
    <w:p>
      <w:r>
        <w:t>Shared claim-specific concepts: nuclear, energy, low-carbon, source, increase; EU scope not established. This is a provisional connection, not an outcome finding.</w:t>
      </w:r>
    </w:p>
    <w:p>
      <w:r>
        <w:t>Available abstract (not full text): The energy sector accounts for about two-thirds of all human-related greenhouse gas (GHG) emissions due to the reliance on fossil-based fuels. This is a significant concern as it can have dire consequences on the survival of humankind and disrupt other natural processes. The research indicated that some mitigation measures to curb GHG emissions are to increase energy from low-carbon sources such as nuclear. However, due to the continuous adverse climate change impact, a comprehensive systematic review of research in this area must be conducted to inform policy practice and future studies. This study attempts to address this gap by mapping the global reflections on the potential of nuclear technology to mitigate GHG through a bibliometric review process. A total of 741 studies were retrieved from the Scopus database and a few from Google Scholar, spanning from 1962 to 2022, and analyzed using a science mapping tool—VOSviewer. The study confirmed that fossil fuels are a significant source of greenhouse gas emissions and contributor to greenhouse emissions. Those authors concluded that promoting clean and alternative energy sources to fossil fuels would help reduce carbon emissions. Although renewable energy has proven to be very efficient among pollution and climate change mitigation sources, nuclear energy is the most dependable option for meeting national and regional CO2 emiss</w:t>
      </w:r>
    </w:p>
    <w:p>
      <w:r>
        <w:t>POSSIBLE 2023: Outlook on Industrial Requirements for Incorporating Nuclear Energy into Industrial Processes — https://doi.org/10.2172/2293480</w:t>
      </w:r>
    </w:p>
    <w:p>
      <w:r>
        <w:t>Shared claim-specific concepts: nuclear, energy, electricity, power; EU scope not established. This is a provisional connection, not an outcome finding.</w:t>
      </w:r>
    </w:p>
    <w:p>
      <w:r>
        <w:t xml:space="preserve">Available abstract (not full text): The manufacturing of pulp and paper requires large amounts of low-pressure steam to digest and wash wood fibers for pulp and press and dry pulp into paper.Most of the low-pressure steam is generated from burning wood waste material; bark is burned in hog boilers, and lignin is boiled in the black liquor recovery boiler.In a typical integrated pulp and paper mill, 50-80% of the steam is produced from these sources, and additional steam is produced in a natural gas or fuel oil boiler.Steam is sent through turbines to lower the pressure and generate electricity for the plant.The other energy intense process in the plant is the lime kilns, which require high temperatures from natural gas combustion to convert compounds needed for the chemical recovery process.A nuclear power plant could replace steam and electricity generated from wood waste and natural gas allowing lignin and bark to be processed into bio-based chemicals or fuels.Ammonia is the second largest manufactured industrial chemical.The most widely used process to synthesize ammonia is the Haber-Bosch process with steam methane reforming being used to produce the hydrogen while an air separation unit is most often used to produce the nitrogen that is fixed by the hydrogen .THe Harber-Bosch process synthesizes ammonia under very high-pressure conditions.Both steam-methane reforming and high-pressure compression are energy </w:t>
      </w:r>
    </w:p>
    <w:p>
      <w:pPr>
        <w:pStyle w:val="Heading2"/>
      </w:pPr>
      <w:r>
        <w:t>Mismatch, empowerment, fatigue or balance? Four scenarios of physical activity up to 2030 in Finland</w:t>
      </w:r>
    </w:p>
    <w:p>
      <w:r>
        <w:t>Original source (2022): https://doi.org/10.1016/j.futures.2022.103036</w:t>
      </w:r>
    </w:p>
    <w:p>
      <w:r>
        <w:t>Original wording (abstract; indexed_source_text_not_full_document_verified): Building on the experts’ perceptions on alternative futures, we formulated four scenarios for PA up to 2030, which we named Mismatch, Empowerment, Fatigue and Balance. In this study, we explore future scenarios in the intersections of PA and active lifestyles as well as related environmental and health benefits in Finland.</w:t>
      </w:r>
    </w:p>
    <w:p>
      <w:r>
        <w:t>POSSIBLE 2026: Building understanding: a review of European farmers’ perceptions of agrobiodiversity — https://doi.org/10.1016/j.jnc.2026.127427</w:t>
      </w:r>
    </w:p>
    <w:p>
      <w:r>
        <w:t>Shared claim-specific concepts: building, perceptions, alternative; EU scope visible. This is a provisional connection, not an outcome finding.</w:t>
      </w:r>
    </w:p>
    <w:p>
      <w:r>
        <w:t>Available abstract (not full text): Agrobiodiversity is declining and urgent actions are needed to reverse the ongoing loss of species and habitats that sustain food production-related ecosystem services. Farmers’ perceptions of agrobiodiversity could provide insights for improving policy designs towards more effective target setting for agrobiodiversity conservation and implementation measures. This scoping review identifies and synthesizes research on European farmers’ perceptions of agrobiodiversity. Using the PRISMA protocol, we identified 43 peer-reviewed scientific articles for qualitative analysis and aggregated these into three themes: 1) multiple agrobiodiversities, 2) agrobiodiversity loss and conservation, and 3) agrobiodiversity in society. The extant literature mainly associates with farmers’ perceptions of observable agrobiodiversity that has a mix of nature-centric and human-centric perspectives. The literature indicates that contradictions often arise from negative interactions or trade-offs between agrobiodiversity and farming when agrobiodiversity hinders farm production. Suggestions for future policies include considering farmers’ place-specific perceptions of agrobiodiversity; developing alternative principles to economically driven policy instruments; and investing in bringing public stakeholders closer to farmers through knowledge transfer and stakeholder collaboration.</w:t>
      </w:r>
    </w:p>
    <w:p>
      <w:r>
        <w:t>POSSIBLE 2026: Stakeholders’ Perceptions of Barriers, Benefits, and Drivers for Digital Building Logbook Adoption in Building Renovation Projects in Europe — https://doi.org/10.3390/su18062688</w:t>
      </w:r>
    </w:p>
    <w:p>
      <w:r>
        <w:t>Shared claim-specific concepts: building, perceptions, benefits; EU scope visible. This is a provisional connection, not an outcome finding.</w:t>
      </w:r>
    </w:p>
    <w:p>
      <w:r>
        <w:t>Available abstract (not full text): The construction sector is responsible for a significant share of greenhouse gas emissions in Europe, making the decarbonisation of the existing building stock a critical priority. In this context, Digital Building Logbooks (DBLs) are increasingly promoted as digital tools to support renovation planning, data continuity, and circular economy practices across the building lifecycle. Despite growing policy attention, the adoption of DBLs in renovation projects remains limited in practice. This study provides one of the first empirical rankings of perceived barriers, benefits, and drivers influencing DBL adoption in renovation projects across Europe. An exploratory quantitative survey was conducted with a purposively selected sample of stakeholders involved in renovation-related activities. Likert-scale responses were analysed using descriptive ranking statistics and reliability testing, while qualitative data from open-ended responses were analysed using directed content analysis. The results indicate that stakeholders strongly recognise the benefits of DBLs, particularly in terms of improved access to reliable building information, informed decision-making, and support for circular renovation practices. However, adoption is constrained by regulatory uncertainty, limited awareness, and unclear governance and operational frameworks. The most influential drivers identified relate t</w:t>
      </w:r>
    </w:p>
    <w:p>
      <w:r>
        <w:t>POSSIBLE 2026: Building consensus on demand-led legume breeding in Europe: Evidence from a Delphi expert study — https://doi.org/10.1016/j.jafr.2026.103142</w:t>
      </w:r>
    </w:p>
    <w:p>
      <w:r>
        <w:t>Shared claim-specific concepts: building, experts, benefits; EU scope visible. This is a provisional connection, not an outcome finding.</w:t>
      </w:r>
    </w:p>
    <w:p>
      <w:r>
        <w:t>Available abstract (not full text): Legume breeding is of great importance due to the multiple benefits of legume cultivation and use in European food systems. However, the small legume acreage means that breeding programmes are often not economically viable. Improvements to the system could be initiated by the governance structure of demand-led breeding. Demand-led breeding is an approach in which the needs of stakeholders downstream of agriculture are explicitly considered to develop more appropriate varieties. To evaluate this approach, we conducted a Delphi study with 21 legume breeding experts from across Europe. Qualitative questions enabled indirect discussion, and the experts formed a group opinion through repeated quantitative ratings of statements on demand-led breeding. The data was analysed using qualitative content analysis and inferential statistics with a non-parametric rank variance analysis. Expert consensus emerged that breeding goals should be oriented towards the end use of the products, that demand-led breeding is more likely to become established in Europe in the medium term, and that better alignment with market demand can increase value creation in breeding. The complexity of breeding programmes would increase and the added value would only become apparent retrospectively after a time lag. We conclude with the implications that demand-led breeding may be implemented within the framework of</w:t>
      </w:r>
    </w:p>
    <w:p>
      <w:r>
        <w:t>POSSIBLE 2025: EU Foreign Policy Alignment among European Experts — https://doi.org/10.17605/osf.io/54dqp</w:t>
      </w:r>
    </w:p>
    <w:p>
      <w:r>
        <w:t>Shared claim-specific concepts: building, experts, perceptions, explore; EU scope visible. This is a provisional connection, not an outcome finding.</w:t>
      </w:r>
    </w:p>
    <w:p>
      <w:r>
        <w:t xml:space="preserve">Available abstract (not full text): The world is witnessing an alarming surge in violent conflicts, with levels unseen since World War II. Simultaneously, the European Union (EU) has been hit by one exogenous shock after another, with complex effects on European integration, democracy building, internal politics and foreign policy. In the face of such global instability and growing internal challenges, the EU finds itself increasingly required to respond geopolitically. The Russia-Ukraine War, the instability created by shifting policies in the White House, China’s growing military power, and the fragmentation of the global liberal democratic order make the European Union’s attempt to devise a more unified and coherent common and security policy even more difficult. The EU is thus challenged to prepare for high impact, high probability events that could destabilize the ability of the organization to function and thrive. In this study, we explore whether experts’ perceptions of security threats to the EU are influenced by whether the EU responds cohesively or divided to security threats. To test this, we implement a pre-post survey design, where self-identified experts in core areas of EU studies first rate the likelihood and impact of selected threats to the EU – such as a NATO-Russia confrontation, a destabilizing power struggle in Russia, use of nuclear arms by Russia. Respondents are then randomly assigned to </w:t>
      </w:r>
    </w:p>
    <w:p>
      <w:r>
        <w:t>POSSIBLE 2024: Industry Experts’ Perspectives on the Difficulties and Opportunities of the Integration of Bio-Based Insulation Materials in the European Construction Sector — https://doi.org/10.3390/su16177314</w:t>
      </w:r>
    </w:p>
    <w:p>
      <w:r>
        <w:t>Shared claim-specific concepts: building, experts, perceptions, well, environmental; EU scope visible. This is a provisional connection, not an outcome finding.</w:t>
      </w:r>
    </w:p>
    <w:p>
      <w:r>
        <w:t>Available abstract (not full text): This paper explores the current status of bio-based insulation materials (BbIMs) integration in Europe, through structured online questionnaires. with industry experts. The findings show that the main common difficulties are obtaining European Conformity (CE) marking, high costs, a skills gap, a lack of trained builders, and slow acceptance from industry decision-makers. On the other hand, the main common opportunities are the gradual improvement with certain supportive policies and incentives, the growing environmental awareness, thermal, acoustic, and environmental performance, long-term cost savings and value, and increasing educational initiatives, advertising, and awareness campaigns. The finding also emphasizes the critical role that users and buyers play in the adoption of these materials as a potential driver and barrier. The professionals suggest strengthening environmentally friendly standards, integrating natural materials into construction databases, leading by example, withdrawing subsidies for hazardous waste disposal, providing continuing education, workshops, collaboration among stakeholders, and referencing exemplary projects in France. Further insights on bio-based building materials integration in building information modeling (BIM) practices indicate that the rate of their integration is very low. This research contributes to the scientific literature on BbI</w:t>
      </w:r>
    </w:p>
    <w:p>
      <w:r>
        <w:t>POSSIBLE 2023: Basic Elements and Characteristics in Building an Expert System — https://doi.org/10.55849/jnhl.v1i3.337</w:t>
      </w:r>
    </w:p>
    <w:p>
      <w:r>
        <w:t>Shared claim-specific concepts: building, well, benefits; EU scope not established. This is a provisional connection, not an outcome finding.</w:t>
      </w:r>
    </w:p>
    <w:p>
      <w:r>
        <w:t>Available abstract (not full text): The basic elements and characteristics of an expert system are important in the application of an expert system, so that in the application of a makar expert system, the basic elements and characteristics of an expert system are first known. By knowing the basic elements and characteristics of an expert system, the goals and benefits of making an expert system can be more focused and have good fundamentals.This journal is a learning system in designing and knowing expert systems that have fundamental characteristics, so that the utilization that is carried out can run well.</w:t>
      </w:r>
    </w:p>
    <w:p>
      <w:pPr>
        <w:pStyle w:val="Heading2"/>
      </w:pPr>
      <w:r>
        <w:t>On the Future(s) of Energy Communities in the German Energy Transition: A Derivation of Transformation Pathways</w:t>
      </w:r>
    </w:p>
    <w:p>
      <w:r>
        <w:t>Original source (2022): https://doi.org/10.3390/su14063169</w:t>
      </w:r>
    </w:p>
    <w:p>
      <w:r>
        <w:t>Original wording (abstract; indexed_source_text_not_full_document_verified): In order to understand how such a development could come about, and if desired, how it could be ensured, we developed and applied a quasi-dynamic model using the Cross-Impact Balance (CIB) approach and with it analyzed and assessed such a transition in detail. Main results obtained from the application of the model are possible transformation pathways of citizen participation in the energy transition of Germany.</w:t>
      </w:r>
    </w:p>
    <w:p>
      <w:r>
        <w:t>POSSIBLE 2025: The European Union: A Sui Generis Legal Order: Prospects for Development — https://doi.org/10.54237/profnet.2025.azsvlbffde_6</w:t>
      </w:r>
    </w:p>
    <w:p>
      <w:r>
        <w:t>Shared claim-specific concepts: order, approach, possible; EU scope visible. This is a provisional connection, not an outcome finding.</w:t>
      </w:r>
    </w:p>
    <w:p>
      <w:r>
        <w:t>Available abstract (not full text): The first phase of our collective research focused on the concept of constitutional identity. This raised the question of how this identity could be defined and, if necessary, protected, in the light of the requirements linked to the participation of States in European Union bodies. The second phase of this research focuses on the nature of the European legal order. The first step is to identify the legal categories that may assist in characterising the European Union. The document setting the context for the research starts from the premise that the European Union, which has embarked on the road to federalism, is halfway along this path, and sets out the prospect of a European Union as a simple structure for cohabitation and cooperation between States. Between a federation and an alliance treaty, there is probably a middle path, a legal order that is no longer federal but confederal in nature. Confederation means maintaining and guaranteeing the sovereignty of the confederate States. In any case, it seems advisable not to lock ourselves a priori in pre-established legal categories which may prove obsolete or inappropriate. As a first step of this approach, however, it is worth considering the nature of the European Union, resulting from the current Treaties. Secondly, it is noteworthy how the European Union uses integration mechanisms which go beyond a strict interpretation of</w:t>
      </w:r>
    </w:p>
    <w:p>
      <w:r>
        <w:t>POSSIBLE 2025: Typologies and influencing factors in the absorption of European funding for sustainable rural development — https://doi.org/10.1080/21681376.2025.2524440</w:t>
      </w:r>
    </w:p>
    <w:p>
      <w:r>
        <w:t>Shared claim-specific concepts: order, understand; EU scope visible. This is a provisional connection, not an outcome finding.</w:t>
      </w:r>
    </w:p>
    <w:p>
      <w:r>
        <w:t>Available abstract (not full text): Sustainable rural development is a key European goal, supported by the Common Agricultural Policy (CAP) since 1962, which provides EU Member States with funds for financing economic and social development projects in rural communities. Research has shown varying capacities among rural communities to absorb these funds, leading to growing disparities. This paper aims to analyse rural fund absorption and classify rural communities based on their performance during two funding periods (2007–2013 and 2014–2020). The study, focusing on Romania, examines factors influencing different absorption performances using data from the National Rural Development Programme, funded by the European Agricultural Fund for Rural Development (EAFRD). The study highlights that different mechanisms are at work in different regions and there is a need to build analysis at the local level in order to better understand the performance of territories and, most importantly, what is needed to boost their performance and ensure sustainable development.</w:t>
      </w:r>
    </w:p>
    <w:p>
      <w:r>
        <w:t>POSSIBLE 2024: Becoming European: Mid- and Short-Term Development of a European Identity Among Adolescents — https://doi.org/10.1080/15283488.2024.2394874</w:t>
      </w:r>
    </w:p>
    <w:p>
      <w:r>
        <w:t>Shared claim-specific concepts: understand, assessed; EU scope visible. This is a provisional connection, not an outcome finding.</w:t>
      </w:r>
    </w:p>
    <w:p>
      <w:r>
        <w:t>Available abstract (not full text): European identity formation is a component of political identity and linked to the support of European institutions and values. To understand how it develops, we examined three processes of identity formation (commitment, in-depth exploration, and reconsideration of commitment) on a short- and mid-term time scale, and their interrelations. A total of 371 German adolescents (Mage = 14.24, SDage = 0.55, 60.37% females) participated in a longitudinal study and in a ten-day daily diary study. We conducted latent growth curve analysis (LGCM) and assessed rank-order stability and profile similarity for both time scales. Next, conditional LGCMs were run to examine associations of both time scales. We found a significant increase of all identity processes from the beginning to the middle of the school year and a significant decrease from the middle to the end of the school year. Across 10 days, growth curves varied according to the identity process. Stabilities were high for both time scales. Commitment at the beginning of the school year was negatively associated with fluctuations in commitment. Our results highlight the importance of examining different time scales and focusing on specific domains for understanding identity development in adolescence. They further indicate that short-term processes are associated with long-term development.</w:t>
      </w:r>
    </w:p>
    <w:p>
      <w:r>
        <w:t>POSSIBLE 2024: MODELLING THE RELATIONSHIP BETWEEN RETAIL DEVELOPMENT AND ECONOMIC INDICATORS IN EUROPEAN COUNTRIES — https://doi.org/10.29038/2786-4618-2024-01-124-134</w:t>
      </w:r>
    </w:p>
    <w:p>
      <w:r>
        <w:t>Shared claim-specific concepts: order, understand, about; EU scope visible. This is a provisional connection, not an outcome finding.</w:t>
      </w:r>
    </w:p>
    <w:p>
      <w:r>
        <w:t xml:space="preserve">Available abstract (not full text): Abstract. The modern global market requires extraordinary attention to the development of retail trade, which is not only the face of the economy of countries, but also plays a key role in promoting their economic prosperity. In this context, understanding the relationship between retail development indicators and indicators of the state of the economy is necessary given the importance of retail trade as one of the key elements of economic systems and is an important task for scientists and economists. Highlighting the relationship between retail trade and the state of the economy of European countries opens up opportunities for understanding and predicting economic and social trends on the path of Ukraine's accession to the EU, and promotes entrepreneurship. This study aims to model the relationship and establish statistically significant dependencies between the development of retail trade and the economic development of European countries, and to identify indicators that have an impact on the development of the industry. The study established a statistically significant impact of economic growth characteristics on the development of the retail trade industry in European countries in 2005-2022. In particular, it has been determined that the volume of trade turnover depends on such indicators as GDP per capita, consumer inflation and unemployment in the economy. The number of </w:t>
      </w:r>
    </w:p>
    <w:p>
      <w:r>
        <w:t>POSSIBLE 2024: Exploring how Europeans understand solidarity in the EU — https://doi.org/10.4324/9781032690902-3</w:t>
      </w:r>
    </w:p>
    <w:p>
      <w:r>
        <w:t>Shared claim-specific concepts: understand, about, approach; EU scope visible. This is a provisional connection, not an outcome finding.</w:t>
      </w:r>
    </w:p>
    <w:p>
      <w:r>
        <w:t>Available abstract (not full text): This chapter explains the research design and the decisions about the methodology made for the empirical research. It also reflects on the challenges encountered during the research process. It justifies the selection of the nine countries in which the focus group discussions were conducted; explains the rationale of having three sociodemographic groups for each country case involved in the focus group discussions and outlines the criteria for the selection of the participants. Furthermore, it documents how the focus group discussions were prepared and implemented, providing details about the development of the discussion guide, recruitment of the participants, modes of the discussions and other relevant aspects of the fieldwork. The chapter also discusses the process of recording, transcription and translation of the focus group discussions and provides characteristics of the text corpus produced. A substantial part of the chapter is dedicated to an explanation of the analytical approach and the analysis of the translated transcripts of the focus group discussions. It presents the development of the coding frame, coding procedure and assessment of intercoder agreement. It finally outlines the key parameters of the comparative analysis and the forms of its findings.</w:t>
      </w:r>
    </w:p>
    <w:p>
      <w:r>
        <w:t>POSSIBLE 2024: The Green Economy in the Context of Sustainable Development. Study Case: European Union — https://doi.org/10.2478/picbe-2024-0243</w:t>
      </w:r>
    </w:p>
    <w:p>
      <w:r>
        <w:t>Shared claim-specific concepts: order, understand, transition, main, obtained, transformation; EU scope visible. This is a provisional connection, not an outcome finding.</w:t>
      </w:r>
    </w:p>
    <w:p>
      <w:r>
        <w:t xml:space="preserve">Available abstract (not full text): Abstract The term „Green economy” in the context of sustainable development was used for the first time in 1989, there is no internationally agreed definition for it. In the last decades, in a relatively short period it has become an issue with major importance worldwide, the society realizing that its actions have direct effects on the environment, its live and where we carry out our work. In order to correctly understand the meaning of Green economy we need an insight on man as an individual but also on organizations that make economic and financial decisions and initiatives. This paper examines the EU countries progress toward green economy, identifies the relationship with financial and economic indicators and analyses the role of eco-innovation performance and innovative capacity toward green transition to meet the European Green Deal objectives. Complex theoretical, methodological and empirical research methodology was adopted by using specific methods of investigation: critical analysis of the literature, complex quantitative and qualitative analysis, identification, construction and the appropriate processing of existing databases. The numerical results were obtained by the SPSS software package. The paper’s outcome identifies barriers and success factors in the implementation of the EU’s main new growth strategy, highlights that the green transformation process of the </w:t>
      </w:r>
    </w:p>
    <w:p>
      <w:r>
        <w:t>POSSIBLE 2023: Dynamics of EU Central and Eastern European donors’ development cooperation — https://doi.org/10.12688/stomiedintrelat.17714.1</w:t>
      </w:r>
    </w:p>
    <w:p>
      <w:r>
        <w:t>Shared claim-specific concepts: order, understand, applied, main; EU scope visible. This is a provisional connection, not an outcome finding.</w:t>
      </w:r>
    </w:p>
    <w:p>
      <w:r>
        <w:t>Available abstract (not full text): The article deals with both qualitative and quantitative aspects of development assistance provided by the 11 Central and Eastern European (CEE) countries that are members of the European Union (EU). The aim is to answer the question of what are the major determinants of their involvement in development cooperation. It also aims to understand the controversy surrounding the development policies of these donors and to assess the impact of past determinants on the current situation. Our study employs a combination of data analysis (based on Organisation for Economic Cooperation and Development – OECD – statistics) and a literature review. In order to allow the examination of trends, constant prices have been applied throughout the study. Our research operates both on absolute (volumes of development aid given to and offered by the countries in mind) and relative data (bilateral to total ODA ratio and regional distribution of bilateral aid). The analysis reveals that the CEE EU donors’ spending on development assistance grew 463% over the 2004–2021 period. In 2021, they accounted for 2.4% of global aid, which was not a significant share globally, though noteworthy at the level of EU development aid spending. We found a clear dominance of the multilateral channel in the distribution of CEE EU aid fluctuating between 65–90%, mainly through EU institutions. In terms of bilateral acti</w:t>
      </w:r>
    </w:p>
    <w:p>
      <w:r>
        <w:t>POSSIBLE 2023: What Can We Expect for the Development of Rural Areas in Europe?—Trends of the Last Decade and Their Opportunities for Rural Regeneration — https://doi.org/10.3390/su15065485</w:t>
      </w:r>
    </w:p>
    <w:p>
      <w:r>
        <w:t>Shared claim-specific concepts: order, understand, transition; EU scope visible. This is a provisional connection, not an outcome finding.</w:t>
      </w:r>
    </w:p>
    <w:p>
      <w:r>
        <w:t>Available abstract (not full text): Rural areas in Europe have been undergoing structural change for years, resulting in strong functional differentiation and fragmentation into prosperous and structurally weak areas. Rural areas are as diverse as the challenges they face. Not only various megatrends but also social, economic, technological, ecological, and political trends influence and shape the development of rural areas. In order to understand the problems and causes of the current development of rural areas, this paper provides a differentiated trend analysis for rural areas at the European level. A content analysis of more than 70 EU-funded project reports on rural areas and rural development is carried out. The aim is to identify trends and their drivers over the last decade and to summarize opportunities and challenges for successful rural regeneration. These external and overarching trends, particularly in the context of a sustainable transition, renewable energies, the emergence of new technologies and growing awareness of environmental impacts, offer rural areas more opportunities than ever before. The interplay between external incentives (e.g., European Union policies) and endogenous regional development (e.g., local actors) is crucial for the successful exploitation of these opportunities for rural regeneration.</w:t>
      </w:r>
    </w:p>
    <w:p>
      <w:r>
        <w:t>POSSIBLE 2023: The Governance of European Space Policy — https://doi.org/10.32625/kjei.2023.31.175</w:t>
      </w:r>
    </w:p>
    <w:p>
      <w:r>
        <w:t>Shared claim-specific concepts: order, understand; EU scope visible. This is a provisional connection, not an outcome finding.</w:t>
      </w:r>
    </w:p>
    <w:p>
      <w:r>
        <w:t>Available abstract (not full text): The aim of this study is to analyse the historical processes and institutional features of European space policy governance in order to understand its unique governance characteristics, which are designed to ensure that horizontal cooperation at the European level between the ESA and the EU and vertical cooperation between the ESA and Member States' national space agencies are complementary. To this end, this study first examines the historical process of the development of European space policy from the perspective of the history of European integration and the history of legal institutions, in order to understand the nature of the parallel development of European space policy centred on ESA, independent of the evolution of European integration from the ECSC to the EU. On this basis, it will analyse the multi-layered governance of European space policy today, focusing on the two characteristics of 'hybridity' and 'integrity' in order to contribute to a more accurate understanding of European space policy.</w:t>
      </w:r>
    </w:p>
    <w:p>
      <w:r>
        <w:t>POSSIBLE 2023: Innovations and development of artificial intelligence in Europe: some empirical evidences — https://doi.org/10.1108/ejmbe-03-2023-0085</w:t>
      </w:r>
    </w:p>
    <w:p>
      <w:r>
        <w:t>Shared claim-specific concepts: approach, possible; EU scope visible. This is a provisional connection, not an outcome finding.</w:t>
      </w:r>
    </w:p>
    <w:p>
      <w:r>
        <w:t xml:space="preserve">Available abstract (not full text): Purpose The objective of this paper is to analyze the relationship between innovation and the development of artificial intelligence (AI) and digital technologies in Europe. The use of digital technologies among European companies is studied through a composite index, while the relationship between innovation and AI is studied through a log-linear regression model. The results of the model have made possible to develop interesting indications for economic and industrial policy. Design/methodology/approach The use of digital technologies among European companies is studied through a composite index of AI and information technology (ICT) (using the Fair and Sustainable Welfare methodology) with the aim of measuring territorial gaps and to know which European countries are more or less inclined to its use, while the relationship between innovation and AI is studied through a log-linear regression model. Findings In the paper, two different methodologies were used to analyze the relationship between innovation and the development of digital technologies in Europe. The synthetic indicator made possible to develop a taxonomy between the different countries, the log-linear model made possible to identify and explain the determinants of innovation. Originality/value The description of the biunivocal relationship between innovation and AI is a topical and relevant issue that is treated </w:t>
      </w:r>
    </w:p>
    <w:p>
      <w:r>
        <w:t>POSSIBLE 2023: Urban Development and Transportation: Investigating Spatial Performance Indicators of 12 European Union Coastal Regions — https://doi.org/10.3390/land12091757</w:t>
      </w:r>
    </w:p>
    <w:p>
      <w:r>
        <w:t>Shared claim-specific concepts: order, understand, about, developed, approach; EU scope visible. This is a provisional connection, not an outcome finding.</w:t>
      </w:r>
    </w:p>
    <w:p>
      <w:r>
        <w:t>Available abstract (not full text): Urbanization is one of the most dominant economic and social changes of the 20th century. This phenomenon brings about rapid urban development, which is inextricably linked to transport development. In order to understand this relationship, it is important to analyze the spatial spillover effects of the phenomenon in the urban environment. This study analyzes the spatial performance, in terms of urban development, of 12 European Union regions from five European countries with coastal areas by incorporating spatial data such as length of road network, population distribution, land uses, and other factors. Key performance indicators have been developed for evaluating the structural development model of the regions (e.g., dense or sprawl development). In addition, the incorporation of spatial spillover effects in the evaluation of the regions was conducted by the extended spatial data envelopment analysis (SDEA) method. The results of SDEA identified the best and worst-performing regions in terms of urban growth. Finally, this study implements a target-setting approach where under-performing regions can best perform. Based on the target-setting approach, local authorities can set realistic targets for improving the structural model that the regions are following.</w:t>
      </w:r>
    </w:p>
    <w:p>
      <w:r>
        <w:t>POSSIBLE 2023: Unraveling the European Agricultural Policy Sustainable Development Trajectory — https://doi.org/10.3390/land12091749</w:t>
      </w:r>
    </w:p>
    <w:p>
      <w:r>
        <w:t>Shared claim-specific concepts: about, balance, approach, main; EU scope visible. This is a provisional connection, not an outcome finding.</w:t>
      </w:r>
    </w:p>
    <w:p>
      <w:r>
        <w:t>Available abstract (not full text): Amidst growing concerns about the impact of agriculture on the environment, the Common Agricultural Policy (CAP) has been overhauled to prioritize sustainable rural development in European agriculture. Based on this line of thought, the present contribution delves into the details of the CAP’s shift, focusing on the main environmental concerns faced in the policy-making framework. Grounded in a political science perspective, the current study looks at how environmental and climate change concerns were gradually elevated inside the CAP’s policy-making framework and how they helped create the “green architecture” for European agriculture. Examining the process of policy change under the lens of historical institutionalism and neo-institutionalism within the multilevel governance framework of the European Union (EU), the key role played by the gradual introduction of measures aimed at promoting measurable environmental criteria and climatic targets is highlighted. For instance, measures aimed at preserving carbon-rich soils and enhancing water resources can have positive impacts on the environment. However, these measures were also recognized to increase the cost of production for the European farmers, who faced serious difficulties in adjusting to the new framework. Within this context, this research delves into the roles played by two additional fundamental entities: the consume</w:t>
      </w:r>
    </w:p>
    <w:p>
      <w:pPr>
        <w:pStyle w:val="Heading2"/>
      </w:pPr>
      <w:r>
        <w:t>Organic farming in the European Union – perspectives for 2030</w:t>
      </w:r>
    </w:p>
    <w:p>
      <w:r>
        <w:t>Original source (2022): https://doi.org/10.2478/picbe-2022-0042</w:t>
      </w:r>
    </w:p>
    <w:p>
      <w:r>
        <w:t>Original wording (abstract; indexed_source_text_not_full_document_verified): At the same time, the objectives set by the European Community to be achieved by 2030 are presented. This type of agriculture involves the use of a set of techniques and practices that result in yield that provides the food needed by the population considering the sustainable use of resources.</w:t>
      </w:r>
    </w:p>
    <w:p>
      <w:r>
        <w:t>POSSIBLE 2026: The Scramble for Europe — https://doi.org/10.1093/9780197781470.001.0001</w:t>
      </w:r>
    </w:p>
    <w:p>
      <w:r>
        <w:t>Shared claim-specific concepts: same, time, objectives; EU scope visible. This is a provisional connection, not an outcome finding.</w:t>
      </w:r>
    </w:p>
    <w:p>
      <w:r>
        <w:t>Available abstract (not full text): Abstract Europe used to be an agenda-setter at the global and regional level but now it is on the backfoot, facing multiple outside pressures: e.g., from Trump’s US, Russia, and China. Internally, rising populism is undermining EU’s cohesion and international influence. The book traces the consolidation and, starting from the late 2000s, the subsequent crisis of the European regional order anchored in the EU. It argues that authoritarian powers, such as Russia, China, and Turkey are posing a direct challenge to the latter as they seek to remake Europe in their image. At the same time, their objectives differ. The Ukraine invasion put on display Russia’s radical revisionist agenda. China by contrast aims to co-opt, through economic means, a diminished Europe in a future world order that it dominates. Erdogan’s Turkey wants to strike a deal where it is recognised as a top-tier stakeholder in Europe, as opposed to an eternal candidate for EU membership. The book discusses the Europe (EU, its member states, and the UK) response to outside challenges: containment—investing into military power to deter Russia; resilience—strengthening institutions and deepening markets to compete with China (and perhaps the US); and co-optation—relaunching enlargement and engaging with neighbours including Turkey—to build up its defences.</w:t>
      </w:r>
    </w:p>
    <w:p>
      <w:r>
        <w:t>POSSIBLE 2025: The Role of the European Commission in Soil Protection in the European Union — https://doi.org/10.54515/lcp.2025.1.149-159</w:t>
      </w:r>
    </w:p>
    <w:p>
      <w:r>
        <w:t>Shared claim-specific concepts: same, time, objectives, provides; EU scope visible. This is a provisional connection, not an outcome finding.</w:t>
      </w:r>
    </w:p>
    <w:p>
      <w:r>
        <w:t>Available abstract (not full text): The ongoing integration processes within the European Union are driving continued reforms and evolution of its institutions. At the same time, the institutional mechanism of the European Union itself has a complex structure that reflects the gradual nature of European integration. This article focuses on the legal basis for the functioning, organisation and activities of the European Commission in the field of soil protection. This institution enables the European Union to achieve its objectives and fulfil its tasks in this area of public policy. The article highlights the peculiarities of the European Commission's activities and focuses on its relevant competence in the field of soil protection in the manner determined primarily by the founding treaties. A key role is attributed to the Lisbon Treaty, which reformed the institutional foundations of this supranational international organisation. At the same time, the institutional structure of the EU has a number of features due to its status as a supranational association, whose authority is strictly limited to the competences conferred by its Member States. The article also explores the specific features of the distribution of powers and responsibilities between EU institutions and the decision-making procedure of the European Commission in the field of soil protection. In particular, the study examines how the institutions of</w:t>
      </w:r>
    </w:p>
    <w:p>
      <w:r>
        <w:t>POSSIBLE 2024: Regulating the Press for Accuracy and Objectivity — https://doi.org/10.1093/oso/9780198858607.003.0005</w:t>
      </w:r>
    </w:p>
    <w:p>
      <w:r>
        <w:t>Shared claim-specific concepts: same, time, presented; EU scope visible. This is a provisional connection, not an outcome finding.</w:t>
      </w:r>
    </w:p>
    <w:p>
      <w:r>
        <w:t>Available abstract (not full text): Abstract Accuracy is a cardinal norm of journalistic practice. However, developments around the phenomenon of ‘fake news’ in recent times have sparked off an intense debate about whether mainstream media can live up to the ideal of accuracy. News organizations, faced with shrinking budgets and a fierce competition for readers, are often presented with a stark choice between speed and accuracy. In an age of viral news, the temptation is there to publish first and verify later. In the face of overall low levels of trust in professional media, many newsrooms have invested in hubs which fact-check user-generated content. At the same time, their own news reports are scrutinized—and occasionally suppressed—by online platforms and by external fact-checking sites, situated on the cusp between ‘traditional journalism and digital network logics’. This chapter will, first, examine the way in which the ethics of journalism have been interpreted by the European Court of Human Rights. Next, it will focus on the journalistic standards of accuracy and objectivity/impartiality in a comparative context. Furthermore, it will discuss the recent phenomenon of ‘fake news’, and the concomitant rise in scepticism about the accuracy and objectivity of news media, and in particular the press. Finally, it will ask whether there has been a shift in the editorial standards adhered to by news media and in t</w:t>
      </w:r>
    </w:p>
    <w:p>
      <w:r>
        <w:t>POSSIBLE 2024: Implementing Nutrient Recommendations for Breakfast in Europe through Dietetic Practice—The European Federation of Associations of Dietitians (EFAD) Breakfast Toolkit Survey — https://doi.org/10.3390/proceedings2023091238</w:t>
      </w:r>
    </w:p>
    <w:p>
      <w:r>
        <w:t>Shared claim-specific concepts: same, time, objectives, food, needed, population; EU scope visible. This is a provisional connection, not an outcome finding.</w:t>
      </w:r>
    </w:p>
    <w:p>
      <w:r>
        <w:t>Available abstract (not full text): Background and objectives: The International Breakfast Research Initiative developed nutrient recommendations for a balanced breakfast, based on daily guidelines and actual contribution of breakfast in Europe. The aim of the Breakfast Toolkit Project is to translate nutrient recommendations into practical advice for both individuals and health professionals, and to develop a toolkit for dietitians. Methods: We conducted a 19-item online survey to assess the experience and resources of dietitians when recommending breakfast as part of a balanced diet. Results: A total of 336 dietitians from 27 countries participated in the survey. Forty-nine percent were working in clinical practice or private consulting. Around 50% thought that the general population is somewhat aware of the impact of breakfast on health, with the highest number of people not being aware in northern Europe. A lack of time and not feeling hungry in the morning are the main obstacles to achieve a healthy breakfast all over Europe, while a lack of money is more concerning in central and eastern Europe than other areas. Although slight differences are observed between European regions, increasing fresh fruit and vegetables (17%), decreasing sugary food (14.5%), and switching to whole grain cereals (18%) are the most peremptory needed interventions, according to the experience of the dietitians. Educational material</w:t>
      </w:r>
    </w:p>
    <w:p>
      <w:r>
        <w:t>POSSIBLE 2024: Healthy air as an obligation of result in the whole European Union: definitely a matter of time — https://doi.org/10.4337/9781035300426.00013</w:t>
      </w:r>
    </w:p>
    <w:p>
      <w:r>
        <w:t>Shared claim-specific concepts: same, time, result; EU scope visible. This is a provisional connection, not an outcome finding.</w:t>
      </w:r>
    </w:p>
    <w:p>
      <w:r>
        <w:t>Available abstract (not full text): This chapter explains how the field of air quality jurisprudence in the context of EU air quality law was radically transformed, in recent years, often under pressure of strategic litigation brought forward by civil society, because health protection was taken as a main driver. Healthy air has become an obligation of result in the whole European Union, with the same applicable ambient air limit values everywhere. The driving force for such advances was found in the relation air builds with health and life and, therefore, calls for repetition. Because many European laws, besides the Ambient Air Quality Directive, also have an impact on the composition of the air we breathe, and together pursue an explicit objective of health protection, the solid framework that was recently patiently built, bit by bit, should be inspirational for further developments, such as in the field of industrial pollution control, where indeed the first similar advances are being observed. But the jurisprudence also shows how the relation to time and right timing is of the essence and runs through most cases. In that regard, the lawmaker must be aware that inserting new deadlines in revised legislation might undo the patiently gained robust interpretations.</w:t>
      </w:r>
    </w:p>
    <w:p>
      <w:r>
        <w:t>POSSIBLE 2023: Differentiated European Integration and the Changing Type of Capitalism in Central Europe — https://doi.org/10.33067/se.2.2023.6</w:t>
      </w:r>
    </w:p>
    <w:p>
      <w:r>
        <w:t>Shared claim-specific concepts: same, time, type; EU scope visible. This is a provisional connection, not an outcome finding.</w:t>
      </w:r>
    </w:p>
    <w:p>
      <w:r>
        <w:t>Available abstract (not full text): The objective of this paper is to analyse the double-layered diversiﬁcation of the European integration system represented by the countries of Central Europe (CE). Here exempliﬁed by the Visegrad Four (V4) states (Poland, Hungary, Slovakia, and Czechia), the region offers a unique laboratory of European differentiated integration (DI). The V4 positions itself on the outer-core of the European Union hemispheres. At the same time, the bloc itself is internally diversiﬁed in various, important aspects of integration (conﬂicting trajectories with Brussels, monetary integration, energy policy, relations with Russia, etc.). Unpacking this intra-V4 diversity will be accompanied by an exploration of the economic and institutional factors possibly affecting it. The political-economy perspective allows us to capture the determinants intersecting at the crossroads of economic and political dimensions. The authors will explore the selected building blocks of the system of differentiation inside the V4 group.</w:t>
      </w:r>
    </w:p>
    <w:p>
      <w:pPr>
        <w:pStyle w:val="Heading2"/>
      </w:pPr>
      <w:r>
        <w:t>Past and Future Trends in Refugee Migration on the Regional Level in Germany – An Analysis and Projection of Labor Market Effects</w:t>
      </w:r>
    </w:p>
    <w:p>
      <w:r>
        <w:t>Original source (2022): https://doi.org/10.12765/cpos-2022-17</w:t>
      </w:r>
    </w:p>
    <w:p>
      <w:r>
        <w:t>Original wording (abstract; indexed_source_text_not_full_document_verified): Next, we calculate corresponding future employment effects conditional on our projected refugee figures, our estimation results, and official regional demographic forecasts until 2030. Our findings suggest that refugee migration does not affect German labor market regions equally, but instead has and will continue to lead to distinct regional employment effects.</w:t>
      </w:r>
    </w:p>
    <w:p>
      <w:r>
        <w:t>POSSIBLE 2025: Regional economic impact of the Next Generation European Union recovery plan — https://doi.org/10.1016/j.pirs.2025.100105</w:t>
      </w:r>
    </w:p>
    <w:p>
      <w:r>
        <w:t>Shared claim-specific concepts: next, regional, regions; EU scope visible. This is a provisional connection, not an outcome finding.</w:t>
      </w:r>
    </w:p>
    <w:p>
      <w:r>
        <w:t>Available abstract (not full text): This paper analyzes the economic impact of the Next Generation Funds package of the European Union (NGEU), focusing on the allocation of NGEU funds across European regions and the impact on rent distribution using new datasets on direct investments and remittances. Employing the input-output framework this work assesses the effects of the pandemic and the implications of NGEU funds, considering two alternative scenarios of sectoral and regional allocation, and a second round of rent distribution. The analysis reveals that the positive effects of the NGEU are largely overshadowed by the negative impacts of pandemic in most regions. Additionally, when considering the final redistributive effect, including interregional capital and remittance flows, the spatial pattern shifts, indicating that despite overall improvements, core regions capture rents from peripheral regions, leading to anti-cohesion outcomes. These results prompt further investigation into the role of NGEU in regional recovery and cohesion, suggesting additional research into rent distribution and the long-term economic impacts.</w:t>
      </w:r>
    </w:p>
    <w:p>
      <w:r>
        <w:t>POSSIBLE 2024: Burden of intracerebral haemorrhage in Europe: forecasting incidence and mortality between 2019 and 2050 — https://doi.org/10.1016/j.lanepe.2024.100842</w:t>
      </w:r>
    </w:p>
    <w:p>
      <w:r>
        <w:t>Shared claim-specific concepts: figures, forecasts, until, findings, not;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2023: Sources of PM2.5‐Associated Health Risks in Europe and Corresponding Emission‐Induced Changes During 2005–2015 — https://doi.org/10.1029/2022gh000767</w:t>
      </w:r>
    </w:p>
    <w:p>
      <w:r>
        <w:t>Shared claim-specific concepts: corresponding, regional, regions; EU scope visible. This is a provisional connection, not an outcome finding.</w:t>
      </w:r>
    </w:p>
    <w:p>
      <w:r>
        <w:t>Available abstract (not full text):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r>
        <w:t>POSSIBLE 2023: ART in Europe, 2019: results generated from European registries by ESHRE — https://doi.org/10.1093/humrep/dead197</w:t>
      </w:r>
    </w:p>
    <w:p>
      <w:r>
        <w:t>Shared claim-specific concepts: corresponding, findings, not; EU scope visible. This is a provisional connection, not an outcome finding.</w:t>
      </w:r>
    </w:p>
    <w:p>
      <w:r>
        <w:t>Available abstract (not full text): STUDY QUESTION: What are the data and trends on ART and IUI cycle numbers and their outcomes, and on fertility preservation (FP) interventions, reported in 2019 as compared to previous years? SUMMARY ANSWER: The 23rd ESHRE report highlights the rising ART treatment cycles and children born, alongside a decline in twin deliveries owing to decreasing multiple embryo transfers; fresh IVF or ICSI cycles exhibited higher delivery rates, whereas frozen embryo transfers (FET) showed higher pregnancy rates (PRs), and reported IUI cycles decreased while maintaining stable outcomes. WHAT IS KNOWN ALREADY: ART aggregated data generated by national registries, clinics, or professional societies have been gathered and analyzed by the European IVF-Monitoring (EIM) Consortium since 1997 and reported in a total of 22 manuscripts published in Human Reproduction and Human Reproduction Open. STUDY DESIGN, SIZE, DURATION: Data on medically assisted reproduction (MAR) from European countries are collected by EIM for ESHRE each year. The data on treatment cycles performed between 1 January and 31 December 2019 were provided by either national registries or registries based on initiatives of medical associations and scientific organizations or committed persons in one of the 44 countries that are members of the EIM Consortium. PARTICIPANTS/MATERIALS, SETTING, METHODS: Overall, 1487 clinics offering A</w:t>
      </w:r>
    </w:p>
    <w:p>
      <w:pPr>
        <w:pStyle w:val="Heading2"/>
      </w:pPr>
      <w:r>
        <w:t>Policy Modelling for Ambitious Energy Efficiency Investment in the EU Residential Buildings</w:t>
      </w:r>
    </w:p>
    <w:p>
      <w:r>
        <w:t>Original source (2022): https://doi.org/10.3390/en15062233</w:t>
      </w:r>
    </w:p>
    <w:p>
      <w:r>
        <w:t>Original wording (abstract; indexed_source_text_not_full_document_verified): This paper presents the challenges of increasing the energy efficiency investments in European Union (EU) residential buildings in the context of achieving climate neutrality by 2050.</w:t>
      </w:r>
    </w:p>
    <w:p>
      <w:r>
        <w:t>POSSIBLE 2025: Challenges in the micropropagation of economically important fruit species in Europe — https://doi.org/10.1007/s11240-025-03165-5</w:t>
      </w:r>
    </w:p>
    <w:p>
      <w:r>
        <w:t>Shared claim-specific concepts: presents, challenges, increasing; EU scope visible. This is a provisional connection, not an outcome finding.</w:t>
      </w:r>
    </w:p>
    <w:p>
      <w:r>
        <w:t>Available abstract (not full text):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r>
        <w:t>POSSIBLE 2025: Tropical viruses – challenges of modern medicine andlaboratory diagnostics — https://doi.org/10.5604/01.3001.0055.5927</w:t>
      </w:r>
    </w:p>
    <w:p>
      <w:r>
        <w:t>Shared claim-specific concepts: presents, challenges, increasing, context; EU scope visible. This is a provisional connection, not an outcome finding.</w:t>
      </w:r>
    </w:p>
    <w:p>
      <w:r>
        <w:t>Available abstract (not full text): Tropical viruses in Europe are becoming an increasing threat due to climatechange, globalization and increased mobility of people and goods. Globalizationis promoting the spread of tropical diseases, previously unseen in ourlatitude. The persistent increase in temperatures is promoting the expansionof the range of vectors, such as exotic mosquitoes of the Aedes genus, whilethe increasing frequency of travel to tropical countries increases the risk of bringing infections to Europe and potentially causing local endemic foci. This is a long-term challenge for healthcaresystems, public health and medical entities, which should adapt to new standards of diagnostics andtherapy for such diseases. The paper presents the diagnostic challenges faced by modern medical facilities inthe context of tropical viral diseases, discusses the limitations of available methods, the risk of false-positiveand false-negative results, and emphasizes the importance of implementing advanced molecular and serologicaltechnologies to ensure rapid and reliable detection of infections.</w:t>
      </w:r>
    </w:p>
    <w:p>
      <w:r>
        <w:t>POSSIBLE 2025: Editorial: Ex situ conservation of plant genetic resources in Europe – A journey through history, mission, challenges and future opportunities — https://doi.org/10.46265/genresj.blds6319</w:t>
      </w:r>
    </w:p>
    <w:p>
      <w:r>
        <w:t>Shared claim-specific concepts: presents, challenges, efficiency; EU scope visible. This is a provisional connection, not an outcome finding.</w:t>
      </w:r>
    </w:p>
    <w:p>
      <w:r>
        <w:t>Available abstract (not full text): The Special Issue entitled: ‘Ex situ conservation of plant genetic resources in Europe – A journey through history, mission, challenges and future opportunities’ presents 16 original articles, including 11 genebank reports from 7 European countries (Belgium, France, Germany, Hungary, Italy, Norway and Russia) and 5 review and position papers presenting relevant concepts to improve plant genetic resources (PGR) conservation and access. They provide an overview of PGR ex situ conservation in Europe, and reflect on the history and future directions of the collections. Important topics in PGR conservation and use are explored, including quality management systems for genebanks, the role of community seedbanks, the importance of collaborative research projects and national and international research infrastructures for PGR, and the integration of in situ and ex situ PGR conservation. From this article collection, the key importance of genebanks clearly emerges – not only in the long-term conservation of plant biodiversity but also in supporting and enabling plant breeding, research in plant biology and in situ conservation initiatives, highlighting important topics that should be prioritized for the efficiency and continuous improvement of PGR conservation activities. This article collection sparks discussions on future directions of ex situ plant conservation to further increase th</w:t>
      </w:r>
    </w:p>
    <w:p>
      <w:r>
        <w:t>POSSIBLE 2025: Building an Agricultural Biogas Supply Chain in Europe: Organizational Models and Social Challenges — https://doi.org/10.3390/su17135806</w:t>
      </w:r>
    </w:p>
    <w:p>
      <w:r>
        <w:t>Shared claim-specific concepts: presents, challenges, energy; EU scope visible. This is a provisional connection, not an outcome finding.</w:t>
      </w:r>
    </w:p>
    <w:p>
      <w:r>
        <w:t>Available abstract (not full text): As Europe is the world’s leading producer of biogas, this article examines how agricultural anaerobic digestion (AD) is organized and governed, and explores the social challenges involved in structuring the sector around a possible “European model”. Following a social science perspective, it presents a systematic review of 64 French- and English-language articles drawn from 16 academic databases. The findings highlight five key dynamics. First, there is a shift from farmer-led to increasingly industrial models of AD. Second, diverse and hybrid business models are emerging, involving new forms of multi-scale coordination. Third, the sector remains structurally dependent on public subsidies and on regulatory frameworks. Fourth, the economic viability of AD for farmers remains uncertain, driving a transition from cogeneration to biomethane injection. Fifth, tensions develop between rural place-based imaginaries and the realities of globalized energy networks. These patterns underscore the complexity of biogas sector-building in Europe and the competing narratives shaping its evolution. We argue that agricultural AD cannot be reduced to a unified trajectory, but reflects ongoing negotiations over energy models, territorial development and socio-technical legitimacy. This paper concludes by discussing the implications of these dynamics for the sustainability and fairness of future b</w:t>
      </w:r>
    </w:p>
    <w:p>
      <w:r>
        <w:t>POSSIBLE 2024: Ancillary services in power system transition toward a 100% non-fossil future: Market design challenges in the United States and Europe — https://doi.org/10.1016/j.epsr.2024.110885</w:t>
      </w:r>
    </w:p>
    <w:p>
      <w:r>
        <w:t>Shared claim-specific concepts: presents, challenges, increasing, energy; EU scope visible. This is a provisional connection, not an outcome finding.</w:t>
      </w:r>
    </w:p>
    <w:p>
      <w:r>
        <w:t>Available abstract (not full text): The expansion of variable generation has driven a transition toward a 100% non-fossil power system. New system needs are challenging system stability and suggesting the need for a redesign of the ancillary service (AS) markets. This paper presents a comprehensive and broad review for industrial practitioners and academic researchers regarding the challenges and potential solutions to accommodate high shares of variable renewable energy (VRE) generation levels. We detail the main drivers enabling the energy transition and facilitating the provision of ASs. A systematic review of the United States and European AS markets is conducted. We clearly organize the main ASs in a standard taxonomy, identifying current practices and initiatives to support the increasing VRE share. Furthermore, we envision the future of modern AS markets, proposing potential solutions for some remaining fundamental technical and market design challenges.</w:t>
      </w:r>
    </w:p>
    <w:p>
      <w:r>
        <w:t>POSSIBLE 2024: Rare disease clinical trials in the European Union: navigating regulatory and clinical challenges — https://doi.org/10.1186/s13023-024-03146-5</w:t>
      </w:r>
    </w:p>
    <w:p>
      <w:r>
        <w:t>Shared claim-specific concepts: presents, challenges, increasing, union; EU scope visible. This is a provisional connection, not an outcome finding.</w:t>
      </w:r>
    </w:p>
    <w:p>
      <w:r>
        <w:t>Available abstract (not full text):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r>
        <w:t>POSSIBLE 2024: Challenges and best practices in sustainable urban tourism development in Central and Eastern Europe — https://doi.org/10.4337/9781803926742.00041</w:t>
      </w:r>
    </w:p>
    <w:p>
      <w:r>
        <w:t>Shared claim-specific concepts: presents, challenges, increasing; EU scope visible. This is a provisional connection, not an outcome finding.</w:t>
      </w:r>
    </w:p>
    <w:p>
      <w:r>
        <w:t>Available abstract (not full text): Urban destinations worldwide face many challenges, including an increasing number of visitors, a growing number of people living in cities, and economic and environmental disruptions, to name but a few. Sustainable development of urban destinations is thus an important topic that researchers have started to examine over the past decade. Still, little has been written on sustainable tourism development and the challenges faced by city destinations from Central and Eastern Europe (CEE), a region with a tumultuous history, many conquests, turmoil, and displacements. These events are reflected in the rich culture and diverse traditions that are maintained even today in some cities from the region. This chapter aims to contribute to filling this gap by discussing the challenges faced by CEE countries in their efforts to promote and implement sustainable tourism initiatives, with a focus on urban destinations. Additionally, it briefly explores the situation of sustainable urban tourism in post-communist Romania and presents examples of best practice in sustainable tourism implementation from several CEE cities.</w:t>
      </w:r>
    </w:p>
    <w:p>
      <w:r>
        <w:t>POSSIBLE 2023: Challenges and opportunities of the European Critical Raw Materials Act — https://doi.org/10.1007/s13563-023-00394-y</w:t>
      </w:r>
    </w:p>
    <w:p>
      <w:r>
        <w:t>Shared claim-specific concepts: challenges, increasing, energy, union, achieving; EU scope visible. This is a provisional connection, not an outcome finding.</w:t>
      </w:r>
    </w:p>
    <w:p>
      <w:r>
        <w:t>Available abstract (not full text): Abstract The Critical Raw Materials Act (CRMA) is an essential regulatory framework designed to address the pressing challenges faced by the European Union (EU) in the strategic sectors of decarbonization, digitalization, and aerospace and defense. It aims to tackle the lack of secure and sustainable access to critical raw materials (CRMs) by increasing anticipation and mitigation of supply risks, fostering domestic CRM potential, and promoting sustainable sourcing practices. Part of a broader “Green Industrial Plan” and aligned with the “Net-Zero Industry Act” (NZIA), the CRMA strives to position the EU as a leading hub for clean tech industries. The NZIA and CRMA packages respond to international trends of protecting clean energy technology and resources, akin to the US Inflation Reduction Act. Defining materials as “strategic” based on their relevance and expected demand for strategic technologies, the CRMA regulation establishes benchmarks for minimum shares of EU demand to be covered by domestically sourced and processed as well as recycled raw materials and aims at reducing dependencies on single third country suppliers in all steps of the supply chain. A communication complements the regulation by focusing on increasing CRM supply security and sustainability through circularity, standardization efforts, skill development, and strategic actions for research and innovation</w:t>
      </w:r>
    </w:p>
    <w:p>
      <w:r>
        <w:t>POSSIBLE 2023: EUROPEAN PRACTICES OF RURAL GREEN TOURISM: CHALLENGES AND PROSPECTS — https://doi.org/10.30525/2256-0742/2023-9-5-275-282</w:t>
      </w:r>
    </w:p>
    <w:p>
      <w:r>
        <w:t>Shared claim-specific concepts: presents, challenges, context; EU scope visible. This is a provisional connection, not an outcome finding.</w:t>
      </w:r>
    </w:p>
    <w:p>
      <w:r>
        <w:t>Available abstract (not full text): The relevance of researching rural green tourism in Europe is an important field that offers tourists the opportunity to enjoy nature and the countryside, interact with locals and participate in authentic rural life. Implementing environmentally sustainable green tourism practices will help conserve natural resources and reduce the environmental impact of tourism. Encouraging the development of local entrepreneurship and crafts can contribute to preserving the authenticity and economic development of rural areas. Rural green tourism can become a forum for cultural exchange between tourists and local people, promoting mutual understanding. A balanced approach that takes into account infrastructure needs, environmental sustainability, cultural aspects and the participation of local communities is key to the successful development of rural green tourism in Europe. The purpose of the study is to consider the theoretical and practical aspects of European practices of rural green tourism in the context of challenges, to analyse the prospects and opportunities for the development of rural green tourism. The research methodology of the topic includes the systemic method, which recognises the importance of studying the rural green tourism system in Europe, considering its elements and their interaction. The structural method aims at revealing the structure of the object, identifying the</w:t>
      </w:r>
    </w:p>
    <w:p>
      <w:r>
        <w:t>POSSIBLE 2023: Climate Change in Europe — https://doi.org/10.1201/9781003404194-3</w:t>
      </w:r>
    </w:p>
    <w:p>
      <w:r>
        <w:t>Shared claim-specific concepts: presents, challenges, union, achieving, climate, neutrality; EU scope visible. This is a provisional connection, not an outcome finding.</w:t>
      </w:r>
    </w:p>
    <w:p>
      <w:r>
        <w:t>Available abstract (not full text): This chapter presents an evaluation of the historical and projected impacts of climate change in Europe. The evaluation reveals that climate change manifests in various forms across all European regions, including warming temperatures, altered precipitation patterns, increased frequency and duration of heatwaves and droughts, and intensified coastal flooding events. Furthermore, several European nations – notably Germany, the United Kingdom, France, Italy, and Spain – have historically contributed significantly to global greenhouse gas (GHG) emissions. However, between 1990 and 2020, many of these countries successfully reduced their emissions; for instance, emissions from the European Union decreased by 31% during this period. Notably, a substantial portion of this reduction occurred during the COVID-19 pandemic. There is optimism that Europe may become the world&amp;s;s first carbon-neutral bloc by 2050 as European nations are currently implementing strategies and policies aimed at significantly reducing GHG emissions. Nevertheless, achieving climate neutrality by 2050 will depend on Europe&amp;s;s ability to address several critical challenges outlined in this chapter over the coming years.</w:t>
      </w:r>
    </w:p>
    <w:p>
      <w:r>
        <w:t>POSSIBLE 2023: Public Debt and Economic Growth after Covid-19 in Europe: Challenges and Policy Implications — https://doi.org/10.5539/res.v15n4p31</w:t>
      </w:r>
    </w:p>
    <w:p>
      <w:r>
        <w:t>Shared claim-specific concepts: presents, challenges, investments; EU scope visible. This is a provisional connection, not an outcome finding.</w:t>
      </w:r>
    </w:p>
    <w:p>
      <w:r>
        <w:t>Available abstract (not full text):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r>
        <w:t>POSSIBLE 2023: OPINIONS OF EUROPEAN MANAGERS ON THE CHALLENGES OF TEAM MANAGEMENT IN MULTICULTURAL WORK ENVIRONMENTS — https://doi.org/10.34739/zn.2023.61.01</w:t>
      </w:r>
    </w:p>
    <w:p>
      <w:r>
        <w:t>Shared claim-specific concepts: presents, challenges, increasing, context; EU scope visible. This is a provisional connection, not an outcome finding.</w:t>
      </w:r>
    </w:p>
    <w:p>
      <w:r>
        <w:t>Available abstract (not full text): In contemporary companies, the knowledge and experience of both employees and managers significantly influence decision-making, operational effectiveness, and strategy implementation, especially in conditions of the continuously increasing role played by international cooperation. Multiculturalism is not only a common feature of companies which operate in the global market but also increasingly a key factor when it comes to people management. Although cultural diversity can bring many positive effects, it can also be a source of a range of problems. Thus it is so important for managers of culturally diverse teams to understand the essence of multiculturalism, to be able to manage cultural diversity skilfully, and to endorse values and adhere to principles which are highly relevant in multicultural work environments. The study presented in the article (individual in-depth interviews) was conducted among managers from six European countries. The main aim of the study was to identify challenges posed by multicultural work environments based on the opinions of managers who work with multicultural teams. The theoretical part of the article explains the concept of multiculturalism and presents multiculturalism in the context of management in contemporary work environments. The empirical part discusses the results of the interviews and the resulting conclusions. Undoubtedly, multicult</w:t>
      </w:r>
    </w:p>
    <w:p>
      <w:pPr>
        <w:pStyle w:val="Heading2"/>
      </w:pPr>
      <w:r>
        <w:t>Soil Governance in current European Union Law and in the European Green Deal</w:t>
      </w:r>
    </w:p>
    <w:p>
      <w:r>
        <w:t>Original source (2022): https://doi.org/10.1016/j.soisec.2022.100053</w:t>
      </w:r>
    </w:p>
    <w:p>
      <w:r>
        <w:t>Original wording (abstract; indexed_source_text_not_full_document_verified): This is all the more true as the United Nations' 2030 Agenda has set in motion a process that will have far-reaching implications for connected thinking: Sustainable Development Goal 15 and its target 15.3 stipulate that land degradation neutrality should be achieved by 2030, although this is not binding.</w:t>
      </w:r>
    </w:p>
    <w:p>
      <w:r>
        <w:t>POSSIBLE 2025: A systematic review of regulatory strategies and transparency mandates in AI regulation in Europe, the United States, and Canada — https://doi.org/10.1017/dap.2024.54</w:t>
      </w:r>
    </w:p>
    <w:p>
      <w:r>
        <w:t>Shared claim-specific concepts: all, united, although, not; EU scope visible. This is a provisional connection, not an outcome finding.</w:t>
      </w:r>
    </w:p>
    <w:p>
      <w:r>
        <w:t>Available abstract (not full text): Abstract In this paper, we provide a systematic review of existing artificial intelligence (AI) regulations in Europe, the United States, and Canada. We build on the qualitative analysis of 129 AI regulations (enacted and not enacted) to identify patterns in regulatory strategies and in AI transparency requirements. Based on the analysis of this sample, we suggest that there are three main regulatory strategies for AI: AI-focused overhauls of existing regulation, the introduction of novel AI regulation, and the omnibus approach. We argue that although these types emerge as distinct strategies, their boundaries are porous as the AI regulation landscape is rapidly evolving. We find that across our sample, AI transparency is effectively treated as a central mechanism for meaningful mitigation of potential AI harms. We therefore focus on AI transparency mandates in our analysis and identify six AI transparency patterns: human in the loop, assessments, audits, disclosures, inventories, and red teaming. We contend that this qualitative analysis of AI regulations and AI transparency patterns provides a much needed bridge between the policy discourse on AI, which is all too often bound up in very detailed legal discussions and applied sociotechnical research on AI fairness, accountability, and transparency.</w:t>
      </w:r>
    </w:p>
    <w:p>
      <w:r>
        <w:t>POSSIBLE 2025: Reimagining Workforce Development: A Critical Analysis of Approaches in Europe, Singapore, and the United States — https://doi.org/10.1002/ace.20556</w:t>
      </w:r>
    </w:p>
    <w:p>
      <w:r>
        <w:t>Shared claim-specific concepts: all, united; EU scope visible. This is a provisional connection, not an outcome finding.</w:t>
      </w:r>
    </w:p>
    <w:p>
      <w:r>
        <w:t>Available abstract (not full text): ABSTRACT This chapter examines three distinct approaches to lifelong learning to illustrate workforce and societal development efforts in Europe, Singapore, and the United States. The case studies bring to the fore various complex issues, including, in the case of Europe, ensuring more equitable access to workforce development initiatives for all. Singapore's size and single coordinating platform of the SkillsFuture movement allow for both opportunities and challenges to entrench lifelong learning within its citizenry. In the United States, the competing concerns of state, federal, and local levels make for a varied mixture of lifelong learning offerings and, along with it, the need to maneuver different levels to achieve goals. The case studies allow for insights and reflection into the possibilities available and difficulties to be navigated in the global workforce development and lifelong learning landscape.</w:t>
      </w:r>
    </w:p>
    <w:p>
      <w:r>
        <w:t>POSSIBLE 2025: Critical materials and manufacturing: Comparing China, the European Union, Japan, and the United States — https://doi.org/10.1016/j.rcradv.2025.200250</w:t>
      </w:r>
    </w:p>
    <w:p>
      <w:r>
        <w:t>Shared claim-specific concepts: all, true, united; EU scope visible. This is a provisional connection, not an outcome finding.</w:t>
      </w:r>
    </w:p>
    <w:p>
      <w:r>
        <w:t>Available abstract (not full text): Manufacturers in all countries rely on supply chains for raw material inputs and intermediate products. Different supply chains, and different stages in supply chains, are more or less important and risky for some countries than for others. This study compares material criticality in China, the European Union(EU), Japan, and the United States(US). It assesses supply chain risk (two stages: mining, processing) and economic importance for twelve materials representing infrastructure, battery, specialty, and other materials. Overall, the mining stage is the source of greater risk than processing in China, while the reverse is true for the US. The EU and Japan have higher supply risk than the US and China. Japan has the greatest number of materials with both high supply risk and economic importance. Materials with the greatest difference in criticality between regions are rare-earths and aluminum at the processing stage, and lithium, nickel, and cobalt at the mining stage.</w:t>
      </w:r>
    </w:p>
    <w:p>
      <w:r>
        <w:t>POSSIBLE 2025: Burden of infectious disease studies in Europe and the United Kingdom: a review of methodological design choices — https://openalex.org/W7137495731</w:t>
      </w:r>
    </w:p>
    <w:p>
      <w:r>
        <w:t>Shared claim-specific concepts: all, united; EU scope visible. This is a provisional connection, not an outcome finding.</w:t>
      </w:r>
    </w:p>
    <w:p>
      <w:r>
        <w:t>Available abstract (not full text):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r>
        <w:t>POSSIBLE 2024: Cohort Differences in Physical Health and Disability in the United States and Europe — https://doi.org/10.1093/geronb/gbae113</w:t>
      </w:r>
    </w:p>
    <w:p>
      <w:r>
        <w:t>Shared claim-specific concepts: all, united, not; EU scope visible. This is a provisional connection, not an outcome finding.</w:t>
      </w:r>
    </w:p>
    <w:p>
      <w:r>
        <w:t>Available abstract (not full text): OBJECTIVES: Declines in mortality have historically been associated with improvements in physical health across generations. While life expectancy in most high-income countries continues to increase, there is evidence that younger generations, particularly in the United States, are less healthy than previous generations at the same age. We compared generational trends in physical health in the United States, England, and continental Europe to explore whether other regions have experienced a similar pattern of worsening health across cohorts. METHODS: Using data from nationally representative studies of adults aged ≥50 years from the United States (Health and Retirement Study, n = 26,939), England (English Longitudinal Study of Ageing, n = 14,992) and 11 continental European countries (Survey of Health, Ageing and Retirement in Europe, n =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successive cohorts in all regions. Trends in disability prevalence were more regionally varied. Still, in both the United States and Europe, we observed a structural break in disability trends, with declines observed in prew</w:t>
      </w:r>
    </w:p>
    <w:p>
      <w:r>
        <w:t>POSSIBLE 2024: Generational differences in physical health and disability in the United States and Europe — https://doi.org/10.1101/2024.01.16.24301347</w:t>
      </w:r>
    </w:p>
    <w:p>
      <w:r>
        <w:t>Shared claim-specific concepts: all, united, not; EU scope visible. This is a provisional connection, not an outcome finding.</w:t>
      </w:r>
    </w:p>
    <w:p>
      <w:r>
        <w:t>Available abstract (not full text): Objectives: Declines in mortality have typically been associated with improvements in physical health across generations. While life expectancy in most high-income countries continues to increase, there is evidence that younger generations, particularly in the United States (US), are less healthy than previous generations at the same age. We compared generational trends in physical health in the US, England, and continental Europe to explore whether other regions have experienced a similar pattern of worsening health across cohorts. Methods: 72,595), we estimated differences in the age-adjusted prevalence of self-reported chronic disease and disability and observer-measured health indicators across pseudo-birth cohorts (born &lt;1925, 1925-1935, 1936-1945, 1946-1954, 1955-1959). Results: Age-adjusted prevalence of doctor-diagnosed chronic disease increased across cohorts in all regions. Trends in disability prevalence were more regionally varied. Still, in both the US and Europe, we observed a structural break in disability trends, with declines observed in pre-war cohorts slowing, stalling, or reversing for cohorts born since 1945. Discussion: In all regions, we found evidence for worsening health across cohorts, particularly for those born since 1945. While more chronic disease in younger cohorts need not necessarily translate to worse quality of life or higher rates of function</w:t>
      </w:r>
    </w:p>
    <w:p>
      <w:r>
        <w:t>POSSIBLE 2023: Burden of infectious disease studies in Europe and the United Kingdom: a review of methodological design choices — https://doi.org/10.1017/s0950268823000031</w:t>
      </w:r>
    </w:p>
    <w:p>
      <w:r>
        <w:t>Shared claim-specific concepts: all, united; EU scope visible. This is a provisional connection, not an outcome finding.</w:t>
      </w:r>
    </w:p>
    <w:p>
      <w:r>
        <w:t>Available abstract (not full text): This systematic literature review aimed to provide an overview of the characteristics and methods used in studies applying the disability-adjusted life years (DALY) concept for infectious diseases within European Union (EU)/European Economic Area (EEA)/European Free Trade Association (EFTA) countries and the United Kingdom. Electronic databases and grey literature were searched for articles reporting the assessment of DALY and its components. We considered studies in which researchers performed DALY calculations using primary epidemiological data input sources. We screened 3053 studies of which 2948 were excluded and 105 studies met our inclusion criteria. Of these studies, 22 were multi-country and 83 were single-country studies, of which 46 were from the Netherlands. Food- and water-borne diseases were the most frequently studied infectious diseases. Between 2015 and 2022, the number of burden of infectious disease studies was 1.6 times higher compared to that published between 2000 and 2014. Almost all studies (97%) estimated DALYs based on the incidence- and pathogen-based approach and without social weighting functions; however, there was less methodological consensus with regards to the disability weights and life tables that were applied. The number of burden of infectious disease studies undertaken across Europe has increased over time. Development and use of guidelines</w:t>
      </w:r>
    </w:p>
    <w:p>
      <w:pPr>
        <w:pStyle w:val="Heading2"/>
      </w:pPr>
      <w:r>
        <w:t>Surveillance and Foresight Process of the Sustainable City Context: Innovation Potential Niches and Trends at the European Level</w:t>
      </w:r>
    </w:p>
    <w:p>
      <w:r>
        <w:t>Original source (2022): https://doi.org/10.3390/su14148795</w:t>
      </w:r>
    </w:p>
    <w:p>
      <w:r>
        <w:t>Original wording (abstract; indexed_source_text_not_full_document_verified): Much of the pollution and energy consumption is attributed to cities, which are expected to increase in size and population in the coming years. In this regard, different agendas, strategies, and regulations have been published, such as the 2030 Agenda.</w:t>
      </w:r>
    </w:p>
    <w:p>
      <w:r>
        <w:t>POSSIBLE 2026: Air pollution hotspots in the European Union: A city-level risk assessment — https://doi.org/10.18686/cest622</w:t>
      </w:r>
    </w:p>
    <w:p>
      <w:r>
        <w:t>Shared claim-specific concepts: much, pollution, energy, increase; EU scope visible. This is a provisional connection, not an outcome finding.</w:t>
      </w:r>
    </w:p>
    <w:p>
      <w:r>
        <w:t>Available abstract (not full text): Urban air pollution remains a major challenge for public health and environmental sustainability across the European Union. While much of the existing literature relies on national-level indicators, city-level analyses are essential for identifying persistent urban hotspots and spatial inequalities in exposure. This study examines annual PM2.5 concentrations in European capitals between 2021 and 2024 using data from the IQAir database, which provides harmonized, high-resolution information on fine particulate matter. Geospatial analysis and GeoAI-inspired exploratory approaches were employed to support the identification of intra- and inter-urban pollution patterns. The results reveal a structural break in 2022, when the energy crisis coincided with a temporary increase in PM2.5 concentrations, interrupting an otherwise improving trend. Systematic differences were observed between Western–Northern capitals, which exhibited lower concentrations and more favorable trends, and Eastern–Southern capitals, where exceedances persisted throughout the study period. A focused comparison of Budapest with Vienna, Warsaw, and Prague highlights the intermediate position of the Hungarian capital within Central Europe. Overall, the findings demonstrate the sensitivity of urban air quality to external shocks and the persistence of spatial disparities, while illustrating the potential of open-ac</w:t>
      </w:r>
    </w:p>
    <w:p>
      <w:r>
        <w:t>POSSIBLE 2025: "Biomass crops for sustainable energy in Europe: contributions to bioenergy, environment, and energy security" — https://doi.org/10.1080/17429145.2025.2564839</w:t>
      </w:r>
    </w:p>
    <w:p>
      <w:r>
        <w:t>Shared claim-specific concepts: pollution, energy, consumption, population; EU scope visible. This is a provisional connection, not an outcome finding.</w:t>
      </w:r>
    </w:p>
    <w:p>
      <w:r>
        <w:t>Available abstract (not full text):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r>
        <w:t>POSSIBLE 2025: Air pollution inequalities in Europe: A deeper understating of challenges in Eastern Europe and pathways forward towards closing the gap between East and West — https://doi.org/10.1097/ee9.0000000000000383</w:t>
      </w:r>
    </w:p>
    <w:p>
      <w:r>
        <w:t>Shared claim-specific concepts: much, pollution, energy, attributed, cities, population; EU scope visible. This is a provisional connection, not an outcome finding.</w:t>
      </w:r>
    </w:p>
    <w:p>
      <w:r>
        <w:t>Available abstract (not full text): What this study adds: In this commentary, we address the environmental inequalities in Europe, specifically related to air pollution exposure and related health burden disparities between Western and Eastern Europe. We first, provide a background for the causes of these inequalities and links with socioeconomic and demographic circumstances. We showcase, in more detail, air quality levels, monitoring, health research, and burden situation in four Eastern European countries (Serbia, Poland, Latvia, and Bulgaria), and briefly explain links with road traffic noise and climate change challenges in the region. At the end, we summarize several pathways and recommendations for going forward and overcoming air pollution exposure and the health burden gap in Europe.Background Air pollution is the biggest environmental stressor responsible for over 420,000 premature deaths in Europe in 2022,1 from cardiovascular diseases, chronic and infectious respiratory diseases, lung cancer, and type-2 diabetes.2 Air pollution levels in Europe have declined in the last decades, which has, at least in part, been attributed to successful European Union (EU) legislation. Ambient Air Quality Directive (AAQD)3 in 2008 set air quality standards (annual mean 25 µg/m3 for particulate matter with diameter &lt;2.5 µm [PM2.5] and 40 µg/m3 for nitrogen dioxide [NO2]). These declines are most prominent in Western an</w:t>
      </w:r>
    </w:p>
    <w:p>
      <w:r>
        <w:t>POSSIBLE 2024: Reducing pollution and economic sustainability policies from the use of renewable energy in European Union nations — https://doi.org/10.61435/ijred.2024.53205</w:t>
      </w:r>
    </w:p>
    <w:p>
      <w:r>
        <w:t>Shared claim-specific concepts: much, pollution, energy, consumption; EU scope visible. This is a provisional connection, not an outcome finding.</w:t>
      </w:r>
    </w:p>
    <w:p>
      <w:r>
        <w:t>Available abstract (not full text): A major challenge facing humans in the 21st century is how to strike a balance between the mitigation of environmental degradation and the achievement of sustainable economic growth. On this note, this investigation applies an autoregressive distributed lag (ARDL) methodology to a panel data of 28 European Union (EU-28) countries over the period 2000-2020. The study confirms the existence of positive and significant long-run nexus among environmental sustainability, renewable energy consumption and economic growth in the EU-28 countries. In addition, empirical results indicate that real gross fixed capital formation, carbon emissions and other environmental factors are principal determinants of long-run growth in the EU. Using Dumitrescu and Hurlin (2012) Granger non-causality in heterogeneous panel, results show long-run bidirectional causal relationships among renewable energy consumption, economic growth and other growth determinants. Based on these results, infer that the exploitation of renewable energy sources in the EU-28 countries is a reliable pathway toward environmental pollution mitigation. This indicates that achieving the sustainable development goals (SDGs) by the year 2030 through renewable energy consumption and carbon emission mitigation is very much achievable in the EU-28 countries, and should also be adopted by all countries as an effective global policy.</w:t>
      </w:r>
    </w:p>
    <w:p>
      <w:r>
        <w:t>POSSIBLE 2024: Energy, Energy Subsidies and Economic Planning Gone Wild — https://doi.org/10.4324/9781003308225-14</w:t>
      </w:r>
    </w:p>
    <w:p>
      <w:r>
        <w:t>Shared claim-specific concepts: much, pollution, energy, consumption, increase; EU scope visible. This is a provisional connection, not an outcome finding.</w:t>
      </w:r>
    </w:p>
    <w:p>
      <w:r>
        <w:t>Available abstract (not full text): Energy is enormously important for modern economies. Because of its economic and social importance, the production and end-use cost of energy are of keen interest to governments around the world. Governments will therefore sometimes explicitly or implicitly subsidize energy. Measuring subsidies is tricky, but where they exist, they reduce incentives for conservation and promote energy use, with sometimes enormous budgetary and pollution consequences. In general, energy subsidies reduce social welfare, though subsidies that address externalities, such as indoor air pollution from biomass fuels, may increase human welfare. All energy subsidies must be analyzed carefully because of potential lock-in effects. Comprehensive economic planning in the so-called Soviet Bloc was an extreme example of what can occur when subsidies are substantial. Though we may not know for sure how much of the extra environmental damage done there was directly due to energy subsidies, we know that energy in the Soviet Bloc was much cheaper than in the West. When the system fully ended in August 1991, energy and other prices shot up, consumption of energy fell, and pollution problems came to look much more like those in Western Europe. Now 11 of the 27 members of the European Union are former Soviet Bloc members.</w:t>
      </w:r>
    </w:p>
    <w:p>
      <w:r>
        <w:t>POSSIBLE 2023: A comprehensive insight into Waste to Energy conversion strategies in India and its associated air pollution hazard — https://doi.org/10.1016/j.eti.2023.103017</w:t>
      </w:r>
    </w:p>
    <w:p>
      <w:r>
        <w:t>Shared claim-specific concepts: much, pollution, energy, strategies; EU scope visible. This is a provisional connection, not an outcome finding.</w:t>
      </w:r>
    </w:p>
    <w:p>
      <w:r>
        <w:t>Available abstract (not full text): With the increasing demand for cheap energy sources, Waste-to-Energy (WtE) strategies are gaining importance across the world. In India, such strategies have a two-way benefit i.e., generating electricity using municipal solid waste and helping in solid waste management by reducing the need for landfill sites. In this review, the focus has been given to identifying and analysing toxicological problems related to major air pollutants emitted during the WtE conversion process. Depending upon the country and state, the nature of solid waste and emission standards vary which directly impacts air quality standards and steps required to reduce such emissions. In India, the percentage of wet solid waste is much higher than dry solid waste which significantly deters the economic and technical feasibility of WtE plants. The heating value of solid waste reduces significantly when improper waste segregation occurs which is detrimental from both the electricity generation and pollution viewpoint. These problems associated with solid waste management have been covered in detail in the manuscript. This review article also provides a comparative study of Indian WtE plants with their global specifically European counterparts. The adverse effect of pollutants emitted from WtE plants on human health has been discussed in the article along with the air pollution control methods to mitigate the pr</w:t>
      </w:r>
    </w:p>
    <w:p>
      <w:r>
        <w:t>POSSIBLE 2023: Globalization and Pollution in Central and Eastern European EU Countries — https://doi.org/10.61225/rjrs.2023.03</w:t>
      </w:r>
    </w:p>
    <w:p>
      <w:r>
        <w:t>Shared claim-specific concepts: pollution, energy, consumption; EU scope visible. This is a provisional connection, not an outcome finding.</w:t>
      </w:r>
    </w:p>
    <w:p>
      <w:r>
        <w:t>Available abstract (not full text): Pollution and globalization are current challenges for Central and Eastern Europe (CEE), especially in the context of negative effects of globalization on environment. The aim of this paper is to assess the impact of globalization index on CO2 emissions in the CEE countries that joined the EU in the period 2005-2021. The results based on a panel data approach with DOLS/FMOLS estimators confirm the hypothesis that globalization enhances pollution in this region, but a non-linear relationship was validated between CO2 emissions and globalization index. After reaching a maximum level, the CO2 emissions begin to decrease, while globalization enhances. On the other hand, economic freedom and electricity prices in household consumers had a positive impact on pollution. Renewable energy consumption has the capacity to reduce pollution, while higher electricity prices for non-household users discourage economic activities, which contribute to environmental protection. These empirical findings could support policy proposals to reduce pollution in this region.</w:t>
      </w:r>
    </w:p>
    <w:p>
      <w:r>
        <w:t>POSSIBLE 2023: Impact of 2020 COVID-19 lockdowns on particulate air pollution across Europe — https://doi.org/10.5194/acp-23-10145-2023</w:t>
      </w:r>
    </w:p>
    <w:p>
      <w:r>
        <w:t>Shared claim-specific concepts: pollution, expected, size; EU scope visible. This is a provisional connection, not an outcome finding.</w:t>
      </w:r>
    </w:p>
    <w:p>
      <w:r>
        <w:t>Available abstract (not full text): Abstract. To fight against the first wave of Coronavirus disease 2019 (COVID-19) in 2020, lockdown measures were implemented in most European countries. These lockdowns had well-documented effects on human mobility. We assessed the impact of the lockdown implementation and relaxation on air pollution by comparing daily particulate matter (PM), nitrogen dioxide (NO2), and ozone (O3) concentrations, as well as particle number size distributions (PNSD) and particle light absorption coefficients in-situ measurement data with values expected if no COVID-19 epidemic had occurred at 28 sites across Europe for the period 17 February – 31 May 2020. Expected PM, NO2 and O3 concentrations were calculated from the 2020 Copernicus Atmospheric Monitoring Service (CAMS) Ensemble forecasts, combined with 2019 CAMS Ensemble forecasts and measurement data. On average, lockdown implementations did not lead to a decrease in PM2.5 mass concentrations at urban sites, while relaxations resulted in a +26 ± 21% rebound. The impacts of lockdown implementation and relaxation on NO2 concentrations were more consistent (−29 ± 17 %, and +31 ± 30 %, respectively). The implementation of the lockdown measures also induced statistically significant increases in O3 concentrations at half of all sites (+13 % on average). An enhanced oxidizing capacity of the atmosphere could have boosted the production of seconda</w:t>
      </w:r>
    </w:p>
    <w:p>
      <w:r>
        <w:t>POSSIBLE 2023: Assessing the environmental impacts of renewable energy sources: A case study on air pollution and carbon emissions in China — https://doi.org/10.1016/j.jenvman.2023.118525</w:t>
      </w:r>
    </w:p>
    <w:p>
      <w:r>
        <w:t>Shared claim-specific concepts: pollution, energy, consumption, increase, strategies; EU scope not established. This is a provisional connection, not an outcome finding.</w:t>
      </w:r>
    </w:p>
    <w:p>
      <w:r>
        <w:t>Available abstract (not full text): This study investigates the impact of renewable and non-renewable energy sources on carbon emissions in the context of China's 14th Five-Year Plan (2021-2025). The plan emphasises a "Dual-control" strategy of simultaneously setting energy consumption limits and reducing energy intensity for GDP (gross domestic product) in order to meet the targets of the five-year plan. Using a comprehensive dataset of Chinese energy and macroeconomic information spanning from 1990 to 2022, we conduct a Granger causality analysis to explore the relationship between energy sources and the level of air pollution. Our findings reveal a unidirectional link, wherein renewable energy contributes to a reduction in air pollution, while non-renewable energy sources lead to an increase. Despite the government's investment in renewable energy, our results show that China's economy remains heavily reliant on traditional energy sources (e.g., fossil fuels). This research is the first systematic examination of the interplay between energy usage and carbon emissions in the Chinese context. Our findings provide valuable insights for policy and market strategies aimed at promoting carbon neutrality and driving technological advancements in both government and industries.</w:t>
      </w:r>
    </w:p>
    <w:p>
      <w:r>
        <w:t>POSSIBLE 2023: Is there a pollution haven in European Union global value chain participation? — https://doi.org/10.1007/s10668-023-03563-9</w:t>
      </w:r>
    </w:p>
    <w:p>
      <w:r>
        <w:t>Shared claim-specific concepts: pollution, energy, consumption; EU scope visible. This is a provisional connection, not an outcome finding.</w:t>
      </w:r>
    </w:p>
    <w:p>
      <w:r>
        <w:t>Available abstract (not full text): Abstract This paper aims to test the pollution haven hypothesis within the European Union (EU), especially among newcomer countries, through the participation in global value chains (GVCs). The study used a combination of multiregional input–output method and multilevel mixed econometric analysis to investigate the relationship between global value chain trade flows, foreign direct investment flows, energy consumption, and carbon emissions across countries, sectors, and time. The study tested both the “pollution haven” and “pollution halo” hypotheses and found a non-linear relationship between foreign capital flows and carbon emissions, which became less relevant after the economic integration process. The results suggest the existence of a pollution haven in Europe. Although Eastern economies still exhibit problematic issues in relation to pollution control, they have made significant progress in reducing their emissions intensity. The conclusions include some policy recommendations based on the main findings of the research.</w:t>
      </w:r>
    </w:p>
    <w:p>
      <w:pPr>
        <w:pStyle w:val="Heading2"/>
      </w:pPr>
      <w:r>
        <w:t>The Boundaries of Scientific Innovation in the EU Green Deal Context</w:t>
      </w:r>
    </w:p>
    <w:p>
      <w:r>
        <w:t>Original source (2022): https://doi.org/10.2478/rtuect-2022-0010</w:t>
      </w:r>
    </w:p>
    <w:p>
      <w:r>
        <w:t>Original wording (abstract; indexed_source_text_not_full_document_verified): The European Union has frequently taken an active role in international climate policy by developing relevant strategies in as early as the nineties the last century, and today promoting an ambitious EU Green Deal to become climate neutral by 2050.</w:t>
      </w:r>
    </w:p>
    <w:p>
      <w:r>
        <w:t>POSSIBLE 2026: The European Union — https://doi.org/10.60054/peu.2026.13.20-34</w:t>
      </w:r>
    </w:p>
    <w:p>
      <w:r>
        <w:t>Shared claim-specific concepts: union, role, ambitious; EU scope visible. This is a provisional connection, not an outcome finding.</w:t>
      </w:r>
    </w:p>
    <w:p>
      <w:r>
        <w:t>Available abstract (not full text): Over the past decade, the European Union has faced a series of overlapping crises - from the sovereign debt crisis and Brexit to the COVID-19 pandemic and geopolitical challenges. This article proposes that these recurrent shocks can be understood not only as policy challenges but as a process of collective institutional grief, reflecting the gradual changes of the EU’s integration model. Using the Kübler-Ross model of grief as a heuristic framework, the study examines how denial, anger, bargaining, depression, and acceptance manifest in EU institutions, political discourse, and policy responses. The analysis highlights that while the EU often oscillates between incremental solutions and ambitious rhetoric, acceptance, understood as a conscious political choice rather than resignation, is crucial for enabling strategic renewal, and strengthening the Union’s social and global role. By applying the Kübler-Ross model lens, this article offers a diagnostic perspective on the EU’s present and pathways for its future political development.</w:t>
      </w:r>
    </w:p>
    <w:p>
      <w:r>
        <w:t>POSSIBLE 2026: The New Role of the European Union and Its Global Projects — https://doi.org/10.46340/eppd.2026.13.3.2</w:t>
      </w:r>
    </w:p>
    <w:p>
      <w:r>
        <w:t>Shared claim-specific concepts: union, frequently, taken, role, international, relevant; EU scope visible. This is a provisional connection, not an outcome finding.</w:t>
      </w:r>
    </w:p>
    <w:p>
      <w:r>
        <w:t xml:space="preserve">Available abstract (not full text): The transformation of the international system from a bipolar Cold War structure to a fluid and dynamic multipolar world has significantly altered the roles and responsibilities of major global actors.Under these new geopolitics, the European Union (EU) has shifted towards recalibrating its role on the global stage.No longer constrained by the limits of economic integration and regional peacebuilding, the EU has increasingly taken on a more expansive and ambitious role in international affairs.This reflects internal dynamics within the Union and pressures from the outside due to globalization, the rise of powers, and a waning liberal international order.Historically conceived as a project for economic cooperation and conflict prevention among European nations, the EU has grown into a unique supranational entity with expansive influence in trade, environmental policy, digital governance, and normative diplomacy.As a regulatory superpower, the EU's requirements frequently require worldwide guidelines, especially in data protection, the reasonable opposition rule, and natural lifestyle sustainability.This "Brussels effect" enables the Union to extend power without conventional weapons use but instead on the strength of its internal market and governance model.In an increasingly competitive and interlinked world, the EU aims to be relevant and a key stakeholder in defining the new </w:t>
      </w:r>
    </w:p>
    <w:p>
      <w:r>
        <w:t>POSSIBLE 2025: LOBBYING IN THE EUROPEAN UNION — https://doi.org/10.25234/eclic/38141</w:t>
      </w:r>
    </w:p>
    <w:p>
      <w:r>
        <w:t>Shared claim-specific concepts: union, role, international, strategies, become; EU scope visible. This is a provisional connection, not an outcome finding.</w:t>
      </w:r>
    </w:p>
    <w:p>
      <w:r>
        <w:t>Available abstract (not full text): The legislation procedure within the European Union (EU) legal system is determined by the sources of EU law. Therefore, the legal acts adopted by the EU institutions are the instruments by which the application of its public policies is regulated. The process of adopting legal regulations is provided for by the creation of the public policies of the EU, which are at the same time influenced by the number of actors involved. Various political groups and the public administration of the EU play a significant role in creating the EU’s public policies. However, informal actors such as interest groups and lobbies play an increasingly important role in this process. Due to the participation of interest groups and lobbyists in the process of creating the EU’s public policies, and consequently their implementation, their influence on the EU policies has been transformed and increased in comparison with previous decades. Thus, interest groups and lobbies have become leading actors on the European scene, influencing the law and the economy of the EU through legitimate means, which has consequently also affected its member states and international relations. This paper aims to show how the interest groups and lobbies legally operate within the European legal system, illustrating at the same time the EU mechanisms of lobbying regulation, as well as showing the consequences of the EU’s ins</w:t>
      </w:r>
    </w:p>
    <w:p>
      <w:r>
        <w:t>POSSIBLE 2024: Soil pollution in the European Union – An outlook — https://doi.org/10.1016/j.envsci.2024.103876</w:t>
      </w:r>
    </w:p>
    <w:p>
      <w:r>
        <w:t>Shared claim-specific concepts: union, relevant; EU scope visible. This is a provisional connection, not an outcome finding.</w:t>
      </w:r>
    </w:p>
    <w:p>
      <w:r>
        <w:t>Available abstract (not full text): Soil pollution in the European Union (EU) is poorly quantified, because of several years of reduced attention and limited funding on soil research and monitoring.Moreover, issues such as different monitoring methodologies within Member States (MS), and quantification methods focused on pseudototal rather than the available fraction of pollutants, has been limiting our understanding of risk under soil pollution.Despite that, thanks to efforts from the scientific community, it was possible to achieve some progress, which is by far insufficient for the problem at hand.In the anticipation of future policy demands and towards a common strategy for tackling soil pollution in the EU, it seemed relevant to describe the limited knowledge and main uncertainties.Such analysis should provide evidence for the development of efficient policies, as well as updating current ones to better tackle the interdisciplinary of soil.This perspective provides our view on current knowledge on soil pollution at EU scale, by compiling the most updated assessments made at EU scale, identifying soil pollution drivers, impacts on health and the environment, and evaluating current state of knowledge.Allowing us to infer about current level of uncertainties and knowledge gaps and identify solutions through future research and policies.Our suggestions are in line with an increasing investment on research and in</w:t>
      </w:r>
    </w:p>
    <w:p>
      <w:r>
        <w:t>POSSIBLE 2024: Credit Claiming in the European Union — https://doi.org/10.1086/732970</w:t>
      </w:r>
    </w:p>
    <w:p>
      <w:r>
        <w:t>Shared claim-specific concepts: union, frequently, strategies; EU scope visible. This is a provisional connection, not an outcome finding.</w:t>
      </w:r>
    </w:p>
    <w:p>
      <w:r>
        <w:t>Available abstract (not full text): Incumbents in multilevel systems are assumed to exploit uncertainty of responsibility by claiming credit and shifting blame, yet little is known about when and how they engage in these rhetorical strategies. This article draws on the example of Europe’s multilevel system of governance to argue that electoral incentives determine governments’ presentation of the European Union (EU) in their domestic public spheres. I use an original dataset of over 6,000 classified statements by heads of government presenting the outcomes of EU summits to their national media between 2005 and 2018 and find that governments both claim credit for themselves and share credit with other levels of government. Governments are more likely to claim credit when domestic Euroskepticism is high and for issues that are salient to domestic audiences. Findings challenge the conventional view that the EU receives little recognition from politicians in domestic public spheres and that governments frequently shift blame onto the EU. Rather, the EU is credited for policy issues citizens care less about, whereas governments claim credit for issues that are electorally salient. Findings have implications for democratic accountability in multilevel systems of governance.</w:t>
      </w:r>
    </w:p>
    <w:p>
      <w:r>
        <w:t>POSSIBLE 2023: The European Union One Health 2022 Zoonoses Report — https://doi.org/10.2903/j.efsa.2023.8442</w:t>
      </w:r>
    </w:p>
    <w:p>
      <w:r>
        <w:t>Shared claim-specific concepts: union, frequently, relevant, last; EU scope visible. This is a provisional connection, not an outcome finding.</w:t>
      </w:r>
    </w:p>
    <w:p>
      <w:r>
        <w:t>Available abstract (not full text):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r>
        <w:t>POSSIBLE 2023: Digitalisation and Economic Growth in the European Union — https://doi.org/10.3390/electronics12071718</w:t>
      </w:r>
    </w:p>
    <w:p>
      <w:r>
        <w:t>Shared claim-specific concepts: union, taken; EU scope visible. This is a provisional connection, not an outcome finding.</w:t>
      </w:r>
    </w:p>
    <w:p>
      <w:r>
        <w:t>Available abstract (not full text):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pPr>
        <w:pStyle w:val="Heading2"/>
      </w:pPr>
      <w:r>
        <w:t>The Conference on the Future of Europe: possible scenarios of the forthcoming European Perestroika</w:t>
      </w:r>
    </w:p>
    <w:p>
      <w:r>
        <w:t>Original source (2022): https://doi.org/10.21128/1812-7126-2022-1-14-42</w:t>
      </w:r>
    </w:p>
    <w:p>
      <w:r>
        <w:t>Original wording (abstract; indexed_source_text_not_full_document_verified):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w:t>
      </w:r>
    </w:p>
    <w:p>
      <w:r>
        <w:t>POSSIBLE 2025: PROBATION WORK DEVELOPMENT DIRECTIONS IN THE LIGHT OF THE EUROPEAN PROBATION RULES — https://doi.org/10.5604/01.3001.0055.0535</w:t>
      </w:r>
    </w:p>
    <w:p>
      <w:r>
        <w:t>Shared claim-specific concepts: directions, within, scope; EU scope visible. This is a provisional connection, not an outcome finding.</w:t>
      </w:r>
    </w:p>
    <w:p>
      <w:r>
        <w:t>Available abstract (not full text): This article focuses on the European Probation Rules of 2010. It shows their genesis, the objectives taken into account in the course of work on them and the basic principles of probation activities formulated in them. Much attention was paid to terminological problems resulting from the diversity of agencies dealing with probation work in individual European countries. Probation work according to the European Probation Rules is essentially related to the implementation of community sanctions and measures imposed on adult suspects and convicted persons. The tasks of probation officers for family cases in Poland do not fall within the scope of probation activities understood in this way. The European Probation Rules cannot be ignored in works on the strategy for development of the probation service in Poland. However, the differences in the tasks and working methods of probation officers for adult offenders and for family cases should also be taken into account.</w:t>
      </w:r>
    </w:p>
    <w:p>
      <w:r>
        <w:t>POSSIBLE 2024: Investigating the heterogeneity within Wild bird indices in Europe — https://doi.org/10.1016/j.biocon.2024.110452</w:t>
      </w:r>
    </w:p>
    <w:p>
      <w:r>
        <w:t>Shared claim-specific concepts: within, common, between; EU scope visible. This is a provisional connection, not an outcome finding.</w:t>
      </w:r>
    </w:p>
    <w:p>
      <w:r>
        <w:t>Available abstract (not full text):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r>
        <w:t>POSSIBLE 2024: European Integration and Globalisation of Ukraine's Digital Economy: Strategic Directions and Prospects — https://doi.org/10.56294/sctconf2024.656</w:t>
      </w:r>
    </w:p>
    <w:p>
      <w:r>
        <w:t>Shared claim-specific concepts: directions, need, solutions, strategies; EU scope visible. This is a provisional connection, not an outcome finding.</w:t>
      </w:r>
    </w:p>
    <w:p>
      <w:r>
        <w:t>Available abstract (not full text): This article examines the digital transformation of Ukraine's economy through European integration. It highlights prospects for digitalization, including economic growth, innovation, and strengthened ties with the EU, alongside challenges such as public sector inefficiencies, investment risks, and slow reforms. Digitalization is emphasized as a driver of innovative development and a foundation for economic cooperation with the EU. The study combines expert analysis from SCOPUS, Web of Science, and Ukrainian data (2019–2023) to evaluate conditions, risks, and opportunities. Key findings include the need for enhanced investor protections, alignment with EU standards, and personalized digital strategies to reduce risks and promote growth. Despite progress, gaps remain in public sector digitalization, governance, and technology adoption. Addressing these issues can unlock Ukraine's digital potential, boosting competitiveness and integration into the EU market. The research proposes a tailored framework for implementing digital transformation, emphasizing flexibility, efficiency, and personalized solutions. These advancements aim to strengthen Ukraine's global market position and ensure sustainable economic growth</w:t>
      </w:r>
    </w:p>
    <w:p>
      <w:r>
        <w:t>POSSIBLE 2024: MIGRATION POLICY DIRECTIONS OF THE EUROPEAN UNION FOR FOREIGN SKILLED WORKERS: SUPRANATIONAL LEVEL — https://doi.org/10.35678/2539-5645.1(44).2024.50-57</w:t>
      </w:r>
    </w:p>
    <w:p>
      <w:r>
        <w:t>Shared claim-specific concepts: directions, within, between; EU scope visible. This is a provisional connection, not an outcome finding.</w:t>
      </w:r>
    </w:p>
    <w:p>
      <w:r>
        <w:t>Available abstract (not full text): The innovative development of the economies of the European Union continuously increases the demand for skilled professionals, which cannot be met solely through internal labor resources (intra-European mobility). In this regard, labor migration, particularly the stimulation of the influx of foreign skilled workers, plays a vital role in addressing the imbalance of supply and demand in the European labor market. This article examines the migration policy instruments of the European Union, applied at the supranational level and aimed at mitigating the imbalance between the growing demand for skilled professionals and the limited supply in the regional labor market. It argues that the overall vector of the EU's migration policy, as an integration union, is oriented towards attracting and accumulating potential (foreign students, interns, doctoral candidates) and actual skilled professionals within its territory, in line with the current and future needs of the European labor market, thereby contributing to the achievement of the strategic goals of the social, economic, and innovative development of the EU.</w:t>
      </w:r>
    </w:p>
    <w:p>
      <w:pPr>
        <w:pStyle w:val="Heading2"/>
      </w:pPr>
      <w:r>
        <w:t>The European Union as a long-term political actor: an overview</w:t>
      </w:r>
    </w:p>
    <w:p>
      <w:r>
        <w:t>Original source (2022): https://doi.org/10.1080/2474736x.2022.2043725</w:t>
      </w:r>
    </w:p>
    <w:p>
      <w:r>
        <w:t>Original wording (abstract; indexed_source_text_not_full_document_verified): We ask in which ways and to what extent is the Union able to employ long-term policy targets and considers the possible interests of future generations.</w:t>
      </w:r>
    </w:p>
    <w:p>
      <w:r>
        <w:t>POSSIBLE 2026: Democratic legitimacy and the European Citizens' Initiative: a recipe for disappointment and disaffection? — https://doi.org/10.82444/warw.33734965</w:t>
      </w:r>
    </w:p>
    <w:p>
      <w:r>
        <w:t>Shared claim-specific concepts: ask, ways, extent, union, able; EU scope visible. This is a provisional connection, not an outcome finding.</w:t>
      </w:r>
    </w:p>
    <w:p>
      <w:r>
        <w:t>Available abstract (not full text): The European Union has long been argued to suffer from a deficit of democratic legitimacy. One recent innovation introduced with the intention of addressing this deficit is the European Citizens’ Initiative (ECI), a means by which 1 million EU citizens can ask the European Commission to propose new legislation. In 2015, three years following its introduction, opinions on the performance of the ECI amongst EU politicians, journalists and campaigners are tinged with disappointment and disaffection. This thesis asks to what extent the sceptics are warranted in their frustrations towards the ECI or whether it is able to live up to the high expectations of the EU institutions at the time of its introduction. By drawing analytic criteria directly from the theory of democratic legitimacy and applying them in a systemic manner, I address how the ECI can, in principle, and has thus far, in practice, affected the EU in terms of inclusion in policy making, impacts on policy outcomes, and the pursuit of normatively justifiable and salient issues. Using case studies of the first four ECI campaigns registered by the Commission, I argue that the ECI has the potential to contribute to the inclusion of EU policy making through the activation and formation of multiple, issue-specific demoi in the EU, which can form the basis of democratic legitimacy. I also find the ECI capable of producing tang</w:t>
      </w:r>
    </w:p>
    <w:p>
      <w:r>
        <w:t>POSSIBLE 2026: The ‘European sovereignty’ narrative: More EU capacity, but less democracy? Citizens' perceptions in France and Belgium — https://doi.org/10.54195/plc.24877</w:t>
      </w:r>
    </w:p>
    <w:p>
      <w:r>
        <w:t>Shared claim-specific concepts: ask, ways, extent; EU scope visible. This is a provisional connection, not an outcome finding.</w:t>
      </w:r>
    </w:p>
    <w:p>
      <w:r>
        <w:t>Available abstract (not full text): As part of the growing academic interest in the reception of European narratives, our research explores the ‘European sovereignty narrative’ (ESN). We focus on two countries that represent different ways to relate to sovereignty: France, the archetypal ‘strong state’ advocating national sovereignty; and Belgium, a ‘weak state’ accustomed to pooling sovereignty. Based on a survey of a representative sample of the population, we ask: How is the ESN perceived by citizens in France and Belgium? We study, first, to what extent and how the ESN is perceived by citizens in France and Belgium. We focus, next, on its interpretation around two main meanings ascribed to sovereignty: political sovereignty, as the capacity to act, and popular sovereignty, as democratic accountability. Our results show that the knowledge, meanings, and priorities attributed to the ESN are comparable in both countries, albeit with nuances. French respondents are more familiar with the notion of (European) sovereignty than Belgian respondents due to its presence in national political culture and its extensive use by French politicians. However, they may find it less compatible with national sovereignty. Regarding the meaning of the ESN, ‘European sovereignty’ is more associated with the EU’s political capacity to act (political sovereignty) than with debates about democratic accountability and the capacity of c</w:t>
      </w:r>
    </w:p>
    <w:p>
      <w:r>
        <w:t>POSSIBLE 2025: To what extent can the European Union contribute to a feminist climate policy? — https://doi.org/10.4324/9781003461005-6</w:t>
      </w:r>
    </w:p>
    <w:p>
      <w:r>
        <w:t>Shared claim-specific concepts: extent, union; EU scope visible. This is a provisional connection, not an outcome finding.</w:t>
      </w:r>
    </w:p>
    <w:p>
      <w:r>
        <w:t>Available abstract (not full text): The EU presents itself as a global climate actor and a global gender actor. Although it has not introduced a Feminist Foreign Policy (FFP) or a Feminist Climate Policy (FCP), there are calls for it to do so, from civil society organisations and from within its own institutions, particularly the European Parliament. Tracing the relation between FFP and FCP, this chapter asks to what extent the EU can contribute to the latter. It does so through a combination of content analysis of key EU policy documents and a feminist institutionalist analysis of EU climate policy. Civil society documents, drawn from organisations that advocate for an FCP in the EU, are used to inform the analysis and to expose the differences between the meanings attributed to the term ‘feminist’ by the various actors. The chapter concludes that the EU has the potential to contribute to an FCP, but this potential has not yet been realised. It argues that an EU FCP has to be more than a climate-focused version of FFP.</w:t>
      </w:r>
    </w:p>
    <w:p>
      <w:r>
        <w:t>POSSIBLE 2025: Criminal law and discrimination in Europe: Towards critical race theory approaches? — https://doi.org/10.4337/9781789906318.00036</w:t>
      </w:r>
    </w:p>
    <w:p>
      <w:r>
        <w:t>Shared claim-specific concepts: ways, extent, considers, interests; EU scope visible. This is a provisional connection, not an outcome finding.</w:t>
      </w:r>
    </w:p>
    <w:p>
      <w:r>
        <w:t>Available abstract (not full text): Race and the criminal law are closely intertwined in the European context. The social category of race haunts both the formulation and operationalisation of criminal law, including in aspects of statutory law and in judicial opinions. Race functions as a category of analysis and as an explicit feature of law only in certain areas of the criminal law; in other areas, it is absent—unspoken, unwritten, and, in many cases, its mention is avoided. The lack of clear and explicit treatment of race in the criminal law often leaves deep analysis of racialisation and disparate impact in the shadows of the interest in maintaining concepts of law and democracy that insist on the general presumption of law's colour-blindness.The entanglement of the social and legal category of race, the production and execution of criminal law, and the interests and the justificatory logics of state institutions constitute a complex and changing terrain of socio-legal analysis. The majority of this chapter sets out frames for organising an approach to this terrain, underscoring the importance of paying close attention to the specificity of the race concept in European contexts, how social racism impacts the criminal law, the ways criminal law and (civil) racial equality laws interact, and novel ways in which civilians are made to enforce criminal laws. This chapter does not provide a comprehensive survey of</w:t>
      </w:r>
    </w:p>
    <w:p>
      <w:r>
        <w:t>POSSIBLE 2024: Flexibility Stigma Across Europe: How National Contexts can Shift the Extent to which Flexible Workers are Stigmatised — https://doi.org/10.1007/s11205-024-03420-w</w:t>
      </w:r>
    </w:p>
    <w:p>
      <w:r>
        <w:t>Shared claim-specific concepts: extent, union; EU scope visible. This is a provisional connection, not an outcome finding.</w:t>
      </w:r>
    </w:p>
    <w:p>
      <w:r>
        <w:t>Available abstract (not full text): Abstract Although flexible working has expanded rapidly, especially during the pandemic, biased views against flexible workers – namely, flexibility stigma - are still prevalent and returning. Flexibility stigma hinders worker’s take up of flexible working arrangements and can make flexible working arrangements result in negative outcomes for worker’s well-being and productivity. This study examines how national cultural and policy contexts shape flexibility stigma levels within a country. We use a multilevel approach using the Eurobarometer dataset of 2018, covering 28 European countries, matched with national level aggregate data on policy and culture. Results show that in countries with a more work-life balance work culture and egalitarian gender norms, we see less prevalence of flexibility stigma. Similarly, in countries with generous family-friendly policies, workers are less likely to have negative perception towards flexible working. Finally, stronger bargaining positions of workers, may it be through stronger union power or through better labour market conditions, helps remove stigmatised views around workers who use flexible working arrangements. This study evidences the importance of contexts that shape views around flexible working, to help us better understand policy changes needed to ensure better flexible working practices.</w:t>
      </w:r>
    </w:p>
    <w:p>
      <w:pPr>
        <w:pStyle w:val="Heading2"/>
      </w:pPr>
      <w:r>
        <w:t>The Futures of Europe: Society 5.0 and Industry 5.0 as Driving Forces of Future Universities</w:t>
      </w:r>
    </w:p>
    <w:p>
      <w:r>
        <w:t>Original source (2022): https://doi.org/10.1007/s13132-021-00854-2</w:t>
      </w:r>
    </w:p>
    <w:p>
      <w:r>
        <w:t>Original wording (abstract; indexed_source_text_not_full_document_verified): Incorporating the assumptions of Society 5.0 and Industry 5.0 into the universities practices and policies will allow both universities and societies to fully benefit from digital transformation. The use of the Quintuple Helix Model (QHM) might foster the process of necessary transformations capacities as it integrates different perspectives and sets the stage for sustainability priorities and considerations.</w:t>
      </w:r>
    </w:p>
    <w:p>
      <w:r>
        <w:t>POSSIBLE 2026: Representations of the Concept of Civil Society in Brazil — https://openalex.org/W7221581217</w:t>
      </w:r>
    </w:p>
    <w:p>
      <w:r>
        <w:t>Shared claim-specific concepts: assumptions, society, both; EU scope visible. This is a provisional connection, not an outcome finding.</w:t>
      </w:r>
    </w:p>
    <w:p>
      <w:r>
        <w:t>Available abstract (not full text): This research project examines how the concept of civil society may be shaped by Eurocentric assumptions and the implications this has for civil society outside Europe. It has two main aims: i) to present Brazilian civil society through the perspectives of civil society actors themselves and ii) to investigate less Eurocentric approaches to studying civil society. The development of the concept of civil society in Europe is outlined in the theoretical part, which then presents various academic dialogues relating to Eurocentrism as well as key debates over civil society in Brazil. The chosen methodology was an analysis of 40 open-access blogs written by actors in Brazilian civil society. Key themes were first identified through thematic analysis and subsequently developed through frame analysis into seven interpretive frames arising from the data. These seven frames and their analysis, with reference to the theory, form the results section of this project. The project further incorporates a reflexive methodological component, which examines how civil society can be studied while minimising Eurocentrism, drawing on insights from both the literature and the data analysed. Key words: Brazil; civil society; Eurocentrism; frame analysis; reflexivity,</w:t>
      </w:r>
    </w:p>
    <w:p>
      <w:r>
        <w:t>POSSIBLE 2026: Updated PM2.5 Mortality Estimates for Europe in Coming Decades via the CATALYSE Project — https://doi.org/10.5194/egusphere-egu26-18901</w:t>
      </w:r>
    </w:p>
    <w:p>
      <w:r>
        <w:t>Shared claim-specific concepts: assumptions, practices, policies, societies, use; EU scope visible. This is a provisional connection, not an outcome finding.</w:t>
      </w:r>
    </w:p>
    <w:p>
      <w:r>
        <w:t>Available abstract (not full text): The EU’s CATALYSE project (Climate Action to Advance Healthy Societies in Europe) aims to close the knowledge-to-action gap concerning environmental hazards linked to climate change and their effects on human health in Europe. In doing so, CATALYSE will fortify the science-to-policy interface by providing actionable policy scenarios for Europe for the coming decades. Four such policy scenarios for Europe (spanning 2020 to 2050) have been developed under CATALYSE, each with differing assumptions concerning energy use, agricultural practices, and air quality controls and policies: [1] a business-as-usual Reference Scenario, [2] a Green Deal Scenario, which incorporates the climate targets of the EU's Green Deal, [3] a Beyond Green Deal Scenario, which adds behavioural change policies associated with buildings, transport, and food sectors, and [4] a Beyond Green Deal - 90% Optimization Scenario, which adds enhanced end-of-pipe air pollution control measures. Each of the four scenarios results in differing PM2.5 -precursor emissions between 2020 and 2050. We have implemented the emissions output from the four CATALYSE scenarios as input in the EMAC atmospheric model (Jöckel et al. 2006), simulating the years 2020, 2030, 2040, and 2050, in order to evaluate each scenario’s impact on PM2.5 concentrations in Europe specifically. We estimate the European mortality burden from these PM2</w:t>
      </w:r>
    </w:p>
    <w:p>
      <w:r>
        <w:t>POSSIBLE 2026: Inclusion and Gender Empowerment in European Civil Society Organisations — https://openalex.org/W7137625942</w:t>
      </w:r>
    </w:p>
    <w:p>
      <w:r>
        <w:t>Shared claim-specific concepts: society, practices, both, foster, process; EU scope visible. This is a provisional connection, not an outcome finding.</w:t>
      </w:r>
    </w:p>
    <w:p>
      <w:r>
        <w:t>Available abstract (not full text): This book aims to rethink the intersection between inclusion and gender in civil society, media, academic, and policy discourses across Europe. With a critical and participatory approach, this book advances the concept of ‘situated intersectionality’ to rethink empowerment as a dynamic process shaped by local contexts. Drawing on rich data from the Horizon Europe project ReIncluGen, this book examines discourses on gender empowerment and inclusion in Austria, Belgium, Italy, Poland, and Spain. From both academic and civil society perspectives, the volume explores how these discourses are addressed, as well as how they contribute to, or reduce, inequalities. These insights further our understanding, reflecting on innovative practices used by civil society and policymakers to foster social change. This book assembles chapters that will be of interest to scholars and students of gender studies, sociology, migration, and media studies, as well as practitioners, policymakers, and CSOs working on issues of migration, diversity, equality, and inclusion. It offers valuable insights for anyone seeking to understand and support inclusive practices that foster a more equitable European future.</w:t>
      </w:r>
    </w:p>
    <w:p>
      <w:r>
        <w:t>POSSIBLE 2025: Management of epithelial precancerous conditions and early neoplasia of the stomach (MAPS III): European Society of Gastrointestinal Endoscopy (ESGE), European Helicobacter and Microbiota Study Group (EHMSG) and European Society of Pathology (ESP) Guideline update 2025 — https://doi.org/10.1055/a-2529-5025</w:t>
      </w:r>
    </w:p>
    <w:p>
      <w:r>
        <w:t>Shared claim-specific concepts: society, both, use, necessary; EU scope visible. This is a provisional connection, not an outcome finding.</w:t>
      </w:r>
    </w:p>
    <w:p>
      <w:r>
        <w:t>Available abstract (not full text): Main Recommendations At a population level, the European Society of Gastrointestinal Endoscopy (ESGE), the European Helicobacter and Microbiota Study Group (EHMSG), and the European Society of Pathology (ESP) suggest endoscopic screening for gastric cancer (and precancerous conditions) in high-risk regions (age-standardized rate [ASR] &gt; 20 per 100 000 person-years) every 2 to 3 years or, if cost–effectiveness has been proven, in intermediate risk regions (ASR 10–20 per 100 000 person-years) every 5 years, but not in low-risk regions (ASR &lt; 10). ESGE/EHMSG/ESP recommend that irrespective of country of origin, individual gastric risk assessment and stratification of precancerous conditions is recommended for first-time gastroscopy. ESGE/EHMSG/ESP suggest that gastric cancer screening or surveillance in asymptomatic individuals over 80 should be discontinued or not started, and that patients’ comorbidities should be considered when treatment of superficial lesions is planned. ESGE/EHMSG/ESP recommend that a high quality endoscopy including the use of virtual chromoendoscopy (VCE), after proper training, is performed for screening, diagnosis, and staging of precancerous conditions (atrophy and intestinal metaplasia) and lesions (dysplasia or cancer), as well as after endoscopic therapy. VCE should be used to guide the sampling site for biopsies in the case of suspected neoplastic l</w:t>
      </w:r>
    </w:p>
    <w:p>
      <w:r>
        <w:t>POSSIBLE 2025: Agroecology Living Labs to transform food systems: a critical review at the science-policy-society nexus in Europe — https://doi.org/10.1080/21683565.2025.2560915</w:t>
      </w:r>
    </w:p>
    <w:p>
      <w:r>
        <w:t>Shared claim-specific concepts: both, transformation, foster, process; EU scope visible. This is a provisional connection, not an outcome finding.</w:t>
      </w:r>
    </w:p>
    <w:p>
      <w:r>
        <w:t>Available abstract (not full text): Agroecology Living Labs (ALL) are a promising approach to support food system transformation toward sustainability. Amid rapid uptake in Europe, we critically review the foundational literature supporting ALL: sustainable transition and innovation theories and the literature on agricultural knowledge and innovation systems to highlight transformative potential. To conduct this review, a diverse team of both social and natural scientists engaged in a co-creation process. We found that transformative ALL: 1) align methods with agroecology principles, 2) utilize place-based transformation approaches, and 3) foster a paradigm shift to participatory knowledge production. We identify seeds of transformation or cross-cutting characteristics across dominant theories and research approaches to fill political space and support transformative ALL. The first seed emphasizes moving beyond technical innovation toward socio-ecological system governance. The second seed promotes developing ALL at the territory/landscape scale as a mediator for open innovation across the science-policy-society nexus. The third seed highlights the transformative potential of inclusive and participatory knowledge production within structures that scale via networks. ALL, if methodically facilitated and supported across decision-making scales, have the potential to usher in a new transformative participatory parad</w:t>
      </w:r>
    </w:p>
    <w:p>
      <w:r>
        <w:t>POSSIBLE 2025: European Vision of a Gigabit Society: Evidence from Poland — https://doi.org/10.3390/su17031271</w:t>
      </w:r>
    </w:p>
    <w:p>
      <w:r>
        <w:t>Shared claim-specific concepts: society, industry, digital, transformation, use; EU scope visible. This is a provisional connection, not an outcome finding.</w:t>
      </w:r>
    </w:p>
    <w:p>
      <w:r>
        <w:t>Available abstract (not full text): Digital transformation is a key driver of economic and social growth, with the development of broadband infrastructure and fifth-generation (5G) technologies forming the foundation of the Gigabit Society under the framework of the “Digital Decade of Europe”. Digitization also plays a key role in achieving the Sustainable Development Goals (SDGs), especially SDG 9 (Industry, Innovation and Infrastructure) by contributing to the development of smart cities and improving resource management and citizens’ quality of life. This article critically analyzes Poland’s progress in achieving European digital objectives drawing on European Commission data, especially the Digital Economy and Society Index (DESI). Poland has expanded fiber optic technology (FTTP) and digital public services. However, barriers include limited 5G implementation, low digital skills, and minimal use of advanced technologies in business. The results indicate the need for further regulatory reforms, increased investment, and systemic support for digital education. This article contributes by linking digital policy and technology to sustainable economic and social development in national and European contexts.</w:t>
      </w:r>
    </w:p>
    <w:p>
      <w:r>
        <w:t>POSSIBLE 2025: On Heuristic Models, Assumptions, and Parameters — https://doi.org/10.1145/3735562</w:t>
      </w:r>
    </w:p>
    <w:p>
      <w:r>
        <w:t>Shared claim-specific concepts: assumptions, society, process; EU scope not established. This is a provisional connection, not an outcome finding.</w:t>
      </w:r>
    </w:p>
    <w:p>
      <w:r>
        <w:t>Available abstract (not full text): Insightful interdisciplinary collaboration is essential to the principled governance of technology. When such efforts address the interaction between computation and society, they often focus on modeling, the process by which computer scientists formally define problems in order to enable algorithmic solutions. But modeling is a multifaceted and inherently imperfect process. Especially in interdisciplinary work, it often receives uneven scrutiny because of the practical challenges of communicating complex technical details to non-experts. We argue that there is an underappreciated if loose family of obscure and opaque technical caveats, choices, and qualifiers that the social effects of computing can depend just as much on as far more heavily scrutinized modeling choices. These artifacts are often used by researchers to article over the incomplete theoretical foundations of computing or to burden shift responsibility for the impact of normative design decisions. Furthermore, their nuanced technical nature often complicates thorough sociotechnical scrutiny of the discretionary decisions made to manage them. We describe three specific classes of such objects: heuristic models, assumptions, and parameters. We raise six reasons these objects may be hazardous to comprehensive analysis of computing and argue they deserve deliberate consideration as researchers explain scientific work</w:t>
      </w:r>
    </w:p>
    <w:p>
      <w:r>
        <w:t>POSSIBLE 2024: Meeting Abstracts for the Society for Simulation in Europe 2024 — https://doi.org/10.1186/s41077-024-00287-2</w:t>
      </w:r>
    </w:p>
    <w:p>
      <w:r>
        <w:t>Shared claim-specific concepts: society, both; EU scope visible. This is a provisional connection, not an outcome finding.</w:t>
      </w:r>
    </w:p>
    <w:p>
      <w:r>
        <w:t>Available abstract (not full text): Advances in Simulation 2024, 9(1): O1 man cohort.In conclusion, the multidimensional assessment model used in our study was able to discriminate between 3rd and 4th year residents in both cohorts, demonstrating validity, but did not show differences among residents from two different training systems.</w:t>
      </w:r>
    </w:p>
    <w:p>
      <w:r>
        <w:t>POSSIBLE 2024: Assumptions and simplifications in discrete-event simulation modelling — https://doi.org/10.1080/17477778.2024.2407369</w:t>
      </w:r>
    </w:p>
    <w:p>
      <w:r>
        <w:t>Shared claim-specific concepts: incorporating, assumptions; EU scope not established. This is a provisional connection, not an outcome finding.</w:t>
      </w:r>
    </w:p>
    <w:p>
      <w:r>
        <w:t>Available abstract (not full text): All discrete-event simulation models are approximations of the real system that they represent. It is through making assumptions and incorporating simplifications into such models that they become an approximation. However, despite their importance, the 4definition, role and management of assumptions and simplifications is not well understood. In this paper we explore assumptions and simplifications in discrete-event simulation modelling in detail. Our approach is firstly to explore the existing literature on this topic, and then to draw this together with our extensive experience of real projects to recommend an approach to managing assumptions and simplifications in a simulation study. In doing so, we locate the role of assumptions and simplifications in a simulation study against knowledge acquisition and model abstraction respectively. We define the terms “assumptions” and “simplifications”, also identifying the role of “simplifying assumptions”. An approach to documenting, assessing and treating assumptions and simplifications which has been implemented in real projects is then described; and it is illustrated through application to a Ford Motor Company case study. This paper provides much needed clarity on the topic of assumptions and simplifications in simulation modelling, and it sets out a means for managing assumptions and simplifications during a simulation study.</w:t>
      </w:r>
    </w:p>
    <w:p>
      <w:r>
        <w:t>POSSIBLE 2023: Introduction: Assimilation, integration or transnationalism? An overview of theories of migrant incorporation — https://doi.org/10.1111/imig.13118</w:t>
      </w:r>
    </w:p>
    <w:p>
      <w:r>
        <w:t>Shared claim-specific concepts: society, policies, both, societies, process; EU scope visible. This is a provisional connection, not an outcome finding.</w:t>
      </w:r>
    </w:p>
    <w:p>
      <w:r>
        <w:t>Available abstract (not full text): The incorporation of immigrants is one of the most important issues both in immigration research and for immigration societies. The question of how foreigners become members of a new society and are able to enjoy full access to social, economic and political rights has been as relevant for historical immigration processes like the 19th-century European immigration to the United States as it is for the recent Syrian refugee immigration to Europe or migrants from Latin America who are seeking to escape the violence and corruption in their home countries and are trying to cross the US southern border. To explain incorporation processes, two research paradigms have for a long time dominated scholarly and later also political debates. The first one, assimilation, was introduced as a scholarly concept at the end of the 19th century, but the article Racial Assimilation in Secondary Groups with Particular Reference to Negro by US sociologist Robert Park published in 1914 is widely considered the first seminal contribution on the topic. The ideas expressed by Park were further developed over the next decades, and in the 1980 s, the concept of assimilation crossed the Atlantic and was taken up by European sociologists. In Germany, in particular, US assimilation theory became the basis for one of the most important approaches, the integration concept by sociologist Hartmut Esser (1980, 20</w:t>
      </w:r>
    </w:p>
    <w:p>
      <w:pPr>
        <w:pStyle w:val="Heading2"/>
      </w:pPr>
      <w:r>
        <w:t>The July 2019 European Heat Wave in a Warmer Climate: Storyline Scenarios with a Coupled Model Using Spectral Nudging</w:t>
      </w:r>
    </w:p>
    <w:p>
      <w:r>
        <w:t>Original source (2022): https://doi.org/10.1175/jcli-d-21-0573.1</w:t>
      </w:r>
    </w:p>
    <w:p>
      <w:r>
        <w:t>Original wording (abstract; indexed_source_text_not_full_document_verified): By varying the background climate, including CO 2 concentrations, it is demonstrated how the July 2019 European heat wave could have evolved in preindustrial times and in warmer climates.</w:t>
      </w:r>
    </w:p>
    <w:p>
      <w:r>
        <w:t>POSSIBLE 2026: Research on climate effects of large herbivores in Europe: a systematic map — https://doi.org/10.1186/s13750-026-00392-x</w:t>
      </w:r>
    </w:p>
    <w:p>
      <w:r>
        <w:t>Shared claim-specific concepts: background, climate, including; EU scope visible. This is a provisional connection, not an outcome finding.</w:t>
      </w:r>
    </w:p>
    <w:p>
      <w:r>
        <w:t>Available abstract (not full text): Abstract Background Land management practices have significant impacts on biodiversity and climate change processes. Conservation and rewilding practitioners are increasingly seeking to enhance ecosystem functions and carbon sequestration simultaneously, encouraged by climate policies such as the European Green Deal. In recent years, ecosystem restoration involving large herbivores (≥ 10 kg) has attracted growing interest. However, the climate impacts of large herbivores are complex, including direct and indirect impacts from greenhouse gas (GHG) emissions, carbon storage, wildfire and albedo. These impacts can have cooling or warming effects and vary with species, herd density, season and habitat. To date, the diverse research on this topic has not been collated and categorised in a systematic map. Here, we present a systematic map of research on the climate effects of large herbivores in European terrestrial habitats, highlighting research distribution, clusters and gaps, and the potential for further quantitative analyses. We address the primary question of what research exists on the climate effects of large herbivores in Europe. Methods Following our pre-published protocol, we used a pre-defined search string to conduct a search of peer-reviewed and grey literature, using a range of bibliographic databases, search engines and websites. We screened search results for releva</w:t>
      </w:r>
    </w:p>
    <w:p>
      <w:r>
        <w:t>POSSIBLE 2025: Impact of climate and Aedes albopictus establishment on dengue and chikungunya outbreaks in Europe: a time-to-event analysis — https://doi.org/10.1016/s2542-5196(25)00059-2</w:t>
      </w:r>
    </w:p>
    <w:p>
      <w:r>
        <w:t>Shared claim-specific concepts: background, climate, warmer; EU scope visible. This is a provisional connection, not an outcome finding.</w:t>
      </w:r>
    </w:p>
    <w:p>
      <w:r>
        <w:t xml:space="preserve">Available abstract (not full text): BACKGROUND: The rapid spread of the Asian tiger mosquito (Aedes albopictus) poses a notable public health threat in Europe due to its ability to transmit tropical diseases such as dengue and chikungunya. We aimed to quantify the underlying drivers facilitating and accelerating Europe's transition from sporadic arbovirus outbreaks to Aedes-borne disease endemicity, focusing on dengue and chikungunya outbreaks. METHODS: We conducted a time-to-event analysis to investigate the period between establishment of Ae albopictus and autochthonous dengue and chikungunya outbreaks across Nomenclature of Territorial Units for Statistics (NUTS) 3 regions in the EU. We incorporated data from the European Centre for Disease Prevention and Control, WHO, technical and surveillance reports, and other entomological data sources on regional Ae albopictus establishment and subsequent dengue and chikungunya outbreaks from 1990 (when Ae albopictus was first introduced to an EU country) to 2024. The main outcome was survival time (ie, the time from Ae albopictus establishment to an outbreak of dengue or chikungunya), accounting for land-use types, demographic and socioeconomic factors, imported cases, and climatic variables via univariable and multivariable regression. To address recurrent outbreaks, we applied the Andersen-Gill extension of the Cox proportional hazards model to analyse all events. We </w:t>
      </w:r>
    </w:p>
    <w:p>
      <w:r>
        <w:t>POSSIBLE 2025: Climate change worry and the association with future depression and anxiety: cross-national analysis of 11 European countries — https://doi.org/10.1136/bmjment-2024-301318</w:t>
      </w:r>
    </w:p>
    <w:p>
      <w:r>
        <w:t>Shared claim-specific concepts: background, climate, wave; EU scope visible. This is a provisional connection, not an outcome finding.</w:t>
      </w:r>
    </w:p>
    <w:p>
      <w:r>
        <w:t>Available abstract (not full text): ABSTRACT BACKGROUND Climate change is one of the biggest threats to global health and can affect people’s mental health directly and indirectly. This study focused on the implications of climate change worry for mental health. OBJECTIVE To determine the association between climate change worry and future risk of depression, anxiety and sleep disturbance across 11 European countries. METHODS The study included 5,155 participants in the European Social Survey-10 (2020-22), which assessed climate change worry and subsequent follow-up CROss-National Online Survey 2 (CRONOS-2) wave 4, which measured symptoms of depression and anxiety (2022). Overall relationships between climate change worry and risk of depression, anxiety and sleep disturbance were explored using logistic regression models adjusting for potential confounders, then stratified by country. FINDINGS Climate change worry was associated with increased risk of anxiety (OR: 1.38, 95% CI: 1.13-1.68), but not depression (OR: 1.10, 95% CI: 0.94-1.29) or sleep disturbance (OR: 1.08, 95% CI: 0.92-1.27), in pooled analyses across countries. When stratified by country, climate worry had differing associations with the outcomes, with the strongest relationships between climate worry and anxiety found in Slovenia and Italy. CONCLUSIONS Climate change worry may contribute to clinically significant anxiety in some countries, but less</w:t>
      </w:r>
    </w:p>
    <w:p>
      <w:r>
        <w:t>POSSIBLE 2024: Cooling efficacy of trees across cities is determined by background climate, urban morphology, and tree trait — https://doi.org/10.1038/s43247-024-01908-4</w:t>
      </w:r>
    </w:p>
    <w:p>
      <w:r>
        <w:t>Shared claim-specific concepts: background, climate, heat, climates; EU scope not established. This is a provisional connection, not an outcome finding.</w:t>
      </w:r>
    </w:p>
    <w:p>
      <w:r>
        <w:t>Available abstract (not full text): Abstract Urban planners and other stakeholders often view trees as the ultimate panacea for mitigating urban heat stress; however, their cooling efficacy varies globally and is influenced by three primary factors: tree traits, urban morphology, and climate conditions. This study analyzes 182 studies on the cooling effects of urban trees across 17 climates in 110 global cities or regions. Tree implementation reduces peak monthly temperatures to below 26 °C in 83% of the cities. Trees can lower pedestrian-level temperatures by up to 12 °C through large radiation blockage and transpiration. In tropical, temperate, and continental climates, a mixed-use of deciduous and evergreen trees in open urban morphology provides approximately 0.5 °C more cooling than a single species approach. In arid climates, evergreen species predominate and demonstrate more effective cooling within compact urban morphology. Our study offers context-specific greening guidelines for urban planners to harness tree cooling in the face of global warming.</w:t>
      </w:r>
    </w:p>
    <w:p>
      <w:r>
        <w:t>POSSIBLE 2023: Costs and benefits of climate services for heat-health adaptation in Europe — https://doi.org/10.1093/eurpub/ckad160.371</w:t>
      </w:r>
    </w:p>
    <w:p>
      <w:r>
        <w:t>Shared claim-specific concepts: background, climate, heat; EU scope visible. This is a provisional connection, not an outcome finding.</w:t>
      </w:r>
    </w:p>
    <w:p>
      <w:r>
        <w:t>Available abstract (not full text): Abstract Background Climate services for health aim to support informed decision-making and enable early action and preparedness. More knowledge is still needed regarding the costs and benefits of climate services, as well as effectiveness, and technical, structural, and societal barriers and facilitators to implementation and use. Aim To map the evidence on the economic assessment and use of climate services for health in reducing heat-associated mortality and morbidity and explore the societal impact of climate services, particularly in Europe. Methods We focus on two methods in this study: 1) a scoping review of literature on the economic assessment and health benefit of climate services 2) a set of interviews with climate service developers and providers in Europe to understand further technical and societal aspects as well as evaluation of such services. Findings From the scoping review, a total of 27 peer-reviewed articles all presenting heat early warning systems (HEWS) that work on a weather timescale were identified. The results from economic assessment studies suggested HEWS can produce health benefits greater than the operational cost, even during future climate change scenarios. While most of the studies assessing health outcomes have suggested that HEWS can help in reducing heat-related mortality and morbidity, some concluded no significant impact and some suggeste</w:t>
      </w:r>
    </w:p>
    <w:p>
      <w:r>
        <w:t>POSSIBLE 2023: How future climate and tree distribution changes shape the biodiversity of macrofungi across Europe — https://doi.org/10.1111/ddi.13688</w:t>
      </w:r>
    </w:p>
    <w:p>
      <w:r>
        <w:t>Shared claim-specific concepts: varying, climate, including; EU scope visible. This is a provisional connection, not an outcome finding.</w:t>
      </w:r>
    </w:p>
    <w:p>
      <w:r>
        <w:t>Available abstract (not full text): Abstract Aim Climate change is affecting biodiversity at an accelerating rate. Despite the importance of fungi in ecosystems in general, and in the global carbon and nitrogen cycle in particular, there is little research on the response of fungi to climate change compared with plants and animals. Earlier studies show that climatic factors and tree species are key determinants of macrofungal diversity and distribution at large spatial scales. However, our knowledge of how climate change will affect macrofungal diversity and distribution in the future remains poorly understood. Location Europe. Methods Using openly available occurrence data of 1845 macrofungal species from eight European countries (i.e. Norway, Sweden, Finland, Denmark, Netherlands, Germany, France and Spain), we built ensemble species distribution models to predict macrofungal response to climate change alone and combined climate and tree distribution change under the IPCC special report on 2080 emissions scenarios (SRES A2 and B2). Results Considering climate change alone, we predict that about 77% (74.1%–80.7%) of the modelled species will expand their distribution range, and around 57% (56.1%–58.4%) of the modelled area will have an increase in macrofungal species richness. However, when considering the combined climate and tree species distribution change, only 50% (50%–50.9%) of the species are predicted to</w:t>
      </w:r>
    </w:p>
    <w:p>
      <w:r>
        <w:t>POSSIBLE 2023: Antimicrobial resistance in Germany and Europe – A systematic review on the increasing threat accelerated by climate change — https://doi.org/10.25646/11404</w:t>
      </w:r>
    </w:p>
    <w:p>
      <w:r>
        <w:t>Shared claim-specific concepts: background, climate, july, warmer; EU scope visible. This is a provisional connection, not an outcome finding.</w:t>
      </w:r>
    </w:p>
    <w:p>
      <w:r>
        <w:t>Available abstract (not full text): Background: Antimicrobial Resistance (AMR) is one of the top ten global public health threats facing humanity, alongside climate change. Here, we aim to summarise the effects of climate change (i.e. raise of temperature, change in humidity or precipitation) on spread of antibiotic resistance and on infections with antibiotic-resistant bacteria in Germany. Methods: We conducted a literature search with articles published between January 2012 and July 2022. Two authors screened titles, abstracts and full texts and extracted the data systematically. Results: From originally 2,389 titles, we identified six studies, which met our inclusion criteria. These studies show that an increase in temperature may lead to higher antibiotic resistance rates and an increased risk of colonisation as well as spread of pathogens. Furthermore, the number of healthcare-associated infections increases with increased temperature. Data indicate that higher antibiotic use is present in areas with warmer mean temperature. Conclusions: European data are scarce, but all studies identified point towards an increasing AMR burden due to climate change. However, further studies are needed to draw attention to the links between climatic factors and AMR and develop targeted preventive measures.</w:t>
      </w:r>
    </w:p>
    <w:p>
      <w:pPr>
        <w:pStyle w:val="Heading2"/>
      </w:pPr>
      <w:r>
        <w:t>The future of the Mediterranean agri-food systems: Trends and perspectives from a Delphi survey</w:t>
      </w:r>
    </w:p>
    <w:p>
      <w:r>
        <w:t>Original source (2022): https://doi.org/10.1016/j.landusepol.2022.106263</w:t>
      </w:r>
    </w:p>
    <w:p>
      <w:r>
        <w:t>Original wording (abstract; indexed_source_text_not_full_document_verified): First, to identify the main challenges, trends and driving forces that influence the agri-food systems in the Mediterranean over a short (2020) and medium (2030) term. Second, to discuss the alternative policy responses to the challenges that the region will face in terms of water resource management, farming systems and agri-food value chains in terms of desirability and feasibility.</w:t>
      </w:r>
    </w:p>
    <w:p>
      <w:r>
        <w:t>POSSIBLE 2026: IDENTIFYING THE MAIN FACTORS AFFECTING CAPITAL GROWTH — https://openalex.org/W7216652737</w:t>
      </w:r>
    </w:p>
    <w:p>
      <w:r>
        <w:t>Shared claim-specific concepts: main, influence, management; EU scope not established. This is a provisional connection, not an outcome finding.</w:t>
      </w:r>
    </w:p>
    <w:p>
      <w:r>
        <w:t>Available abstract (not full text): This thesis systematically analyzes the main factors affecting the capital growth of an enterprise. The study considers the factors divided into internal (endogenous) and external (exogenous) groups, reveals the mechanism of their influence on capital growth and their interrelationships. In addition, quantitative methods for assessing capital growth are presented - the DuPont model, the Higgins sustainable growth model and regression analysis approaches. The results of the study serve as a theoretical and practical basis for making effective strategic decisions in the financial management of an enterprise.</w:t>
      </w:r>
    </w:p>
    <w:p>
      <w:r>
        <w:t>POSSIBLE 2026: A Greedy First-Fit Heuristic for Reallocating Outpatient Surgeries from Main OR to Ambulatory Surgery Center — https://doi.org/10.46254/na11.20260153</w:t>
      </w:r>
    </w:p>
    <w:p>
      <w:r>
        <w:t>Shared claim-specific concepts: identify, main, systems; EU scope not established. This is a provisional connection, not an outcome finding.</w:t>
      </w:r>
    </w:p>
    <w:p>
      <w:r>
        <w:t>Available abstract (not full text): Operating room (OR) is among the most capital-intensive resources in health systems, yet inefficiencies persist in allocating outpatient surgery across facility types. Although ambulatory surgery centers (ASCs) are optimized for lower-acuity procedures, many eligible cases remain scheduled in higher-cost main hospital ORs, consuming prime-time capacity needed for emergent, complex, or inpatient surgeries and contributing to access delays. This study proposes a greedy first-fit scheduling heuristic to identify outpatient surgical cases eligible for transfer from the main OR and assign them to available ASC OR time slots. The approach is evaluated retrospectively using ten months of fiscal year 2025 EHR-derived surgical data from a pediatric health system with eight main ORs and four ASC ORs. Across the study period, the algorithm identified 2,071 movable outpatient cases and reassigned each without creating scheduling conflicts. Simulated reallocation increased aggregate ASC block utilization from 50.2% to 73.1% across the four ASC rooms, with room-level gains of 18.1–30.8%. These findings demonstrate that the proposed heuristic can serve as a prospective decision-support tool for optimizing surgical case allocation between the main OR and ASC. The algorithm is currently being used prospectively to support future scheduling decisions.</w:t>
      </w:r>
    </w:p>
    <w:p>
      <w:r>
        <w:t>POSSIBLE 2026: Identifying and Ranking the Eight Risks of AI for Each of the Six Main AI-Focused Fintech Business Models — https://doi.org/10.1007/978-3-032-18109-1_7</w:t>
      </w:r>
    </w:p>
    <w:p>
      <w:r>
        <w:t>Shared claim-specific concepts: first, identify, main, influence, second; EU scope not established. This is a provisional connection, not an outcome finding.</w:t>
      </w:r>
    </w:p>
    <w:p>
      <w:r>
        <w:t>Available abstract (not full text): This research explores the implications for risk of six AI-focused Fintech business models identified in the previous research. While each of the six business models has been validated in previous research, their typical influence on risk has not been sufficiently explored. A Delphi method with two stages is used. In the first stage, the semi-structured interviews with experts identify the main risks each of the six models faces. For the second stage the participants are presented with a summary of all the risks identified by all the participants, and they are asked to rank them for their specific model. Eight risks related to the application of an AI-focused business model are identified: (1) direct AI risks, (2) technology integration risk, (3) third-party vendor risk, (4) technology infrastructure risk, (5) data protection and privacy risk, (6) cybersecurity risk, (7) fraud and identity theft risk, and (8) strategic misalignment risk. The eight risks apply to all six models; however, they are not equally significant in all models. The six business models reduce risk in two main ways: Firstly, because they are proven models and secondly because they have a proven place in the typical ecosystems that emerge.</w:t>
      </w:r>
    </w:p>
    <w:p>
      <w:r>
        <w:t>POSSIBLE 2024: Narrative Beginnings: Relations between First Full-Fledged Scenes and the Beginning of the Main Action — https://doi.org/10.1353/nar.2024.a916602</w:t>
      </w:r>
    </w:p>
    <w:p>
      <w:r>
        <w:t>Shared claim-specific concepts: first, identify, main, alternative; EU scope not established. This is a provisional connection, not an outcome finding.</w:t>
      </w:r>
    </w:p>
    <w:p>
      <w:r>
        <w:t>Available abstract (not full text): ABSTRACT: This essay focuses on two important phenomena in the context of narrative “beginnings”: the beginning of the action proper and the first full-fledged scene (FFS), namely, the first time-section in the text that the author finds to be of consequence enough to deserve full scenic treatment. The point of departure for my discussion is Meir Sternberg’s claim that the FFS always signals the beginning of the action proper (and the end of the exposition) in the fabula. To refute this as an absolute claim, I examine several types of openings where the FFS either succeeds or precedes chronologically the beginning of the action proper. I thereby also try to demonstrate it is instructive to consider the FFS more generally as significant on aesthetic and rhetorical grounds within the narrative whole; it can perform various and possibly alternative functions to the one Sternberg attributes to it as necessary and constant. Moreover, regarding the question of establishing the beginning point of the action proper, I suggest as an alternative signpost another full-fledged scene—the first in what I call the “main linear sequence” of the work (the application of both criteria often leads to the same result, but not always). This alternative indicator is not without its limitations either, but these limitations are methodologically useful since they help us identify and explain cases whe</w:t>
      </w:r>
    </w:p>
    <w:p>
      <w:r>
        <w:t>POSSIBLE 2024: Population of Kalmykia: Main Geodemographic Trends of the First Quarter of the 21st Century — https://doi.org/10.15688/re.volsu.2024.4.15</w:t>
      </w:r>
    </w:p>
    <w:p>
      <w:r>
        <w:t>Shared claim-specific concepts: first, identify, main, trends, region; EU scope not established. This is a provisional connection, not an outcome finding.</w:t>
      </w:r>
    </w:p>
    <w:p>
      <w:r>
        <w:t>Available abstract (not full text): The article analyzes the main trends in the quantitative, spatial, and settlement dynamics of the population of Kalmykia in the first quarter of the 21 st century. It was found that migration was the main factor of geodemographic changes. The active outflow of population determined the increased rate of demographic losses in the republic (8.8% for 2002–2024 was the highest rate among regions in the South of Russia), despite the maintenance of a positive natural growth rate until the early 2020s. A slight reduction in the scale of migration loss in the 2000s and its new growth in the 2010s make it possible to identify two periods in the demographic dynamics of the republic’s population, which generally coincide with the first two decades of the 21 st century. The outflow of population was widespread, but its intensity varied significantly across the territory of Kalmykia. The maximum demographic losses (21–30%) in the first quarter of the century were suffered by the western and northwestern districts (Gorodovikovsky, Priyutnensky, Sarpinsky, Ketcherovsky), in which significant outflow was combined with a natural decrease in the population due to its national structure (high proportion of Russians). In the inter-regional exchange, all the territorial communities of Kalmykia, including the capital, lost their population. In the intraregional population circulation, the metropolit</w:t>
      </w:r>
    </w:p>
    <w:p>
      <w:r>
        <w:t>POSSIBLE 2023: Identifying the Main Factors of Providing Primary Preventive Care Services to the Elderly in Iran — https://doi.org/10.32598/sija.2022.3180.3</w:t>
      </w:r>
    </w:p>
    <w:p>
      <w:r>
        <w:t>Shared claim-specific concepts: first, identify, main, systems, face, terms; EU scope not established. This is a provisional connection, not an outcome finding.</w:t>
      </w:r>
    </w:p>
    <w:p>
      <w:r>
        <w:t>Available abstract (not full text): Objectives: The ageing of the population lead to various problems in terms of health care. An important issue related to the promotion of elderly health is preventive care. The health care systems make appropriate changes in the structure and process of providing these services to the patients. This study aims to identify the most important factors of providing primary preventive care services to the elderly in Iran. Methods &amp; Materials: In this descriptive-survey study, the variables were measured using a questionnaire and the causal relationships between them were identified. First, the factors affecting the provision of primary preventive care services to the elderly in selected countries including Iran were compared. Then, using the experiences of a panel of experts (n=12), an initial questionnaire was designed. To obtain consensus from the panel of experts, a Delphi process was carried out in three rounds. After determining the face and content validity of the questionnaire and assessing its reliability using Cronbach’s alpha coefficient, the questionnaire were completed by 176 experts. To measure the effect of the components on the main variable, the structural equation modeling (SEM) was used. Results: The model had 6 dimensions (planning, organizing, resource supply, monitoring, leadership, and preventive care). The factor load for the variable of planning was 0.68 (t=5</w:t>
      </w:r>
    </w:p>
    <w:p>
      <w:r>
        <w:t>POSSIBLE 2023: Soil and vegetation water content identify the main terrestrial ecosystem changes — https://doi.org/10.1093/nsr/nwad026</w:t>
      </w:r>
    </w:p>
    <w:p>
      <w:r>
        <w:t>Shared claim-specific concepts: identify, main, trends, driving, responses, water; EU scope not established. This is a provisional connection, not an outcome finding.</w:t>
      </w:r>
    </w:p>
    <w:p>
      <w:r>
        <w:t>Available abstract (not full text): Environmental change is a consequence of many interrelated factors. How vegetation responds to natural and human activity still needs to be well established, quantified and understood. Recent satellite missions providing hydrologic and ecological indicators enable better monitoring of Earth system changes, yet there is no automatic way to address this issue directly from observations. Here, we develop an observation-based methodology to capture evidence of changes in global terrestrial ecosystems and attribute these changes to natural or anthropogenic activity. We use the longest time record of global microwave L-band soil moisture and vegetation optical depth as satellite data and build spatially explicit maps of change in soil and vegetation water content and biomass reflecting large ecosystem changes during the last decade, 2010-20. Regions of prominent trends (from [Formula: see text] to 9% per year) are observed, especially in humid and semi-arid climates. We further combine such trends with land cover change maps, vegetation greenness and precipitation variability to assess their relationship with major documented ecosystem changes. Several regions emerge from our results. They cluster changes according to human activity drivers, including deforestation (Amazon, Central Africa) and wildfires (East Australia), artificial reforestation (South-East China), abandonment of far</w:t>
      </w:r>
    </w:p>
    <w:p>
      <w:pPr>
        <w:pStyle w:val="Heading2"/>
      </w:pPr>
      <w:r>
        <w:t>The geography of megatrends affecting European agriculture</w:t>
      </w:r>
    </w:p>
    <w:p>
      <w:r>
        <w:t>Original source (2022): https://doi.org/10.1016/j.gloenvcha.2022.102551</w:t>
      </w:r>
    </w:p>
    <w:p>
      <w:r>
        <w:t>Original wording (abstract; indexed_source_text_not_full_document_verified): Megatrends are long-term driving forces which are observable today and will likely have transformational potential in the future. In a minority of regions megatrends may drive marginalization as the current system becomes increasingly unviable.</w:t>
      </w:r>
    </w:p>
    <w:p>
      <w:r>
        <w:t>POSSIBLE 2026: Blockchain and Megatrends in Agri-Food Systems: A Multi-Source Evidence Approach — https://doi.org/10.3390/foods15030447</w:t>
      </w:r>
    </w:p>
    <w:p>
      <w:r>
        <w:t>Shared claim-specific concepts: megatrends, long-term, system, increasingly; EU scope visible. This is a provisional connection, not an outcome finding.</w:t>
      </w:r>
    </w:p>
    <w:p>
      <w:r>
        <w:t>Available abstract (not full text): Blockchain is increasingly applied in the agri-food sector to enhance traceability, data integrity, and accountability. However, its broader role in food system sustainability remains insufficiently characterized, particularly when examined against global megatrends shaping future agri-food transitions. This paper investigates how blockchain technology can reinforce sustainable, inclusive, and resilient food systems under the effect of major global megatrends. A structured literature review of peer-reviewed and industry sources was conducted to identify evidence on blockchain-enabled improvements in transparency, certification, and supply chain coordination. Complementary analysis of a curated dataset of European and international pilot implementations evaluated technological architectures, governance models, and demonstrated performance outcomes. Additionally, stakeholder-based foresight activities and scenarios representing alternative blockchain adoption pathways, developed within the TRUSTyFOOD project (GA: 101060534), were used to examine the interconnection between blockchain adoption and megatrends. Evidence from the literature and pilot cases indicates that blockchain can strengthen product-level traceability and improve verification of sustainability and safety claims. Cross-case analysis also reveals persistent constraints, including heterogeneous technical standards,</w:t>
      </w:r>
    </w:p>
    <w:p>
      <w:r>
        <w:t>POSSIBLE 2026: MEGATRENDS IN LOGISTICS AND SUPPLY CHAINS: APPROACHES OF RESEARCH LABORATORIES AT THE FACULTY OF LOGISTICS, UNIVERSITY OF MARIBOR — https://doi.org/10.58952/zriut202601115l</w:t>
      </w:r>
    </w:p>
    <w:p>
      <w:r>
        <w:t>Shared claim-specific concepts: megatrends, long-term, forces; EU scope not established. This is a provisional connection, not an outcome finding.</w:t>
      </w:r>
    </w:p>
    <w:p>
      <w:r>
        <w:t>Available abstract (not full text): Megatrends are long-term, global forces that shape the economy, society, technology, and culture, posing new challenges for logistics. The aim of this paper is to examine the impact of key megatrends on logistics processes and supply chains, and to demonstrate how the research laboratories of the Faculty of Logistics at the University of Maribor (FLUM) adapt to these megatrends in developing innovative, flexible, and sustainable solutions. The megatrends considered include demographic changes, technological development, collaboration and integration, globalisation, and environmental factors and sustainability. The following section presents how FLUM research laboratories contribute to adapting to key megatrends. The Laboratory for Cognitive Systems in Logistics addresses technological megatrends by developing artificial intelligence algorithms for decision optimisation and process automation. The Laboratory for Quantitative Modeling in Logistics supports technological development and the complexity of global supply chains through mathematical modeling and big data analytics to enhance efficiency and resilience. The Laboratory for Sustainable Mobility and Transport focuses on environmental megatrends by researching sustainable transport solutions, vehicle electrification, and urban logistics. The Laboratory for Logistics and Supply Chain Management addresses megatrends in global</w:t>
      </w:r>
    </w:p>
    <w:p>
      <w:r>
        <w:t>POSSIBLE 2025: Megatrends and weak signals shaping future real estate — https://doi.org/10.5334/bc.507</w:t>
      </w:r>
    </w:p>
    <w:p>
      <w:r>
        <w:t>Shared claim-specific concepts: megatrends, long-term, driving, forces, current; EU scope visible. This is a provisional connection, not an outcome finding.</w:t>
      </w:r>
    </w:p>
    <w:p>
      <w:r>
        <w:t>Available abstract (not full text): Society prepares for an envisioned future by shaping that future to align with current perceptions. This paper explores real estate market participants’ (n ≥ 840) perceptions of various forces influencing the future of housing, retail and office spaces, and their market environments. Real estate actors impact future cities through their space-use preferences, investment decisions and public regulations, which are driven by their expectations for the future. An environmental scanning method is used to investigate both megatrends and possible weak signals in Eastern Europe. The findings suggest that digitalisation and environmental pressure are perceived as the primary drivers of future spaces, while demographic forces play a lesser role. Although location and accessibility-related issues, along with economic drivers, have traditionally been paramount, these are now being overshadowed by the new forces. Sustainability is perceived to have a comparatively limited influence on office spaces compared with its impact on retail and housing. Technological development and digital transformation seem to eclipse the sector’s attention to demographic factors and sustainability concerns. Weak signals potentially driving the future development include emerging phenomena such as multicultural and generational space use, the role of urban nature, and innovations in the built environment. Pract</w:t>
      </w:r>
    </w:p>
    <w:p>
      <w:r>
        <w:t>POSSIBLE 2025: Global forces and local impacts: megatrends in regional development — https://doi.org/10.1093/cjres/rsae047</w:t>
      </w:r>
    </w:p>
    <w:p>
      <w:r>
        <w:t>Shared claim-specific concepts: megatrends, long-term, forces, today, regions, current; EU scope not established. This is a provisional connection, not an outcome finding.</w:t>
      </w:r>
    </w:p>
    <w:p>
      <w:r>
        <w:t>Available abstract (not full text): The world has recently faced a series of shocks and crises, including the COVID pandemic, the wars in Ukraine and the Middle East, and the rise of more inward-looking political regimes and policies. These are shocks that coincide with long-standing trends of real income stagnation for some and poverty for many, and also with persistent spatial inequalities within and between countries. Furthermore, these crisis episodes intersect and overlap with many long-term structural shifts or megatrends including global warming, unprecedented technological change, demographical changes and, more generally, a trend towards a spatially fragmented economic and political world order. This issue of the Cambridge Journal of Regions, Economy and Society considers how such crises and megatrends may have major socio-economic impacts on cities, regions and countries. Some observers claim that the world has changed fundamentally including suffering from an unprecedented polycrisis, see for instance the views expressed by the historian Adam Tooze.1 Others are more cautious and believe that from an historical perspective, there is nothing exceptional or permanent about the current turmoil per se (Frankopan, 2025). Next to this introduction, the contributions to this issue (11 papers and 3 commentaries) reflect and take stock as to what the spatial impact is of various crises and megatrends. From a reg</w:t>
      </w:r>
    </w:p>
    <w:p>
      <w:r>
        <w:t>POSSIBLE 2025: Megatrends and emerging issues: Impacts on food safety — https://doi.org/10.1111/1541-4337.70170</w:t>
      </w:r>
    </w:p>
    <w:p>
      <w:r>
        <w:t>Shared claim-specific concepts: megatrends, driving, likely, potential, drive, increasingly; EU scope not established. This is a provisional connection, not an outcome finding.</w:t>
      </w:r>
    </w:p>
    <w:p>
      <w:r>
        <w:t>Available abstract (not full text): The world is changing at a pace, driven by global megatrends and their interactions. Megatrends, including climate change, the drive for sustainability, an aging population, urbanization, and geopolitical tensions, are producing an increasingly challenging environment for the provision of a safe and secure food supply. To ensure a robust, safe, and secure food supply for all, potential food safety impacts associated with these megatrends need to be understood, and mitigation and management plans must be implemented. This paper outlines the relevant megatrends, discusses their potential impact on food safety, and suggests steps to help ensure the production of safe food in the future. Megatrends are increasingly driving resource depletion, reducing the vitality of plants and animals, increasing the geographical spread of animal and plant pathogens, increasing the risk of mycotoxins, agrichemical residues, and antimicrobial-resistant pathogens contaminating foods, and threatening to destabilize food systems and the food regulatory network. Science-based actions, adopting continual and dynamic risk assessments, alongside the use of more sensitive and accurate methods for the detection of contaminants, may counter these challenges. The use of artificial intelligence, robotics and automation, the enhancement of food safety cultures, the continued education and training of workforces</w:t>
      </w:r>
    </w:p>
    <w:p>
      <w:r>
        <w:t>POSSIBLE 2025: Integrating Social–Ecological Systems and Megatrends: A Participatory Foresight Framework for Sustainability Governance in European Cold Lands — https://doi.org/10.3390/su17219644</w:t>
      </w:r>
    </w:p>
    <w:p>
      <w:r>
        <w:t>Shared claim-specific concepts: megatrends, potential, regions; EU scope visible. This is a provisional connection, not an outcome finding.</w:t>
      </w:r>
    </w:p>
    <w:p>
      <w:r>
        <w:t>Available abstract (not full text): Mountainous and sparsely populated regions in Europe—here called “cold lands”—are particularly exposed to global megatrends such as climate change, demographic shifts, and economic restructuring. Addressing these interconnected challenges requires approaches that link foresight with local governance systems. This study presents a pilot methodological framework that integrates Ostrom’s Social-Ecological Systems (SES) model with the European Commission’s Megatrend Assessment method to support participatory foresight. The framework was tested in two illustrative cases, located in the Italian Alps and Norway, to demonstrate its feasibility and potential value. Through a structured discussion among researchers, key megatrends were prioritised, and qualitative scenarios were developed to explore how community preparedness can influence socio-ecological outcomes. The results highlight climate change, resource scarcity, and demographic imbalances as dominant drivers, while contrasting scenarios illustrate how proactive governance can mitigate vulnerability and foster adaptive capacity. The approach contributes a replicable and scalable foresight tool to bridge global trends and local sustainability strategies, supporting anticipatory and community-based governance in vulnerable territories.</w:t>
      </w:r>
    </w:p>
    <w:p>
      <w:r>
        <w:t>POSSIBLE 2025: Foresight study for addressing megatrends in information and communication technology (ICT) — https://doi.org/10.1186/s13731-025-00466-z</w:t>
      </w:r>
    </w:p>
    <w:p>
      <w:r>
        <w:t>Shared claim-specific concepts: megatrends, potential, current; EU scope visible. This is a provisional connection, not an outcome finding.</w:t>
      </w:r>
    </w:p>
    <w:p>
      <w:r>
        <w:t>Available abstract (not full text): Information and communications technology (ICT) encompasses the infrastructure and components that enable modern computing. In the context of Europe, the adoption of cutting-edge ICT is rapidly accelerating competitiveness, innovation, and job creation. However, this progress depends on a skilled workforce capable of implementing these advanced technologies effectively. This study aims to explore current ICT trends while addressing the digital skills gap in Southern Europe. The research focused on three countries: Greece, Cyprus, and Bulgaria. To gather relevant insights, two rounds of the Delphi technique were employed to reach a consensus on the most crucial digital skills shaping the future. The findings reveal a rapidly evolving landscape of digital competencies essential for navigating the transformative era of advanced ICT technologies. The study highlights emerging megatrends in the ICT sector, such as AI integration, cybersecurity challenges, and the shift toward 5G, underscoring the need for continuous upskilling to remain competitive in the global market. As ICT continues to evolve, it is clear that developing a skilled workforce will be vital to unlocking the potential of these technologies in Southern Europe.</w:t>
      </w:r>
    </w:p>
    <w:p>
      <w:r>
        <w:t>POSSIBLE 2024: Global Megatrends Impacts on the Landscape, Analysis Based on Key Drivers of the Megatrends and Landscape Change: Case Study of Danubian Lowland, Slovakia — https://doi.org/10.2478/eko-2024-0019</w:t>
      </w:r>
    </w:p>
    <w:p>
      <w:r>
        <w:t>Shared claim-specific concepts: megatrends, potential, regions; EU scope visible. This is a provisional connection, not an outcome finding.</w:t>
      </w:r>
    </w:p>
    <w:p>
      <w:r>
        <w:t>Available abstract (not full text): Abstract Global megatrends (GMTs) reshape landscapes worldwide, posing challenges for sustainability. This study delves into the complex interplay between GMTs and landscape changes in the Danube Lowland region of Slovakia, a microcosm of broader trends. Leveraging the concept of representative potential geoecosystems (REPGES), we assess historical landscape transformations and correlate them with key GMT drivers. Results reveal significant urban expansion linked to GMT2, primarily impacting the Bratislava area. Simultaneously, GMT5-driven economic growth manifests in agricultural land expansion and the total loss of one REPGES type. Notably, these changes coincide with a decrease in ecological stability across the region. Spatial analysis further unravels the interplay of GMTs, highlighting areas under intense urban and agricultural pressure. Our findings not only shed light on specific GMT impacts in the Danube Lowland but also offer valuable insights for landscape management across diverse regions facing similar megatrends. By understanding these complex interactions, we can develop informed strategies to navigate the challenges and opportunities presented by a globalized world, promoting sustainable landscapes for the future.</w:t>
      </w:r>
    </w:p>
    <w:p>
      <w:r>
        <w:t>POSSIBLE 2023: Modern paradigms and megatrends of industrialdevelopment — https://doi.org/10.15407/econindustry2023.01.005</w:t>
      </w:r>
    </w:p>
    <w:p>
      <w:r>
        <w:t>Shared claim-specific concepts: megatrends, long-term, current, increasingly; EU scope not established. This is a provisional connection, not an outcome finding.</w:t>
      </w:r>
    </w:p>
    <w:p>
      <w:r>
        <w:t>Available abstract (not full text): Implementation of long-term strategies by all industrial stakeholders. The global nature of the challenges necessitates the organic and harmonious integration of all national economies into a new paradigmatic development framework. This requires active rethinking of strategic concepts and industrial policies by political and economic elites at the national, regional, and global levels. There is a growing trend towards expanding the targeted multi-dimensionality of industrial development as a component of holistic socio-economic systems at any level. Thus, the task of deepening the balance and harmonization of individual vectors and processes, both in the sector itself and in related sectors of the economy, is becoming more urgent. As part of the implementation of the imperatives of the socio-humanitarian paradigm, megatrends are being formed to prioritize the inclusion of humanitarian progress goals in industrial strategies and policies, transition to customer-oriented business models, and reorientation of industrial activities to form/expand the "comfort zone" (in various dimensions). The trend of systemic changes in the models of production use of all types of resources on the basis of maximizing resources’ efficiency and environmental safety is strategically important for global industrial development. This will lead to a shift in emphasis in long-term strategies from maximi</w:t>
      </w:r>
    </w:p>
    <w:p>
      <w:r>
        <w:t>POSSIBLE 2023: Drivers of German Economic Development in the Context of the Megatrend of Digitalization — https://doi.org/10.32983/2222-4459-2023-9-49-55</w:t>
      </w:r>
    </w:p>
    <w:p>
      <w:r>
        <w:t>Shared claim-specific concepts: long-term, driving, forces; EU scope visible. This is a provisional connection, not an outcome finding.</w:t>
      </w:r>
    </w:p>
    <w:p>
      <w:r>
        <w:t>Available abstract (not full text): Digitalization is one of the key modern drivers of influence on the development of the economies of both individual countries and the world economy as a whole. Accordingly, the megatrend of digitalization determines both opportunities and challenges for national economies with the most significant focus on the largest economies of the countries to which the German economy belongs. The aim of the article is to analyze the features of the complex of actions of the part of the Federal Republic of Germany to support digitalization in the traditional sectors of the economy. The article discusses the features of transformation under the influence of digitalization in the traditional sectors of the German economy, which leads to significant changes in the driving forces of the economic model of the Federal Republic. It is noted that the German economy faces a number of short-term challenges, including the long-term consequences of the COVID-19 pandemic and the Russian-Ukrainian war. In particular, under the influence of exogenous factors, the inflation rate in Germany increased to 7.9% in 2022 from 3.1% in 2021. These crisis challenges have put a certain strain on various sectors of the German economy, creating new challenges for economic development. It is noted that the Federal Government of Germany applies an integrated approach aimed at stimulating both economic development at the</w:t>
      </w:r>
    </w:p>
    <w:p>
      <w:r>
        <w:t>POSSIBLE 2023: The Role of Think Tanks in Megatrends Analysis and Future Research — https://doi.org/10.32388/p4hg2e.2</w:t>
      </w:r>
    </w:p>
    <w:p>
      <w:r>
        <w:t>Shared claim-specific concepts: megatrends, driving, regions; EU scope not established. This is a provisional connection, not an outcome finding.</w:t>
      </w:r>
    </w:p>
    <w:p>
      <w:r>
        <w:t>Available abstract (not full text): This paper aims to explore the interconnection between megatrends analysis, future research, and the work of think tanks. Policymakers, business leaders, and asset managers have shown a growing interest in megatrends analysis and future research which is leading to increased visibility for some think tanks, including in the Global South. Based on our analysis of the role and evolving landscape of think tanks and our engagement with leaders of think tanks from different world regions, we argue that a growing number of think tanks are involved in driving megatrends discourses and make significant contributions to future research and strategic foresight though solid evidence in form of statistics are not available. This paper will try to analyse the question to which extent think tanks engage in discourses on megatrends and future research and if and how such discourses have a wider impact on the orientation of think tanks? We argue that the landscape of think tanks is very diverse, not just in terms of size or political orientation. They apply diverse strategies of knowledge dissemination and policy advice. Thus, it would not be advisable to test general hypotheses and draw far-reaching conclusions. However, we consider it worthwhile to have a closer look at think tanks from different countries and world regions in order to understand how their work relates to megatrends and futu</w:t>
      </w:r>
    </w:p>
    <w:p>
      <w:pPr>
        <w:pStyle w:val="Heading2"/>
      </w:pPr>
      <w:r>
        <w:t>Towards a decarbonised building stock by 2050: The meaning and the role of zero emission buildings (ZEBs) in Europe</w:t>
      </w:r>
    </w:p>
    <w:p>
      <w:r>
        <w:t>Original source (2022): https://doi.org/10.1016/j.esr.2022.101009</w:t>
      </w:r>
    </w:p>
    <w:p>
      <w:r>
        <w:t>Original wording (abstract; indexed_source_text_not_full_document_verified): The revision of the Energy Performance of Building Directive (EPBD) sets out how Europe can achieve a decarbonised building stock by 2050.</w:t>
      </w:r>
    </w:p>
    <w:p>
      <w:r>
        <w:t>POSSIBLE 2026: European Energy Performance of Buildings Directive and Cultural Heritage — https://openalex.org/W7126308985</w:t>
      </w:r>
    </w:p>
    <w:p>
      <w:r>
        <w:t>Shared claim-specific concepts: energy, performance, building, directive, epbd; EU scope visible. This is a provisional connection, not an outcome finding.</w:t>
      </w:r>
    </w:p>
    <w:p>
      <w:r>
        <w:t>Available abstract (not full text): This report summarises the work of the ICOMOS Expert Group on the Implementation of the Energy Performance of Buildings Directive (EPBD) in the Built Heritage Sector, established in 2023 to evaluate the impact of the EPBD recast on Europe’s historic buildings. Adopted under the European Green Deal, the recast Directive introduces Minimum Energy Performance Standards (MEPS), Zero-Emission Building (ZEB) targets, and life-cycle carbon assessment obligations. These measures represent a significant step towards climate neutrality, but they also present complex challenges for culturally and architecturally significant buildings. The Expert Group gathered evidence from over nineteen EU and non-EU countries through national fact sheets, thematic analyses, and case studies. Executive summary distills the main findings, strategic recommendations, and future priorities emerging from this research.</w:t>
      </w:r>
    </w:p>
    <w:p>
      <w:r>
        <w:t>POSSIBLE 2026: Sustainability of the European Energy System: The Evolution of the Energy Transition, Renewable Energy, and Energy Conservation — https://doi.org/10.3390/su18084046</w:t>
      </w:r>
    </w:p>
    <w:p>
      <w:r>
        <w:t>Shared claim-specific concepts: energy; EU scope visible. This is a provisional connection, not an outcome finding.</w:t>
      </w:r>
    </w:p>
    <w:p>
      <w:r>
        <w:t>Available abstract (not full text):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r>
        <w:t>POSSIBLE 2026: Enhancing the Energy Transition of European Cities through Energy Communities — https://doi.org/10.1007/s11067-026-09759-6</w:t>
      </w:r>
    </w:p>
    <w:p>
      <w:r>
        <w:t>Shared claim-specific concepts: energy, performance, building; EU scope visible. This is a provisional connection, not an outcome finding.</w:t>
      </w:r>
    </w:p>
    <w:p>
      <w:r>
        <w:t>Available abstract (not full text): Abstract Urban areas account for over 70% of greenhouse gas emissions and are therefore central to the European Union’s goal of climate neutrality by 2030. This paper examines energy communities as enabling mechanisms for the urban energy transition, focusing on their capacity to integrate renewable generation, strengthen local engagement, and improve system-level performance. Framed within the EU’s Climate Neutral and Smart Cities Mission, energy communities are interpreted through the lenses of connectivity, circularity, and the regenerative economy, as they link prosumers through digitally coordinated, decentralized energy exchanges that promote local energy reuse and value regeneration. While not a standalone solution, energy communities illustrate a systemic approach that complements broader electrification, smart grid, and governance strategies. Specifically, we present a day-ahead scheduling model applied to a real medium-voltage distribution network in Modena, Italy. This model minimizes energy procurement costs, derives internal transaction prices using shadow prices, and shows how storage and local generation enhance economic and operational performance. We also quantify how community size and energy exchange rules affect efficiency. The results show that energy communities – when embedded in broader electrification and smart grid strategies – can play a catalytic rol</w:t>
      </w:r>
    </w:p>
    <w:p>
      <w:r>
        <w:t>POSSIBLE 2025: TOWARDS THE EU NET-ZERO: ENERGY PERFORMANCE CONTRACTINGIN THE EUROPEAN UNION POLICY AND REGULATORY FRAMEWORK — https://doi.org/10.46763/scgw25112g203c</w:t>
      </w:r>
    </w:p>
    <w:p>
      <w:r>
        <w:t>Shared claim-specific concepts: revision, energy, performance, directive; EU scope visible. This is a provisional connection, not an outcome finding.</w:t>
      </w:r>
    </w:p>
    <w:p>
      <w:r>
        <w:t>Available abstract (not full text): As part of the Fit for 55 legislative package, EU member states have committed to ambitious energy efficiency improvements, including a reduction in EU CO2 emissions of at least 55% by 2030, compared to 1990. The Fit for 55 package includes a holistic approach to all areas of economic life. One area that undoubtedly requires intervention is outdated and energy-intensive public infrastructure. Improving energy efficiency requires both adequate legislative and organizational preparation and the provision of financing for specific projects in this area. One means of improving energy efficiency is Energy Performance Contracting (EPC) - which involves the financing, implementation and provision of specific services in multi-year energy savings projects by specialized companies, so-called ESCO (Energy Saving Companies). The revision of the Energy Efficiency Directive of 2023 highlights the exemplary role of the public sector in the energy efficiency improvement process, particularly with regard to buildings and public procurement, as well as with regard to the promotion of Energy Performance Contracts. The paper discusses both the EU policy and legal framework for the implementation of EPC projects, to support and promote the development of this form of implementation and financing of public tasks.</w:t>
      </w:r>
    </w:p>
    <w:p>
      <w:r>
        <w:t>POSSIBLE 2024: Towards harmonising energy performance certificate indicators in Europe — https://doi.org/10.1016/j.jobe.2024.110323</w:t>
      </w:r>
    </w:p>
    <w:p>
      <w:r>
        <w:t>Shared claim-specific concepts: energy, performance, building, directive, epbd; EU scope visible. This is a provisional connection, not an outcome finding.</w:t>
      </w:r>
    </w:p>
    <w:p>
      <w:r>
        <w:t>Available abstract (not full text): Achieving the European Union's ambitious goal of transforming buildings into carbon-neutral assets is crucial for combating climate change and improving energy efficiency. The harmonization of Energy Performance Certificates (EPCs) plays a vital role in this effort. It can provide a standardized measure of building energy performance, which is crucial for benchmarking and improving energy efficiency across Member States. In the context of the recast Energy Performance of Buildings Directive (EPBD) of 2024, this study examines the progress made by EU Member States in standardizing EPCs. The research aims to evaluate the implementation of EPC indicators, focusing on data quality, calculation methods, and costs. The methodological procedure followed for the study led to the development of a dedicated Cross Comparative Matrix (CCM) to assess the implementation of EPC indicators across 27 EU Member States and their reading feature allowed the declination into three scenarios for different EPC data analysis: qualitative, quantitative and burden costs. The findings reveal significant disparities, particularly in areas such as thermal comfort and smart readiness, due to the lack of a common methodology and local regulatory differences. While key indicators like energy performance class and primary energy use are widely implemented, compliance with EU standards varies. The study conclud</w:t>
      </w:r>
    </w:p>
    <w:p>
      <w:r>
        <w:t>POSSIBLE 2024: Energy and environmental performance from field operation of commercial-scale SOFC systems — https://doi.org/10.1016/j.ijhydene.2024.08.332</w:t>
      </w:r>
    </w:p>
    <w:p>
      <w:r>
        <w:t>Shared claim-specific concepts: energy, performance; EU scope visible. This is a provisional connection, not an outcome finding.</w:t>
      </w:r>
    </w:p>
    <w:p>
      <w:r>
        <w:t>Available abstract (not full text): Solid Oxide Fuel Cells (SOFCs) are capable of generating electrical and thermal power with very high conversion efficiency and almost no pollutant emissions into the atmosphere. Despite extensive literature on SOFC-based energy system models and experimental testing at the cell and short-stack level, there is currently a lack of performance data for SOFC modules under actual field conditions. To fill this gap, the present work investigates the energy and environmental performance of six SOFC modules, ranging in size from 10 to 60 kW, over thousands of hours of operation. These systems, supplied by the three leading SOFC manufacturers in Europe, have been installed and operated in different non-residential buildings worldwide, as part of the European Comsos project. The aim of this study is to establish a comprehensive set of field operation data to characterise commercial-scale SOFC systems. Specifically, raw data are processed to derived electrical and thermal efficiency maps, degradation rates and pollutant emissions, including particulate matter (PM), nitrogen oxides (NOx) and carbon monoxide (CO). A comparison with competing technologies is also provided to better highlight the potential benefits of adopting SOFC-based cogeneration systems. Values in the range of 51–61% were found for the system-level electrical efficiency under rated conditions. The electrical efficiency a</w:t>
      </w:r>
    </w:p>
    <w:p>
      <w:r>
        <w:t>POSSIBLE 2024: Going beyond the Council as brake of EU energy policy: Analysing the internal process of the Council in the recast of the Energy Performance of Buildings Directive — https://doi.org/10.1016/j.enpol.2024.114388</w:t>
      </w:r>
    </w:p>
    <w:p>
      <w:r>
        <w:t>Shared claim-specific concepts: energy, performance, directive; EU scope visible. This is a provisional connection, not an outcome finding.</w:t>
      </w:r>
    </w:p>
    <w:p>
      <w:r>
        <w:t>Available abstract (not full text): The Council is the voice of the member states' governments in the EU policymaking process and the institutional setting where member states can enforce their national interest. The literature on Council decision-making has previously mostly used expert interviews or voting patterns. Through a detailed examination of one specific legislative file in the recent ‘Fit for 55’ climate package in which subsidiarity and varying national conditions is central, this study focus on how disagreements between member states are resolved and how strategic word framing can aid in resolving political controversies in EU energy policy. This article analyses Council working group meeting notes and revisions of the recent recast of the Energy Performance of Buildings Directive, providing a unique look behind the curtains of negotiations between member states in the Council within a deliberative intergovernmental framework. A mix of quantitative and qualitative text analysis is applied to deliberations and legislative revisions. The findings show that a fragile consensus is reached despite disagreement through enabling of national flexibility in policy decisions, indicating that the Council determines the speed of European integration in the policy domain.</w:t>
      </w:r>
    </w:p>
    <w:p>
      <w:r>
        <w:t>POSSIBLE 2024: Challenges and opportunities in European smart buildings energy management: A critical review — https://doi.org/10.1016/j.rser.2024.114472</w:t>
      </w:r>
    </w:p>
    <w:p>
      <w:r>
        <w:t>Shared claim-specific concepts: energy, performance, building, stock; EU scope visible. This is a provisional connection, not an outcome finding.</w:t>
      </w:r>
    </w:p>
    <w:p>
      <w:r>
        <w:t>Available abstract (not full text): The substantial stock of European buildings, accounting for more than 40% of energy consumption, has prompted member states to establish a renovation standard with stringent performance criteria. As advancing into the era of digital transformation, the concept of smart buildings emerges as a solution to create sustainable, efficient, resilient, active, and comfortable living and working spaces. This is achieved through intelligent resource use optimization, including the smart management of energy production, storage and distribution systems. Smart buildings operate by harnessing monitoring data and leveraging artificial intelligence algorithms and big data techniques. The integration of monitoring data with contextual information, such as building information modelling, physics, or simulation models, enhances the intelligent management of resources. Moreover, the incorporation of metrics like the smart readiness indicator promotes the adoption of smart buildings. This study delves into the significance of these techniques, expanding on existing research in the field of smart buildings. It integrates concepts of data enrichment, smartness, and user-centric approaches. Key findings provide insights into future opportunities within the sector, emphasizing the need for user awareness strategies, the development of new smart algorithms, and services that incorporate contextual data</w:t>
      </w:r>
    </w:p>
    <w:p>
      <w:r>
        <w:t>POSSIBLE 2023: Impact of climate change on the energy performance of building envelopes and implications on energy regulations across Europe — https://doi.org/10.1016/j.energy.2023.129886</w:t>
      </w:r>
    </w:p>
    <w:p>
      <w:r>
        <w:t>Shared claim-specific concepts: revision, energy, performance, building; EU scope visible. This is a provisional connection, not an outcome finding.</w:t>
      </w:r>
    </w:p>
    <w:p>
      <w:r>
        <w:t>Available abstract (not full text): This paper delves into the potential impact of a changing climate on the energy performance of European buildings. Research aims to provide a comprehensive evaluation of current energy requirements focusing on the envelope, considering existing regulations in national policies. Energy simulations are conducted at 94 locations across the European Union to cover the climatic variability and Koppen climate classification. The research analyzes future climate scenarios for the years 2030, 2050, and 2070, using three different Representative Concentration Pathways (RCP 2.6, 4.5, 8.5). According to a comprehensive analysis of heating, cooling, and overall energy performance, climate plays a significant role in buildings' energy balance. In moderately cool climate countries, the demand for air conditioning is projected to decrease in the years ahead. Conversely, in countries with a warm climate, there is a projected increase in the overall energy demand. Consequently, a revision of current energy regulations should be a priority. Providing insights into the relation between building design, energy efficiency, and climate change, the research identifies policy adjustments to ensure buildings can effectively respond to changing climatic conditions. A holistic and dynamic approach can support building design accounting for long-term impacts of climate change to create resilient and energ</w:t>
      </w:r>
    </w:p>
    <w:p>
      <w:r>
        <w:t>POSSIBLE 2023: Assessing Efficiency and Environmental Performance of a Nearly Zero-Energy University Building’s Energy System in Norway — https://doi.org/10.3390/buildings13010169</w:t>
      </w:r>
    </w:p>
    <w:p>
      <w:r>
        <w:t>Shared claim-specific concepts: revision, energy, performance, building, directive, epbd; EU scope visible. This is a provisional connection, not an outcome finding.</w:t>
      </w:r>
    </w:p>
    <w:p>
      <w:r>
        <w:t>Available abstract (not full text): Increasing awareness of climate issues in recent decades has led to new policies on buildings’ energy consumption and energy performance. The European Union (EU) directive 2010/31/EC, i.e., the energy performance of buildings directive (EPBD), is one of the measures initiated to achieve climate and energy goals by reducing energy use and greenhouse gas emissions in the building sector. The EPBD required all new buildings to be nearly zero-energy buildings (nZEBs) by 2021. Nearly zero-energy buildings (nZEBs) are buildings with a very-high-energy performance and nearly zero or low-energy requirements covered to a very significant extent by energy from renewable sources produced on-site or nearby. The utilisation of solar photovoltaic (PV) panels is a common approach for achieving the nZEB standard. The carbon footprint of PV panels is often not discussed as a parameter. This paper aimed to analyse the environmental performance of an existing nearly zero-energy university building in a Norwegian use case scenario. This analysis is performed by assessing annual electricity and heat consumption from both energetic and environmental perspectives. The energy required for the building during the studied period is then used to analyse the environmental and energy performance of the building. When it comes to the environmental assessment, the commercial software SimaPro was used. The pr</w:t>
      </w:r>
    </w:p>
    <w:p>
      <w:r>
        <w:t>POSSIBLE 2023: Energy Economic Development in Europe — https://doi.org/10.3390/books978-3-0365-7112-6</w:t>
      </w:r>
    </w:p>
    <w:p>
      <w:r>
        <w:t>Shared claim-specific concepts: energy, achieve;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Analysis of the energy performance strategies in a historical building used as a music school — https://doi.org/10.1016/j.dibe.2023.100195</w:t>
      </w:r>
    </w:p>
    <w:p>
      <w:r>
        <w:t>Shared claim-specific concepts: energy, performance, building; EU scope not established. This is a provisional connection, not an outcome finding.</w:t>
      </w:r>
    </w:p>
    <w:p>
      <w:r>
        <w:t>Available abstract (not full text): Energy consumption in public education buildings depends on use and occupancy. To improve energy performance, energy audits are essential to identify specific solutions for each building. In this study, we conducted an energy audit of a historical building used as a public education centre. We collected gas and electricity bills and recorded indoor temperatures for over a year to determine heating and cooling set points and the schedules. Our analysis showed that 47.42% of the electricity bills were unused. To reduce energy demand and improve thermal comfort, we both developed and validated a Building Energy Modelling (BEM) approach using TRNSYS18 and weather data during year 2021. The BEM model allowed us to propose efficient measures to meet the Standard Passive requirements. Our results demonstrate the effectiveness of energy audits and BEM modelling in reducing energy consumption in public education buildings.</w:t>
      </w:r>
    </w:p>
    <w:p>
      <w:pPr>
        <w:pStyle w:val="Heading2"/>
      </w:pPr>
      <w:r>
        <w:t>Towards the 2030 Agenda: Measuring the Progress of the European Union Countries through the SDGs Achievement Index</w:t>
      </w:r>
    </w:p>
    <w:p>
      <w:r>
        <w:t>Original source (2022): https://doi.org/10.3390/su14063563</w:t>
      </w:r>
    </w:p>
    <w:p>
      <w:r>
        <w:t>Original wording (abstract; indexed_source_text_not_full_document_verified): The use of such an index will also be useful to understand the effect of the pandemic on the development.</w:t>
      </w:r>
    </w:p>
    <w:p>
      <w:r>
        <w:t>POSSIBLE 2025: ASSESSING THE FEASIBILITY OF ELECTRIC ROAD TRANSPORT IN EUROPE USING THE INTEGRAL EMISSIONS INDEX — https://doi.org/10.20858/tp.2025.20.3.02</w:t>
      </w:r>
    </w:p>
    <w:p>
      <w:r>
        <w:t>Shared claim-specific concepts: index, also; EU scope visible. This is a provisional connection, not an outcome finding.</w:t>
      </w:r>
    </w:p>
    <w:p>
      <w:r>
        <w:t>Available abstract (not full text): This article reviews the development of electric road transport and assesses its feasibility in European countries based on an analysis of CO₂ emissions using an integral index. Electric road transport is evolving in three main directions: battery-powered vehicles, hydrogen fuel cell vehicles, and road electrification. Battery electric vehicles are widely used, but their future may be constrained by issues related to cost, charging infrastructure, and raw material availability. Hydrogen-powered vehicles offer fast refueling but require substantial investments and strict safety standards. Road electrification includes both contact and wireless energy transfer systems. Contact-based systems, in particular, provide high power and low energy losses, making them optimal for vehicles with significant energy demands. The environmental efficiency of electric vehicles largely depends on the electricity source. Countries with a high share of renewable energy, such as Norway and France, demonstrate greater environmental efficiency in electric vehicle adoption. Special attention should be given to road electrification, which reduces the duration of battery-powered autonomous driving and allows for smaller battery sizes, thereby extending their lifespan. This approach not only increases battery longevity but also has a positive environmental impact by reducing emissions associated with batt</w:t>
      </w:r>
    </w:p>
    <w:p>
      <w:r>
        <w:t>POSSIBLE 2025: A Walk across Europe: Development of a high-resolution walkability index — https://doi.org/10.1016/j.healthplace.2025.103544</w:t>
      </w:r>
    </w:p>
    <w:p>
      <w:r>
        <w:t>Shared claim-specific concepts: use, index; EU scope visible. This is a provisional connection, not an outcome finding.</w:t>
      </w:r>
    </w:p>
    <w:p>
      <w:r>
        <w:t>Available abstract (not full text): Physical inactivity significantly contributes to obesity and other non-communicable diseases, yet efforts to increase population-wide physical activity levels have met with limited success. The built environment plays a pivotal role in encouraging active behaviors like walking. Walkability indices, which aggregate various environmental features, provide a valuable tool for promoting healthy, walkable environments. However, a standardized, high-resolution walkability index for Europe has been lacking. This study addresses that gap by developing a standardized, high-resolution walkability index for the entire European region. Seven core components were selected to define walkability: walkable street length, intersection density, green spaces, slope, public transport access, land use mix, and 15 min walking isochrones. These were derived from harmonized, high-resolution datasets such as Sentinel-2, NASA's elevation models, OpenStreetMap, and CORINE Land Cover. A 100 m × 100 m hierarchical grid system and advanced geospatial methods, like network buffers and distance decay, were used at scale to efficiently model real-world density and proximity effects. The resulting index was weighted by population and analyzed at different spatial levels using visual mapping, spatial clustering, and correlation analysis. Findings revealed a distinct urban-to-rural gradient, with high walkability</w:t>
      </w:r>
    </w:p>
    <w:p>
      <w:r>
        <w:t>POSSIBLE 2025: Novel integrated risk index reveals uneven impact of climate change on fascioliasis risk across Africa and Europe — https://doi.org/10.64898/2025.12.04.692276</w:t>
      </w:r>
    </w:p>
    <w:p>
      <w:r>
        <w:t>Shared claim-specific concepts: use, index, also; EU scope visible. This is a provisional connection, not an outcome finding.</w:t>
      </w:r>
    </w:p>
    <w:p>
      <w:r>
        <w:t>Available abstract (not full text): Abstract Fascioliasis, a zoonotic parasitic disease caused by the liver flukes Fasciola hepatica and Fasciola gigantica , poses a significant threat to livestock and human health globally. Climate change is altering the transmission dynamics of this disease; however, the direction and magnitude of this change remain uncertain due to a lack of mechanistically grounded predictions at continental scale. In this study, we developed a novel risk index to assess how climate change may affect the potential for fascioliasis transmission across Africa and Europe. The index integrates the following three components that together capture the environmental requirements for Fasciola transmission: the temperature dependence of the parasite transmission; climatic suitability for the snail intermediate host; and availability of freshwater habitats. To estimate these components, we used data from published experimental studies, thousands of snail occurrence records, and both mechanistic and correlative modelling approaches. We predict that climate change will generally reduce fascioliasis risk across most of the ranges of the two investigated liver fluke species, albeit with marked geographical differences. The transmission risk of F. gigantica is predicted to decrease in the Sahel and West Africa, due to above-optimal temperatures for parasite transmission and climatic suitability for the inte</w:t>
      </w:r>
    </w:p>
    <w:p>
      <w:r>
        <w:t>POSSIBLE 2024: Soil Quality Index According to Diverse Land Use Systems Across the Europe — https://doi.org/10.1002/ldr.5438</w:t>
      </w:r>
    </w:p>
    <w:p>
      <w:r>
        <w:t>Shared claim-specific concepts: use, index, also; EU scope visible. This is a provisional connection, not an outcome finding.</w:t>
      </w:r>
    </w:p>
    <w:p>
      <w:r>
        <w:t>Available abstract (not full text): ABSTRACT Soil quality index (SQI) can be an effective parameter to evaluate soil quality based on plant growth and ecosystem services at a large scale. According to the European Commission, around 60%–70% of the European soil is not healthy due to degradation and rapid conversion of land uses; however, detailed studies on soil quality according to different land uses in the entire Europe are very limited. We aimed to develop an SQI using the Land Use and Coverage Area Frame Survey (LUCAS) database for the existing croplands (230 samples), grasslands (53 samples), and woodlands (36 samples) to evaluate the overall soil quality across the continent. A total of five soil variables (sand, organic carbon, electrical conductivity, bacteria, and fungi) were selected for the minimum dataset based on principal component analysis from all 13 variables to avoid redundancy. The relationship between the developed SQI and climatic variables (precipitation and temperature) was also analyzed. We found that croplands had higher SQI (0.45 ± 0.09) than grasslands (0.44 ± 0.09) and woodlands (0.43 ± 0.1), with no significant differences among the land uses (p &gt; 0.05). The spatial analysis revealed higher SQI (&gt; 0.46) in the central part of the EU and lower (&lt; 0.46) in the northern and southwestern EU. The sub‐categorical assessment of land uses showed that broadleaved and mixed woodland had better</w:t>
      </w:r>
    </w:p>
    <w:p>
      <w:r>
        <w:t>POSSIBLE 2024: A unifying modelling of multiple land degradation pathways in Europe — https://doi.org/10.1038/s41467-024-48252-x</w:t>
      </w:r>
    </w:p>
    <w:p>
      <w:r>
        <w:t>Shared claim-specific concepts: index, also; EU scope visible. This is a provisional connection, not an outcome finding.</w:t>
      </w:r>
    </w:p>
    <w:p>
      <w:r>
        <w:t>Available abstract (not full text):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r>
        <w:t>POSSIBLE 2023: European Extreme Events Climate Index (E3CI) — https://doi.org/10.5194/egusphere-egu23-13344</w:t>
      </w:r>
    </w:p>
    <w:p>
      <w:r>
        <w:t>Shared claim-specific concepts: use, index, also, useful; EU scope visible. This is a provisional connection, not an outcome finding.</w:t>
      </w:r>
    </w:p>
    <w:p>
      <w:r>
        <w:t>Available abstract (not full text): The European Extreme Events Climate Index (E3CI) is an innovative climate service (operational since January 2021) to assess the frequency and severity of weather-induced hazards over Europe. This service has been funded by Foundation Big Data and Artificial Intelligence for Human Development (IFAB) and developed through the collaboration between Fondazione CMCC Euro-Mediterranean Center on Climate Change (CMCC) and Leithà Unipol Group. Specifically, E3CI proposes to define a synthetic index aimed at providing information about the areas affected by different types of weather-induced hazards and the significance of such events. At this stage, E3CI permits equipping Europe, SADC (Southern African Development Community) and North America with an index similar to Actuaries Climate Index, (NA-ACI; actuariesclimateindex.org) developed over North America and already fully operational. From a methodological point of view, using ERA5 reanalysis data (Hersbach et al., 2020), E3CI permits evaluating seven main dynamics: cold and heat stresses, droughts, extreme precipitation, winds, the predisposing conditions leading to hail events and forest fire. Furthermore, five E3CI components are tested using a subset of regional climate projections from the EURO-CORDEX (Jacob et al., 2014, 2020; Giorgi and Gutowski, 2015) program at the highest available resolution (about 11 km) considering three</w:t>
      </w:r>
    </w:p>
    <w:p>
      <w:r>
        <w:t>POSSIBLE 2023: Towards Inclusive Prosperity and Development in European Countries Using the Transitioning Performance Index — https://doi.org/10.5817/cz.muni.p280-0311-2023-23</w:t>
      </w:r>
    </w:p>
    <w:p>
      <w:r>
        <w:t>Shared claim-specific concepts: index, also; EU scope visible. This is a provisional connection, not an outcome finding.</w:t>
      </w:r>
    </w:p>
    <w:p>
      <w:r>
        <w:t>Available abstract (not full text): The need to assess sustainable processes and states is a driving assumption for the paper, having as an objective to explore the assessment model of the Transitioning Performance Index by the European Union. The purpose is to analyze for 24 out of the EU-27 countries for the year 2020 using multivariate, the distribution of performance within the 37 indicators used for the estimation of the transitioning performance index. The results produced 24 principal components of which the first 8 accounted for 89 percent cumulative variation and 10 accounted for 93 percent. The 24 countries selected were further classified into 4 groups based on the PCA results and the observable correlations between the original variables and the PCA were also determined. The results showed that the main indicators and the new PCA could be used as policy and decision-making guidelines for individual countries to determine strengths, weaknesses and opportunities for inclusive and sustainable development initiatives and programmes.</w:t>
      </w:r>
    </w:p>
    <w:p>
      <w:r>
        <w:t>POSSIBLE 2023: The Effect of Volatility Index on Turkish and European Stock Indices — https://doi.org/10.36880/c15.02767</w:t>
      </w:r>
    </w:p>
    <w:p>
      <w:r>
        <w:t>Shared claim-specific concepts: use, index, also, effect; EU scope visible. This is a provisional connection, not an outcome finding.</w:t>
      </w:r>
    </w:p>
    <w:p>
      <w:r>
        <w:t>Available abstract (not full text): In times of high uncertainty, it is usual for investors to be cautious about the capital markets and turn to investment instruments that are considered a security blanket. This situation may adversely affect the capital markets and the real sector. In this context, it is aimed to investigate the effect of the Volatility Index (VIX), also known as Fear Index, on some European stock markets. In the study, five different models were created in which the independent variable is VIX and the dependent variables are FTSE 100, DAX, CAC 40, BIST 30 and BIST Participation 30. Including the BIST Participation 30 Index in the study; it is also desired to determine whether there is a difference in the context of the conventional index-Islamic Index. In the study, a weekly data set including 76 observations was used in the period of 12.11.2021-28.04.2023. Data were obtained from Refinitiv Eikon. The long-term relationship of the variables was examined with the Engle-Granger Cointegration Test. Cointegration relationships were determined between VIX and FTSE 100; it was specified that there is no cointegrated relationships between VIX and BIST 30, BIST Participation 30, DAX and CAC 40. Fully Modified Ordinary Least Squares (FMOLS) method was used to estimate the coefficients of the relationship between the variables whose cointegration relationship was determined. Consistent with the literatu</w:t>
      </w:r>
    </w:p>
    <w:p>
      <w:r>
        <w:t>POSSIBLE 2023: Assessment of fire weather index calculations in Europe — https://doi.org/10.5194/egusphere-egu23-12233</w:t>
      </w:r>
    </w:p>
    <w:p>
      <w:r>
        <w:t>Shared claim-specific concepts: use, index, also, useful; EU scope visible. This is a provisional connection, not an outcome finding.</w:t>
      </w:r>
    </w:p>
    <w:p>
      <w:r>
        <w:t>Available abstract (not full text): Wildfires caused by extreme weather conditions e.g high temperatures and drought have been increasing both in frequency and magnitude in the recent years. Due to the changing climate also regions with few recorded forest fires in the past are likely to be more frequently affected by wildfires. These wildfires have many social, economic, and environmental impacts. The EU funded SAFERS project, Structured Approaches for Forest Fire Emergencies in Resilient Societies, is creating an open and integrated platform featuring a forest fire decision support system in order to support societies becoming more resilient when acting against forests fires. The platform will, among other information, provide weather forecasts and forest fire indices to assess the risk of forest fires. Using the Canadian Forest Fire Weather Index (FWI) system [Van Wagner, 1974], fuel moisture (FFMC, DMC, DC) and fire behaviour indices (ISI, BUI, FWI) can be calculated using solely meteorological parameters (temperature, relative humidity, wind speed, and 24-hour precipitation). The Canadian FWI has been proved useful for forest fire risk assessment in different regions and has been adapted by multiple meteorological agencies worldwide. In our study, we use high resolution deterministic weather forecasts, as well as medium-range and extended-range weather forecasts provided by the European Centre for Medium-Ran</w:t>
      </w:r>
    </w:p>
    <w:p>
      <w:pPr>
        <w:pStyle w:val="Heading2"/>
      </w:pPr>
      <w:r>
        <w:t>Use and perception of weather forecast information across Europe</w:t>
      </w:r>
    </w:p>
    <w:p>
      <w:r>
        <w:t>Original source (2022): https://doi.org/10.1002/met.2053</w:t>
      </w:r>
    </w:p>
    <w:p>
      <w:r>
        <w:t>Original wording (abstract; indexed_source_text_not_full_document_verified): The two surveys indicate that there might be benefits of increased collaboration and sharing of data between European NMHSs to be able to offer their users more training, and to learn from each other in areas where insight already exists.</w:t>
      </w:r>
    </w:p>
    <w:p>
      <w:r>
        <w:t>POSSIBLE 2025: Bridging the gap between research and decision making: A European survey to enhance cooperation in wastewater-based epidemiology (WBE) for illicit drugs — https://doi.org/10.1016/j.puhe.2025.02.009</w:t>
      </w:r>
    </w:p>
    <w:p>
      <w:r>
        <w:t>Shared claim-specific concepts: two, surveys, indicate, collaboration, data, between; EU scope visible. This is a provisional connection, not an outcome finding.</w:t>
      </w:r>
    </w:p>
    <w:p>
      <w:r>
        <w:t>Available abstract (not full text):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r>
        <w:t>POSSIBLE 2025: Barriers to Deprescribing Benzodiazepines in Older Adults in a Survey of European Physicians — https://doi.org/10.1001/jamanetworkopen.2024.59883</w:t>
      </w:r>
    </w:p>
    <w:p>
      <w:r>
        <w:t>Shared claim-specific concepts: indicate, between, training, other; EU scope visible. This is a provisional connection, not an outcome finding.</w:t>
      </w:r>
    </w:p>
    <w:p>
      <w:r>
        <w:t>Available abstract (not full text): Importance: The use of benzodiazepine receptor agonists (BZRA) poses serious health risks to older adults. Although several guidelines recommend deprescribing, implementation in clinical practice remains limited. Objective: To identify physicians' barriers to and enablers of deprescribing BZRA in adults aged 65 years and older taking a BZRA for sleep problems; to determine factors associated with hospital physicians' intention to deprescribe BZRA and their self-reported routine BZRA deprescribing. Design, Setting, and Participants: This survey study included hospital physicians and general practitioners (GPs) working across 6 European Countries (Belgium, Greece, Norway, Poland, Spain, and Switzerland) between December 2022 and March 2023. Main Outcomes and Measures: Barriers identification via a 35-item questionnaire based upon the Theoretical Domains Framework (TDF). Responses were categorized as major barriers, moderate barriers, and enablers based on their mean scores. Multivariable logistic regressions were used to identify background characteristics and TDF-based domains associated with hospital physicians' intention to deprescribe and self-reported routine deprescribing. Results: Questionnaires from 240 hospital physicians and 96 GPs were analyzed. Most participants were women: 144 (61.0%) hospital physicians and 52 (54.2%) GPs. In terms of experience, the most common rep</w:t>
      </w:r>
    </w:p>
    <w:p>
      <w:r>
        <w:t>POSSIBLE 2025: Management Measures and Trends of Biological Invasions in Europe: A Survey‐Based Assessment of Local Managers — https://doi.org/10.1111/gcb.70028</w:t>
      </w:r>
    </w:p>
    <w:p>
      <w:r>
        <w:t>Shared claim-specific concepts: indicate, there, sharing, data, between, other; EU scope visible. This is a provisional connection, not an outcome finding.</w:t>
      </w:r>
    </w:p>
    <w:p>
      <w:r>
        <w:t>Available abstract (not full text): Biological invasions are a major threat to biodiversity, ecosystem functioning and nature's contributions to people worldwide. However, the effectiveness of invasive alien species (IAS) management measures and the progress toward achieving biodiversity targets remain uncertain due to limited and nonuniform data availability. Management success is usually assessed at a local level and documented in technical reports, often written in languages other than English, which makes such data notoriously difficult to collect at large geographic scales. Here we present the first European assessment of how managers perceive trends in IAS and the effectiveness of management measures to mitigate biological invasions. We developed a structured questionnaire translated into 18 languages and disseminated it to local and regional managers of IAS in Europe. We received responses from 1928 participants from 41 European countries, including 24 European Union (EU) Member States. Our results reveal substantial efforts in IAS monitoring and control, with invasive plants being the primary focus. Yet, there is a general perception of an increase in the numbers, occupied areas, and impacts of IAS across environment and taxonomic groups, particularly plants, over time. This perceived increase is consistent across both EU and non-EU countries, with respondents from EU countries demonstrating more certaint</w:t>
      </w:r>
    </w:p>
    <w:p>
      <w:r>
        <w:t>POSSIBLE 2025: Antenatal CMV screening, testing, and treatment strategies in Europe: a 2024 survey — https://doi.org/10.1080/14767058.2025.2555478</w:t>
      </w:r>
    </w:p>
    <w:p>
      <w:r>
        <w:t>Shared claim-specific concepts: benefits, increased, already; EU scope visible. This is a provisional connection, not an outcome finding.</w:t>
      </w:r>
    </w:p>
    <w:p>
      <w:r>
        <w:t>Available abstract (not full text):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r>
        <w:t>POSSIBLE 2025: Research Note: Estimating Kinship Size of Older Adults in Europe With Models and Surveys — https://doi.org/10.1215/00703370-11961236</w:t>
      </w:r>
    </w:p>
    <w:p>
      <w:r>
        <w:t>Shared claim-specific concepts: two, surveys, data, between, each; EU scope visible. This is a provisional connection, not an outcome finding.</w:t>
      </w:r>
    </w:p>
    <w:p>
      <w:r>
        <w:t>Available abstract (not full text): Measures of kinship size are increasingly common in sociodemographic studies. The size and structure of older adults' kinship networks can be ascertained via direct observation in a social survey or modeled using demographic techniques. Each approach has advantages and disadvantages, but whether the two provide comparable estimates of kinship size is an open question. In this research note, we answer this question using social survey data and demographic models to estimate the size of older adults' kinship networks in 22 European countries. We find an impressively high association between the two approaches, with important variations by the kin type considered. We discuss the reasons for the divergence in the estimates and provide guidance for researchers interested in using either approach to quantify kinship size.</w:t>
      </w:r>
    </w:p>
    <w:p>
      <w:r>
        <w:t>POSSIBLE 2024: Mechanical thrombectomy practices in Europe: Insights from a survey of European neuroradiologists from the ESMINT — https://doi.org/10.1177/23969873241286000</w:t>
      </w:r>
    </w:p>
    <w:p>
      <w:r>
        <w:t>Shared claim-specific concepts: two, surveys, data, between, training, other; EU scope visible. This is a provisional connection, not an outcome finding.</w:t>
      </w:r>
    </w:p>
    <w:p>
      <w:r>
        <w:t>Available abstract (not full text): BACKGROUND AND PURPOSE: Mechanical thrombectomy (MT) has revolutionized the prognosis of acute ischemic stroke. Indications for MT are constantly expanding across countries, presenting healthcare professionals, and institutions with the challenge of offering MT to the entire population despite geographic constraints, while also training enough interventional neuroradiologists (INR) for this highly technical-level procedure. We aimed to provide an overview of current European MT practices and organizations in 2021. MATERIALS AND METHODS: Members of the European Society of Minimally Invasive Neurological Therapy (ESMINT) were invited to complete two different online surveys from March to November 2021 to collect data on MT practice. RESULTS: A total of 240 individual responses from INR (from 33 European countries) were received. These included information from 56 thrombectomy-capable stroke centers (TCSC) data (across 26 European countries). The mean number of INR per center was 3.8 ± 1.43, median 4 (IQR, 3-4.5). Half of the centers (28/56, 50.00%) performed less than 150 MT per year. Most INR used a balloon guide catheter in less than 50% of cases (160/240, 66.67%), and limited the number of recanalization attempts to six passes to restore flow (209/240, 87.08%). Additionally, 37.92% of the respondents (91/240, 37.92%) indicated that they already performed MT for distal occlusio</w:t>
      </w:r>
    </w:p>
    <w:p>
      <w:r>
        <w:t>POSSIBLE 2024: Current practices in clinical gait analysis in Europe: A comprehensive survey-based study from the European society for movement analysis in adults and children (ESMAC) standard initiative — https://doi.org/10.1016/j.gaitpost.2024.04.014</w:t>
      </w:r>
    </w:p>
    <w:p>
      <w:r>
        <w:t>Shared claim-specific concepts: there, collaboration, data, between, training; EU scope visible. This is a provisional connection, not an outcome finding.</w:t>
      </w:r>
    </w:p>
    <w:p>
      <w:r>
        <w:t>Available abstract (not full text): BACKGROUND: Clinical gait analysis (CGA) is a systematic approach to comprehensively evaluate gait patterns, quantify impairments, plan targeted interventions, and evaluate the impact of interventions. However, international standards for CGA are currently lacking, resulting in various national initiatives. Standards are important to ensure safe and effective healthcare practices and to enable evidence-based clinical decision-making, facilitating interoperability, and reimbursement under national healthcare policies. Collaborative clinical and research work between European countries would benefit from common standards. RESEARCH OBJECTIVE: This study aimed to review the current laboratory practices for CGA in Europe. METHODS: A comprehensive survey was conducted by the European Society for Movement Analysis in Adults and Children (ESMAC), in close collaboration with the European national societies. The survey involved 97 gait laboratories across 16 countries. The survey assessed several aspects related to CGA, including equipment used, data collection, processing, and reporting methods. RESULTS: There was a consensus between laboratories concerning the data collected during CGA. The Conventional Gait Model (CGM) was the most used biomechanical model for calculating kinematics and kinetics. Respondents also reported the use of video recording, 3D motion capture systems, force pl</w:t>
      </w:r>
    </w:p>
    <w:p>
      <w:r>
        <w:t>POSSIBLE 2023: Subspecialisation in radiology in Europe, a survey of the accreditation council of imaging — https://doi.org/10.1186/s13244-023-01481-y</w:t>
      </w:r>
    </w:p>
    <w:p>
      <w:r>
        <w:t>Shared claim-specific concepts: two, there, offer, training, insight; EU scope visible. This is a provisional connection, not an outcome finding.</w:t>
      </w:r>
    </w:p>
    <w:p>
      <w:r>
        <w:t>Available abstract (not full text): BACKGROUND: To provide an overview of existing Subspecialty Exams and Diplomas in Radiology and their endorsement as well as to providing an insight into the status of subspecialisation in radiology in Europe. The European Training Curriculum for Subspecialisation in Radiology mentions thirteen fields of subspecialisation within radiology. The websites of the corresponding subspecialty societies were checked for Subspecialty Exams and Diplomas. In addition, we performed a survey among European radiologists regarding subspecialisation in radiology. RESULTS: Ten out of 13 European subspecialty societies offer a European subspecialty diploma. At least 7 out of the 10 European subspecialties societies in radiology offering a European subspecialty diploma obtained European Society of Radiology (ESR) endorsement. Two out of 10 obtained European Union of Medical Specialists-Council of European Specialist Medical Assessment endorsement. Survey among European radiologists who were ESR full members in March 2021 demonstrated that almost 20% of respondents indicated that they have no subspecialisation. Another 15% indicated that their area of subspecialisation is not recognised in their country of work. Eighty-four percent of respondents would like their area of subspecialisation in radiology to be officially recognised. According to the respondents, the major benefit of having their subs</w:t>
      </w:r>
    </w:p>
    <w:p>
      <w:r>
        <w:t>POSSIBLE 2023: Landslide monitoring techniques in the Geological Surveys of Europe — https://doi.org/10.1007/s10346-022-02007-1</w:t>
      </w:r>
    </w:p>
    <w:p>
      <w:r>
        <w:t>Shared claim-specific concepts: surveys, indicate, data, between, each; EU scope visible. This is a provisional connection, not an outcome finding.</w:t>
      </w:r>
    </w:p>
    <w:p>
      <w:r>
        <w:t>Available abstract (not full text): Abstract Landslide monitoring is a mandatory step in landslide risk assessment. It requires collecting data on landslide conditions (e.g., areal extent, landslide kinematics, surface topography, hydrogeometeorological parameters, and failure surfaces) from different time periods and at different scales, from site-specific to local, regional, and national, to assess landslide activity. In this analysis, we collected information on landslide monitoring techniques from 17 members of the Earth Observation and Geohazards Expert Group (from EuroGeoSurveys) deployed between 2005 and 2021. We examined the types of the 75 recorded landslides, the landslide techniques, spatial resolution, temporal resolution, status of the technique (operational, non-operational), time of using (before the event, during the event, after the event), and the applicability of the technique in early warning systems. The research does not indicate the accuracy of each technique but, rather, the extent to which Geological Surveys conduct landslide monitoring and the predominant techniques used. Among the types of landslides, earth slides predominate and are mostly monitored by geological and engineering geological mapping. The results showed that Geological Surveys mostly utilized more traditional monitoring techniques since they have a broad mandate to collect geological data. In addition, this paper provides</w:t>
      </w:r>
    </w:p>
    <w:p>
      <w:r>
        <w:t>POSSIBLE 2023: Soft Drink Intake in Europe—A Review of Data from Nationally Representative Food Consumption Surveys — https://doi.org/10.3390/nu15061368</w:t>
      </w:r>
    </w:p>
    <w:p>
      <w:r>
        <w:t>Shared claim-specific concepts: surveys, data, insight; EU scope visible. This is a provisional connection, not an outcome finding.</w:t>
      </w:r>
    </w:p>
    <w:p>
      <w:r>
        <w:t>Available abstract (not full text): Public health interest in reducing the intake of sugar-sweetened soft drinks has resulted in various guidelines and initiatives related to their consumption, together with an increase in availability and sales of low and no-sugars versions. The aim of this review was to gain insight regarding individual-level amounts and types of soft drinks consumed across the lifecycle as reported in nationally representative surveys in Europe. The review highlighted significant gaps and challenges regarding the availability of recent country-specific soft drink consumption data including heterogeneity in categorisations used in reporting soft drinks. Nonetheless, crude estimates of mean intake (across countries) indicated that total soft drinks and soft drinks with sugars was highest in adolescents and lowest in infants/toddlers and older adults. For infants/toddlers, crude mean intakes of soft drinks with reduced/no sugars were higher than soft drinks with sugars. The review also found that consumption of total soft drinks is decreasing with a shift to consumption of soft drinks with reduced/no sugars in replacement of sugars-containing soft drinks. This review provides valuable insight into what data are currently available on soft drink consumption in Europe with heterogeneity in categorisations, terminology, and definitions of soft drinks observed.</w:t>
      </w:r>
    </w:p>
    <w:p>
      <w:r>
        <w:t>POSSIBLE 2023: 15 years overview of European zoonotic surveys in wild boar and red deer: A systematic review — https://doi.org/10.1016/j.onehlt.2023.100519</w:t>
      </w:r>
    </w:p>
    <w:p>
      <w:r>
        <w:t>Shared claim-specific concepts: surveys, there, other; EU scope visible. This is a provisional connection, not an outcome finding.</w:t>
      </w:r>
    </w:p>
    <w:p>
      <w:r>
        <w:t>Available abstract (not full text): Wild boar (Sus scrofa) and red deer (Cervus elaphus) are the main large game species hunted in Europe. They can also be a source of zoonotic infections for cohabiting humans. The purpose of this systematic review was to examine the spatiotemporal tendencies and sanitary profiles of surveys on zoonotic diseases of wild boars and red deer in Europe in 15 years (2006–2020). Through the search strategy “((sus scrofa OR wild boar OR cervus elaphus OR red deer) AND (zoonosis OR zoonot* OR infectious disease))” in Pubmed and ScienceDirect databases, 1419 articles were assessed in February of 2021. Pursuing the inclusion criteria: species of interest – wild boar and red deer, established zoonosis and presence of natural infection and the exclusion filters: European study, specified a timeline (2006–2020), printed in English and with open-access. To conduct this systematic review, 194 European surveys issued in indexed journals were included after revising all abstracts and eliminating 323 unrepeated articles. Geographically, dissimilarity in the pattern of distribution of surveys was uttered. In the short term, the pattern of the number of publications about zoonotic diseases in wild boars and red deer oscillates, but with an increasing tendency over 15 years under study. When examining the sanitary profile of the eligible surveys, the focus is mostly on zoonoses such as Hepatitis E vi</w:t>
      </w:r>
    </w:p>
    <w:p>
      <w:pPr>
        <w:pStyle w:val="Heading2"/>
      </w:pPr>
      <w:r>
        <w:t>What energy infrastructure will be needed by 2050 in the EU to support 1.5°C scenarios?</w:t>
      </w:r>
    </w:p>
    <w:p>
      <w:r>
        <w:t>Original source (2022): https://doi.org/10.12688/f1000research.109399.1</w:t>
      </w:r>
    </w:p>
    <w:p>
      <w:r>
        <w:t>Original wording (abstract; indexed_source_text_not_full_document_verified): The objective of the study is to quantify energy infrastructure needs required in various climate neutral scenarios at the 2050 time horizon. Background: The European Commission has settled ambitious objectives in order to reach climate neutrality by 2050.</w:t>
      </w:r>
    </w:p>
    <w:p>
      <w:r>
        <w:t>POSSIBLE 2026: Multi-objective supply chain optimization of renewable energy carrier imports for Europe — https://doi.org/10.18154/rwth-2026-04980</w:t>
      </w:r>
    </w:p>
    <w:p>
      <w:r>
        <w:t>Shared claim-specific concepts: energy, infrastructure, horizon, objectives; EU scope visible. This is a provisional connection, not an outcome finding.</w:t>
      </w:r>
    </w:p>
    <w:p>
      <w:r>
        <w:t>Available abstract (not full text): We present an optimization approach examining renewable energy import partners.• The approach considers economic, environmental, and supply security objectives.• It identifies optimal exporting regions, their supply shares, and infrastructure.• It considers multiple renewable energy carriers trade over the long-term horizon.• We demonstrate the approach for the case of renewable energy imports to Europe.</w:t>
      </w:r>
    </w:p>
    <w:p>
      <w:r>
        <w:t>POSSIBLE 2026: Sustainability of the European Energy System: The Evolution of the Energy Transition, Renewable Energy, and Energy Conservation — https://doi.org/10.3390/su18084046</w:t>
      </w:r>
    </w:p>
    <w:p>
      <w:r>
        <w:t>Shared claim-specific concepts: objective, energy, climate, objectives, neutrality; EU scope visible. This is a provisional connection, not an outcome finding.</w:t>
      </w:r>
    </w:p>
    <w:p>
      <w:r>
        <w:t>Available abstract (not full text): Energy efficiency improvement represents a central strategic objective of the European Union (EU), essential for mitigating climate change and facilitating the transition toward a sustainable energy system. In 2023, renewable energy sources generated approximately 46% of the electricity produced in the EU, becoming the dominant component of the regional energy mix. This progress has been supported by coherent public policies, dedicated investment programs, and regulatory mechanisms aimed at accelerating the adoption of sustainable technologies. However, the existing literature highlights a research gap regarding the relationship between the dynamics of the European energy transition, the operational challenges generated by the rapid increase in the share of renewable energy sources, and the potential for energy savings in the residential sector through non-technological interventions. This paper analyzes the structural transformations of the European energy mix, the limitations of energy systems in the context of accelerated renewable energy integration, and the role of behavioral interventions in supporting the stability of the energy system. The study examines the dynamics of residential energy consumption, behavioral determinants of energy use, and the effectiveness of instruments such as information campaigns, real-time feedback, dynamic pricing, and demand response program</w:t>
      </w:r>
    </w:p>
    <w:p>
      <w:r>
        <w:t>POSSIBLE 2026: Energy and Emission Disutilities of Transport Modes Under Transport Innovation in the European Union — https://doi.org/10.3390/en19051346</w:t>
      </w:r>
    </w:p>
    <w:p>
      <w:r>
        <w:t>Shared claim-specific concepts: objective, energy, infrastructure, time; EU scope visible. This is a provisional connection, not an outcome finding.</w:t>
      </w:r>
    </w:p>
    <w:p>
      <w:r>
        <w:t>Available abstract (not full text): The transport sector is among the largest final energy consumers and greenhouse gas (GHG) emitters in the European Union. Consequently, reducing energy-related externalities has become a central objective in the EU’s sustainability and decarbonisation policies. This study quantifies the disutility costs associated with energy consumption and emissions across major passenger transport modes—cars, buses, and trains—using a harmonised dataset encompassing 28 EU countries. To do so, a comprehensive disutility cost framework is established, integrating time losses, monetary costs, infrastructure requirements, noise, local air pollutants, and GHG emissions, and combining correlation, regression, and clustering analyses. The results indicate that car transport incurs the highest transport disutility costs, primarily due to congestion-related energy inefficiencies and GHG emissions. In contrast, rail transport demonstrates the lowest cost, energy- and emission-related disutilities across most EU countries. Bus transport represents an intermediate solution, providing lower emission intensity compared to cars but exhibiting higher energy-related disutilities than rail systems. The findings highlight that a modal shift toward rail- and bus-based transport systems can substantially reduce transport-related energy demand, emissions, and income expenses with transport cost at the EU level. W</w:t>
      </w:r>
    </w:p>
    <w:p>
      <w:r>
        <w:t>POSSIBLE 2025: Standardizing the Quantification of the Energy Performance Gap in Buildings — https://doi.org/10.26868/25222708.2025.1342</w:t>
      </w:r>
    </w:p>
    <w:p>
      <w:r>
        <w:t>Shared claim-specific concepts: objective, energy, various, climate; EU scope visible. This is a provisional connection, not an outcome finding.</w:t>
      </w:r>
    </w:p>
    <w:p>
      <w:r>
        <w:t>Available abstract (not full text): The Energy Performance Gap (EPG), defined as the discrepancy between simulated and measured energy performance of buildings, presents a significant challenge in the energy efficiency domain. Research on the magnitude of the EPG fails to provide an accurate assessment of its actual size, with claims suggesting that its challegning to make correlations between the extent of the gap and some typical characteristics such as climate, floor space and building type [1]. Moreover, literature indicates that the magnitude may vary for the same building when compared against different baselines, such as compliance models or energy benchmarks, even when using identical measured data.This study aims to address these inconsistencies by proposing a standardized method for quantifying the EPG at both building and system levels. To achieve this objective, a comprehensive literature review will be conducted focused on current challenges related to issues of idenftuing the magnitude by simly making comparisons between simulated and measured energy performance. Furthermore, various energy benchmarks in the UK will be explored which could serve as baselines for comparison against measured energy performance.A novel framework will be developed, encompassing a new definition and quantification method for the EPG at building and system levels. The framework will undergo validation through semi-structu</w:t>
      </w:r>
    </w:p>
    <w:p>
      <w:r>
        <w:t>POSSIBLE 2025: "Biomass crops for sustainable energy in Europe: contributions to bioenergy, environment, and energy security" — https://doi.org/10.1080/17429145.2025.2564839</w:t>
      </w:r>
    </w:p>
    <w:p>
      <w:r>
        <w:t>Shared claim-specific concepts: energy, climate, objectives; EU scope visible. This is a provisional connection, not an outcome finding.</w:t>
      </w:r>
    </w:p>
    <w:p>
      <w:r>
        <w:t>Available abstract (not full text):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r>
        <w:t>POSSIBLE 2025: Quantifying the impacts of policies on compensating for the hard-to-abate emissions of a smart energy city — https://doi.org/10.1016/j.segy.2025.100213</w:t>
      </w:r>
    </w:p>
    <w:p>
      <w:r>
        <w:t>Shared claim-specific concepts: quantify, energy, climate, objectives, reach, neutrality; EU scope visible. This is a provisional connection, not an outcome finding.</w:t>
      </w:r>
    </w:p>
    <w:p>
      <w:r>
        <w:t>Available abstract (not full text): Frontrunner cities have adopted strict climate targets and evaluate a fifth of emissions to be hard-to-abate, requiring compensation for these emissions to reach carbon neutrality. Previous research on smart energy systems has largely neglected this need in local-level analyses. The present article addresses this gap by applying bottom-up energy system modeling in the case of the city of Tampere, Finland. The results quantify trade-offs between the need for transmission line expansion, electricity import, biomass consumption, and the ability to compensate for emissions with bioenergy carbon capture and storage (BECCS) when reaching carbon neutrality. This research finds that the use of an existing biomass-based combined heat and power (bio-CHP) plant with BECCS is limited by the demand for district heating (DH), challenged by individual heat pumps (HPs) and waste heat from the electrofuel production process. However, it is possible to simultaneously maintain some degree of bio-CHP and BECCS in combination with electrofuel production. Additionally, wind power deployment lowers total system cost across scenarios. In this way the city can not only serve abatement goals but also resilience and energy security objectives by virtue of the domestic, renewable-based qualities of biomass, wind and electrofuels. In this way, the city can contribute to policy coherence on the national and</w:t>
      </w:r>
    </w:p>
    <w:p>
      <w:r>
        <w:t>POSSIBLE 2025: Quantifying the role of the forest-based bioeconomy in achieving green deal objectives in Latvia — https://doi.org/10.18174/681006</w:t>
      </w:r>
    </w:p>
    <w:p>
      <w:r>
        <w:t>Shared claim-specific concepts: objective, quantify, energy, objectives; EU scope visible. This is a provisional connection, not an outcome finding.</w:t>
      </w:r>
    </w:p>
    <w:p>
      <w:r>
        <w:t xml:space="preserve">Available abstract (not full text): The global push towards sustainable development and environmental preservation has placed a spotlight on the bioeconomy, particularly the forest-based bioeconomy, as a crucial component in achieving these goals. Forests play an essential role in maintaining ecological balance and providing renewable resources, but also in supporting economic activities. In this context, understanding the contributions of the forest-based bioeconomy to broader sustainability objectives is increasingly important.The focus of this research is on Latvia, a country with a rich and diverse forest ecosystem that plays a critical role in its economy and environmental sustainability. Latvia's forest-based bioeconomy therefore presents a unique case for examining the forest-based bioeconomy.Despite the development of European and domestic action plans, there is a notable lack of quantitative assessment of these initiatives, especially for the forest-based bioeconomy. This leads to potentially suboptimal decision-making by governments, private businesses, and other stakeholders.The objective of this thesis is to quantify the significance of the forest-based bioeconomy and its contribution to achieving the goals outlined in the Green Deal in Latvia. To achieve this objective, the following four research questions have been formulated:1. To explore the ability of Latvia to reduce its dependence on imported </w:t>
      </w:r>
    </w:p>
    <w:p>
      <w:r>
        <w:t>POSSIBLE 2024: Approaches to a New Regional Energy Security Model in the Perspective of the European Transition to Green Energy — https://doi.org/10.3390/economies12030061</w:t>
      </w:r>
    </w:p>
    <w:p>
      <w:r>
        <w:t>Shared claim-specific concepts: energy, objectives, order; EU scope visible. This is a provisional connection, not an outcome finding.</w:t>
      </w:r>
    </w:p>
    <w:p>
      <w:r>
        <w:t>Available abstract (not full text): The EU energy sector became a very important one as a result of the war in Ukraine. On the other hand, the EU started in defining and implementing new strategies regarding green economy and sustainability. Even though these strategies cover short and medium periods, they have as a main goal the decrease in the EU’s dependence of energy imports. This research is focused on present challenges, risks, and uncertainties related to energy production and consumption in all EU member states. In order to achieve the research objectives, a huge statistical database, which covered 2012–2021, was used. The analysis is based on specific indicators regarding primary energy production; imports and exports; gross available energy; final energy consumption; non-energy consumption; energy dependency; and energy intensity. There are at least three research procedures used in this paper: a meta-analysis, a statistical analysis, and an econometric analysis, as well. Finally, the analysis points out the disparities between member states regarding energetic resources and energy dependency using a new model for quantifying risk factors in the European energy system. Moreover, new public policies are proposed by the authors under a cluster approach of the EU’s regions.</w:t>
      </w:r>
    </w:p>
    <w:p>
      <w:r>
        <w:t>POSSIBLE 2024: Current European Energy Architecture — https://openalex.org/W7110603362</w:t>
      </w:r>
    </w:p>
    <w:p>
      <w:r>
        <w:t>Shared claim-specific concepts: energy, infrastructure, climate, objectives; EU scope visible. This is a provisional connection, not an outcome finding.</w:t>
      </w:r>
    </w:p>
    <w:p>
      <w:r>
        <w:t xml:space="preserve">Available abstract (not full text): The current European energy architecture is in continuous evolution, considering environmental and climate priorities, but also the need to ensure energy security and accessibility for all citizens. Within this architecture, Romania and the Republic of Moldova face specific challenges and opportunities. Romania has rich natural resources, including oil, natural gas, coal, and hydropower. However, there is still a need to modernize and diversify the energy mix to make it more environmentally sustainable and reduce dependence on fossil sources. In recent years, Romania has made progress in the development of renewable energy, such as wind and solar energy, but there is still a long way to go to achieve the European goals of reducing carbon emissions and increasing the proportion of renewable energy in total consumption. As for the Republic of Moldova, the country faces significant energy challenges, including heavy dependence on energy imports, aging infrastructure and the need for modernization. The Republic of Moldova aims to diversify its energy sources and improve its energy efficiency to become more independent and sustainable from an energy point of view. Partnerships with other states and international institutions, such as the European Union, play an important role in supporting these efforts. In the European context, both countries are motivated to align themselves with </w:t>
      </w:r>
    </w:p>
    <w:p>
      <w:r>
        <w:t>POSSIBLE 2023: A Comparison of American, Canadian, and European Home Energy Performance in Heating Dominated – Moist Climates Based on Building Codes — https://doi.org/10.7275/4925868</w:t>
      </w:r>
    </w:p>
    <w:p>
      <w:r>
        <w:t>Shared claim-specific concepts: quantify, energy, climate, objectives; EU scope visible. This is a provisional connection, not an outcome finding.</w:t>
      </w:r>
    </w:p>
    <w:p>
      <w:r>
        <w:t>Available abstract (not full text): This research compares the energy performance of a code-built residential building within the moist climate zone classification in Canada, Europe, and the Northeastern United States. The primary objectives are to reveal how specific differences in code requirements in similar climates influence a building’s energy profile, offer a means to quantify and evaluate the extent of energy savings as a result of each requirement, and provide a comparison of each location’s building culture and how this affects the standards in place.\nUsing the building energy simulation tool, DesignBuilder EnergyPlus Simulation, a model single-family home was created and input energy code requirements for each location. An evaluation of each location’s building culture is examined through such factors as the training of building professionals, commonly used materials and products, energy reduction goals, and cultural attitudes.\nThe results of this study point to the need for more advanced building practices, stricter code mandates, and higher performing products based on energy savings achieved from buildings built to different standards in equivalent climate zones. This has the potential to drive the development and use of better performing building materials and assemblies in the future.</w:t>
      </w:r>
    </w:p>
    <w:p>
      <w:r>
        <w:t>POSSIBLE 2023: Quantification of the energy flexibility of residential building clusters: Impact of long-term refurbishment strategies of the italian building stock — https://doi.org/10.1016/j.enbuild.2023.113416</w:t>
      </w:r>
    </w:p>
    <w:p>
      <w:r>
        <w:t>Shared claim-specific concepts: objective, quantify, energy, objectives, reach; EU scope visible. This is a provisional connection, not an outcome finding.</w:t>
      </w:r>
    </w:p>
    <w:p>
      <w:r>
        <w:t>Available abstract (not full text): A major refurbishment of the building stock is necessary to achieve the objectives of the energy transition. In addition to decreasing the overall energy demand, the energy efficiency of buildings can create a non-negligible reserve of flexibility and resilience for the entire energy system. Long-term refurbishment strategies can have an impact on such potential of the building sector that is still not widely exploited. In this work the objective is to quantify the influence of long-term refurbishment strategies, planned until 2050, on the energy flexibility reserve of the entire building stock. Reference clusters of residential buildings have been modelled to represent the current and future scenarios of the Italian building stock. Lumped parameter models representing archetypes of residential buildings are implemented to represent the Italian building stock. Current statistics on the composition of the building stock have been combined with European refurbishment targets to 2050 to define the current and future scenarios of the Italian building stock. Since the topic of quantifying the energy flexibility of clusters of buildings is still rather open, this study proposes an analysis based on a combination of different indicators derived from the literature and proposed ad hoc by the authors. They include flexibility curves, that correlate the demand of the cluster to the penal</w:t>
      </w:r>
    </w:p>
    <w:p>
      <w:r>
        <w:t>POSSIBLE 2023: Using urban building energy modeling to quantify the energy performance of residential buildings under climate change — https://doi.org/10.1007/s12273-023-1032-2</w:t>
      </w:r>
    </w:p>
    <w:p>
      <w:r>
        <w:t>Shared claim-specific concepts: quantify, energy, climate; EU scope not established. This is a provisional connection, not an outcome finding.</w:t>
      </w:r>
    </w:p>
    <w:p>
      <w:r>
        <w:t>Available abstract (not full text): Unavailable</w:t>
      </w:r>
    </w:p>
    <w:p>
      <w:pPr>
        <w:pStyle w:val="Heading2"/>
      </w:pPr>
      <w:r>
        <w:t>Which way to net zero? a comparative analysis of seven UK 2050 decarbonisation pathways</w:t>
      </w:r>
    </w:p>
    <w:p>
      <w:r>
        <w:t>Original source (2022): https://doi.org/10.1016/j.rset.2021.100016</w:t>
      </w:r>
    </w:p>
    <w:p>
      <w:r>
        <w:t>Original wording (abstract; indexed_source_text_not_full_document_verified): The key findings reported are that (i) pathways that rely on less stringent behavioural changes require more ambitious technology development (and vice versa); (ii) electricity generation will increase by 51–160% to facilitate large-scale fuel-switching in heating and transport, the vast majority of which is likely to be generated from variable renewable sources; (iii) hydrogen is an important energy vector in meeting Net Zero for all pathways, providing 100–591 TWh annually by 2050, though the growth in demand is heavily dependent on the extent to which it is used in supplying heating and transport demand. Since the UK’s Net Zero greenhouse gas emissions target was set in 2019, organisations across the energy systems community have released pathways on how we might get there – which end-use technologies are deployed across each sector of demand, how our fossil fuel-based energy supply would be transferred to low carbon vectors and to what extent society must change the way it demands energy services.</w:t>
      </w:r>
    </w:p>
    <w:p>
      <w:r>
        <w:t>POSSIBLE 2026: Corporate Reporting in Ukraine: Key Findings and Next Steps — https://doi.org/10.5281/zenodo.21262010</w:t>
      </w:r>
    </w:p>
    <w:p>
      <w:r>
        <w:t>Shared claim-specific concepts: key, findings; EU scope not established. This is a provisional connection, not an outcome finding.</w:t>
      </w:r>
    </w:p>
    <w:p>
      <w:r>
        <w:t>Available abstract (not full text): This Action Note presents key findings, priority directions and next practical steps for the development of corporate reporting, sustainability reporting and assurance practices in Ukraine, developed in the context of the expert round table “Corporate Reporting in the Auditor’s Practice: Current State, Challenges and Development Prospects”, organized by NGO “Club Ecological Initiative” (NGO CEI) on 30 June 2026. The Note was prepared as a working analytical document following the expert discussion and will be further refined in light of professional feedback. It outlines a practical agenda for moving from fragmented discussion to systematic cooperation, from general awareness of international reporting requirements to the development of methodological support, and from isolated expert initiatives toward a permanent knowledge platform in the field of corporate reporting and sustainability. Its priority directions cover the transformation of corporate reporting, the role of auditors in sustainability assurance, biodiversity and climate-related disclosures, the need for practical guidance for Ukrainian stakeholders, and the development of the CEI Sustainability Navigator as an AI-assisted knowledge tool for structured access to legislation, international standards, analytical materials and methodological resources. The document is non-binding and does not constitute the formal pos</w:t>
      </w:r>
    </w:p>
    <w:p>
      <w:r>
        <w:t>POSSIBLE 2025: InYA – Invisible Young Athletes: Key Findings Report (Project Deliverable) — https://doi.org/10.5281/zenodo.17963501</w:t>
      </w:r>
    </w:p>
    <w:p>
      <w:r>
        <w:t>Shared claim-specific concepts: key, findings, pathways; EU scope visible. This is a provisional connection, not an outcome finding.</w:t>
      </w:r>
    </w:p>
    <w:p>
      <w:r>
        <w:t>Available abstract (not full text): This Zenodo record is a project deliverable from the Erasmus+ project Invisible Young Athletes (InYA) (101134379; ERASMUS-SPORT-2023-SSCP). It summarises key findings from the scientific manuscript “Invisible Young Athletes: What About Them?”, submitted to the journal Socialno delo and currently under peer review. The full manuscript text is not publicly available at this stage. Structured interviews were conducted with 42 participants from inclusive judo clubs in Slovenia, Croatia and Serbia (13 judoka, 12 parents, 13 coaches, 4 experts). Eleven interview questions were grouped into five thematic domains and analysed using a combined deductive–inductive thematic approach. Key findings: (1) friendships, feeling accepted and belonging are primary motivators for participation and persistence in judo; (2) inclusive judo is perceived as a safe space and often as a “last chance” after negative experiences in other sports; (3) smaller groups, individualised and playful teaching, and realistic non-exclusive expectations are emphasised; (4) programmes can rebuild self-esteem, social networks and physical literacy; (5) access to inclusive programmes and information remains uneven and is shaped by result-oriented funding and allocation of facilities; (6) long-term impact requires stable funding, systematic coach education, recognition of non-competitive pathways, and better visibility of</w:t>
      </w:r>
    </w:p>
    <w:p>
      <w:r>
        <w:t>POSSIBLE 2024: National Diabetes Audit: key findings from latest Diabetes in Pregnancy report — https://doi.org/10.1002/pdi.2504</w:t>
      </w:r>
    </w:p>
    <w:p>
      <w:r>
        <w:t>Shared claim-specific concepts: key, findings, technology; EU scope not established. This is a provisional connection, not an outcome finding.</w:t>
      </w:r>
    </w:p>
    <w:p>
      <w:r>
        <w:t>Available abstract (not full text): The use of continuous glucose monitoring technology has improved pregnancy outcomes for women with type 1 diabetes, according to the National Pregnancy in Diabetes audit report for the period 2021–2022. However, there were no such gains for women with type 2 diabetes. Steve Chaplin reports.</w:t>
      </w:r>
    </w:p>
    <w:p>
      <w:r>
        <w:t>POSSIBLE 2023: Introduction to the ESPAUR Webinar and Report 2021–2022: Key Findings and Stakeholder Engagement — https://doi.org/10.3390/msf2022015018</w:t>
      </w:r>
    </w:p>
    <w:p>
      <w:r>
        <w:t>Shared claim-specific concepts: key, findings, reported; EU scope not established. This is a provisional connection, not an outcome finding.</w:t>
      </w:r>
    </w:p>
    <w:p>
      <w:r>
        <w:t>Available abstract (not full text): During the coronavirus (COVID-19) pandemic, we saw significant decreases in the incidence of bloodstream infections (BSIs), antibiotic-resistant infections, and the burden of resistant infections. The reasons for this are complex and multifactorial, but likely, at least in part, due to changes in healthcare delivery and healthcare seeking behavior. As healthcare systems return to pre-pandemic ways of working, now is a pivotal moment to ensure focus remains on what is often referred to as the ‘silent pandemic’: antimicrobial resistance (AMR). The ninth English Surveillance Programme for Antimicrobial Utilization and Resistance (ESPAUR) report provides an overview of the national data on antibiotic prescribing and resistance, antimicrobial stewardship implementation, and awareness activities. The active contribution from and collaboration with the ESPAUR oversight group and the engagement of stakeholder organizations, including the devolved administrations, are also reported. Findings from the ESPAUR report were presented at a webinar on 23 November 2022.</w:t>
      </w:r>
    </w:p>
    <w:p>
      <w:pPr>
        <w:pStyle w:val="Heading2"/>
      </w:pPr>
      <w:r>
        <w:t>A 2050 perspective on the role for carbon capture and storage in the European power system and industry sector</w:t>
      </w:r>
    </w:p>
    <w:p>
      <w:r>
        <w:t>Original source (2021): https://doi.org/10.1016/j.eneco.2021.105631</w:t>
      </w:r>
    </w:p>
    <w:p>
      <w:r>
        <w:t>Original wording (abstract; indexed_source_text_not_full_document_verified): This unique modelling framework analyses the feasibility and costs of CCS deployment in the European Union towards 2050 in three scenarios with the same ambitious climate policy target (~85% CO2 emissions reduction). Once CO2 transport infrastructure is available, CCS will be a preferred mitigation option for the industry sector emissions.</w:t>
      </w:r>
    </w:p>
    <w:p>
      <w:r>
        <w:t>POSSIBLE 2025: Modelling of Soil Multifunctionality Across Europe — https://doi.org/10.1111/sum.70147</w:t>
      </w:r>
    </w:p>
    <w:p>
      <w:r>
        <w:t>Shared claim-specific concepts: unique, modelling, climate; EU scope visible. This is a provisional connection, not an outcome finding.</w:t>
      </w:r>
    </w:p>
    <w:p>
      <w:r>
        <w:t>Available abstract (not full text): ABSTRACT Soils sustain a number of functions playing a key role in ecosystem functioning and providing a multitude of services to human society. While it is acknowledged that all soils are multifunctional, there is, to date, limited knowledge on how the supply of soil functions and their combination differ spatially with land use type, soil characteristics, climate and land use intensity at large geographical scales. We address this gap by quantifying five functions of major importance to European soils: (1) primary productivity, (2) water regulation, (3) climate regulation, (4) nutrient cycling and (5) provision of habitat for biodiversity. We built a multi‐attribute semi‐quantitative model with a hierarchical structure. The model is structured for the large‐scale evaluation of soil functions and takes as input a set of indicators related to dynamic and stable soil properties, as well as climate, topography and management practices, and returns qualitative aggregated attributes representing the soil functions supply. Thresholds for the soil functions supply are obtained by statistical analysis coupled with expert knowledge and vary across European environmental zones. The model is tested utilizing a large pan‐European dataset focused on cropland and grassland systems. Statistical distributions of soil functions supply are obtained alongside alpha‐ and beta‐multifunctionality r</w:t>
      </w:r>
    </w:p>
    <w:p>
      <w:r>
        <w:t>POSSIBLE 2024: A unifying modelling of multiple land degradation pathways in Europe — https://doi.org/10.1038/s41467-024-48252-x</w:t>
      </w:r>
    </w:p>
    <w:p>
      <w:r>
        <w:t>Shared claim-specific concepts: modelling, three, mitigation; EU scope visible. This is a provisional connection, not an outcome finding.</w:t>
      </w:r>
    </w:p>
    <w:p>
      <w:r>
        <w:t>Available abstract (not full text):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r>
        <w:t>POSSIBLE 2022: Update of model for wild ruminant abundance based on occurrence and first models based on hunting yield at European scale — https://doi.org/10.2903/sp.efsa.2022.en-7174</w:t>
      </w:r>
    </w:p>
    <w:p>
      <w:r>
        <w:t>Shared claim-specific concepts: unique, modelling, framework, target; EU scope visible. This is a provisional connection, not an outcome finding.</w:t>
      </w:r>
    </w:p>
    <w:p>
      <w:r>
        <w:t>Available abstract (not full text): In a previous report, ENETWILD proposed a generic model framework to predict habitat suitability and likely occurrence for wild ruminant species using opportunistic presence data (occurrence records for wild ungulate species from the Global Biodiversity Information Facility). In this report, for the first time, we develop models based on hunting yield data (HY) for the most widely distributed wild ruminant species in Europe: roe deer (Capreolus capreolus) and red deer (Cervus elaphus). We also update models based on occurrence (roe deer, red deer, fallow deer (Dama dama), European moose (Alces alces) and muntjac (Muntiacus reevesi), evaluate the performance of both approaches, and compare outputs. As for HY models, we could not conduct one model per bioregion as there are not enough data for modelling in some bioregions, and therefore, we calibrated a unique model, including eco-geographical variables as predictors. The calibration plots for HY models showed a good predictive performance for red deer in the Eastern bioregion and roe deer at Eastern and Western. The abundance distribution pattern of red deer HY was widely scattered over all Europe, as expected for a widely distributed species which shows high ecological plasticity, and roe deer presented the highest abundance in Atlantic and Eastern Europe, progressively decreasing towards Northern Mediterranean bioregions. Over</w:t>
      </w:r>
    </w:p>
    <w:p>
      <w:r>
        <w:t>POSSIBLE 2022: highRES-Europe: The high spatial and temporal Resolution Electricity System model for Europe — https://doi.org/10.1016/j.softx.2022.101003</w:t>
      </w:r>
    </w:p>
    <w:p>
      <w:r>
        <w:t>Shared claim-specific concepts: co2, emissions, transport, infrastructure; EU scope visible. This is a provisional connection, not an outcome finding.</w:t>
      </w:r>
    </w:p>
    <w:p>
      <w:r>
        <w:t>Available abstract (not full text): The high spatial and temporal resolution electricity system model, highRES, is used to design cost-effective, flexible and weather resilient electricity systems for Great Britain and Europe. The model is specifically designed to analyse the effects of high shares of variable renewables and explore integration/flexibility options. As the proportion of renewables in electricity generation increases, there will be increasing imbalances between electricity demand and supply. highRES is a high-resolution electricity system model that simultaneously considers infrastructure planning (investment) and operational (dispatch) decisions to identify the most cost-effective strategies to cope with growing shares of intermittent renewables. It does this by comparing and trading off potential options to integrate renewables into the system including the extension of the transmission grid, interconnection with other countries, building flexible generation (e.g. gas power stations), renewable curtailment and energy storage. highRES is written in GAMS and its objective is to minimise power system investment and operational costs to meet hourly demand, subject to a number of unit and system constraints. It can model a variety of technical characteristics of thermal generators (e.g. ramping restrictions, minimum stable generation, startup costs, minimum up and down times) depending on the requirem</w:t>
      </w:r>
    </w:p>
    <w:p>
      <w:r>
        <w:t>POSSIBLE 2022: New models for wild ungulates occurrence and hunting yield abundance at European scale — https://doi.org/10.2903/sp.efsa.2022.en-7631</w:t>
      </w:r>
    </w:p>
    <w:p>
      <w:r>
        <w:t>Shared claim-specific concepts: modelling, framework, three, available; EU scope visible. This is a provisional connection, not an outcome finding.</w:t>
      </w:r>
    </w:p>
    <w:p>
      <w:r>
        <w:t>Available abstract (not full text): The goal of this report is i) to model the occurrence and hunting yield (HY) density of wild ungulates not only for widely distributed species in Europe, but also for those ones which have a constrained distribution and ii) to compare the output of occurrence with observed HY. Random Forest function was used for modelling occurrence of species. We used occurrence data available from the past 30 years, and HY data (period 2015-2020) from records collected by ENETWILD. Like previous models based on HY, the response variable was the maximum number of wild ruminants annually hunted in 2015-2020 hunting seasons divided by the area (km2) of the corresponding administrative unit (HY density). Models based on HY were statistically downscaled to make predictions to 10x10km squares. Occurrence data models indicated a good predictive performance for most species, showing that the model framework proposed have improved results in comparison to previous models. The transferability of models into new regions was limited by the exposure of species to environmental conditions. As for HY models, the calibration plots showed a good and linear predictive performance for widely distributed species, as well as constrained distributed species. Overall, our results were consistent with the expected abundance distribution of widely distributed species. The removal of zeros on the validation datasets a</w:t>
      </w:r>
    </w:p>
    <w:p>
      <w:r>
        <w:t>POSSIBLE 2022: A modelling framework to design an evacuation support system for healthcare infrastructures in response to major flood events — https://doi.org/10.1016/j.pdisas.2022.100218</w:t>
      </w:r>
    </w:p>
    <w:p>
      <w:r>
        <w:t>Shared claim-specific concepts: modelling, framework, climate; EU scope not established. This is a provisional connection, not an outcome finding.</w:t>
      </w:r>
    </w:p>
    <w:p>
      <w:r>
        <w:t>Available abstract (not full text): Extreme weather events such as floods are predicted to become increasingly common and severe as the climate changes. Effectively functioning hospitals are critical to a community's resilience to the adverse health impacts of such events. Yet many hospitals have not been designed with extreme weather risks in mind and are built in flood-prone areas, raising concerns about their ability to support community healthcare needs when they eventuate. While considerable research has been conducted on developing disaster responses to maintain healthcare services in the face of floods, there is a paucity of research on hospital evacuating planning. Addressing this critical gap in research, this paper explores current state-of-the-art hospital evacuation transportation models to identify key factors for developing more effective evacuation planning for future flooding risks. A new modelling framework is proposed, which addresses the limitations of existing hospital evacuation models and proposes factors that should be incorporated into future models to enhance community resilience to growing flood risks due to climate change.</w:t>
      </w:r>
    </w:p>
    <w:p>
      <w:pPr>
        <w:pStyle w:val="Heading2"/>
      </w:pPr>
      <w:r>
        <w:t>A look into the future of the COVID-19 pandemic in Europe: an expert consultation</w:t>
      </w:r>
    </w:p>
    <w:p>
      <w:r>
        <w:t>Original source (2021): https://doi.org/10.1016/j.lanepe.2021.100185</w:t>
      </w:r>
    </w:p>
    <w:p>
      <w:r>
        <w:t>Original wording (abstract; indexed_source_text_not_full_document_verified): The challenges and developments will strongly depend on the progress of national and global vaccination programs, the emergence and spread of variants of concern (VOCs), and public responses to non-pharmaceutical interventions (NPIs). In autumn 2021, increased indoor activity might accelerate the spread again, whilst a necessary reintroduction of NPIs might be too slow.</w:t>
      </w:r>
    </w:p>
    <w:p>
      <w:r>
        <w:t>POSSIBLE 2024: European Youth Work Developments and Challenges—A Meta-Synthesis — https://doi.org/10.3390/youth4030075</w:t>
      </w:r>
    </w:p>
    <w:p>
      <w:r>
        <w:t>Shared claim-specific concepts: challenges, developments, national, activity; EU scope visible. This is a provisional connection, not an outcome finding.</w:t>
      </w:r>
    </w:p>
    <w:p>
      <w:r>
        <w:t>Available abstract (not full text): Youth work has become a well-developed European field of activity in terms of structure and content, not at least since the adoption of the European Youth Work Agenda (2020). Through a meta-synthesis of three structural studies on youth work in Europe, this article provides three main considerations. Firstly, the article makes an analytical distinction between European youth work and youth work in Europe, thus clarifying the general concept of “youth work”. Secondly, this analytical distinction helps to systematise and classify the topics being dealt with by actors in the field of youth work: youth work as a European framework (role of European documents; transfer between levels; youth work in times of crises), youth work development at the national, regional and local level (youth work legal framework; funding; recognition, quality and professionalisation; innovations), and the multi-dimensional challenges of shrinking spaces for both young people and youth work (youth work as an independent field of action; shortage of skilled labour; austerity measures; young people moving away; rise of extremism). Thirdly, the discursive openings the different concepts and narratives of youth work can offer are outlined. In this way, the article hopes to contribute to the (further) development of youth work theory in Europe.</w:t>
      </w:r>
    </w:p>
    <w:p>
      <w:r>
        <w:t>POSSIBLE 2024: DEVELOPMENTS AND CHALLENGES REGARDING THE EUROPEAN CAPITAL MARKETS INTEGRATION PROJECT — https://doi.org/10.55654/jfs.2024.9.16.13</w:t>
      </w:r>
    </w:p>
    <w:p>
      <w:r>
        <w:t>Shared claim-specific concepts: challenges, developments, progress, national; EU scope visible. This is a provisional connection, not an outcome finding.</w:t>
      </w:r>
    </w:p>
    <w:p>
      <w:r>
        <w:t>Available abstract (not full text): The concept of a Capital Market Union exerts significant influence over debates within the European Union. Achieving a Capital Market Union is seen as a means of fostering deeper integration, promoting economic growth, and encouraging sustainable investments. This paper explores the status of the project regarding the Capital Market Union, focusing on key developments, challenges, and potential impacts on the financial system of the European Union. The evidence presented emphasize the role of the Capital Market Union in providing alternative financing channels, reducing fragmentation, and diversifying investment opportunities within the European Union. Although progress was made, the Capital Market Union faces a multitude of challenges that affect its efficiency and sustainability. These include regulatory barriers, divergent national practices, geopolitical uncertainties, and the impact of COVID-19 on market dynamics. Furthermore, the potential impact of a fully accomplished Capital Market Union is considered, including its effects on economic stability, risk management, and the global competitiveness of the European Union. The analysis also addresses implications for market participants, investors, regulatory authorities, and the broader socio-economic context within the European Union. Ultimately, the paper underscores the importance of the Capital Market Union as an acceler</w:t>
      </w:r>
    </w:p>
    <w:p>
      <w:r>
        <w:t>POSSIBLE 2024: The challenger advantage – how challenger parties disrupt mainstream party dominance in the European Parliament — https://doi.org/10.1080/13501763.2024.2391510</w:t>
      </w:r>
    </w:p>
    <w:p>
      <w:r>
        <w:t>Shared claim-specific concepts: developments, responses; EU scope visible. This is a provisional connection, not an outcome finding.</w:t>
      </w:r>
    </w:p>
    <w:p>
      <w:r>
        <w:t>Available abstract (not full text): Under what conditions can challenger parties disrupt mainstream party dominance in democratic institutions? While extant work describes the cultural and economic developments that benefit challengers and parties’ programmatic responses to these, I demonstrate when and how challengers exploit these conditions in their political communication. Theoretically, I posit that challenger parties have relatively stronger vote-seeking incentives than mainstream parties. These collective incentives affect individual parliamentarians’ cost–benefit calculations. Challenger parliamentarians will engage in anti-establishment rhetoric and issue-entrepreneurship when these signals are more likely to reach the voting public and pay-off electorally. I test this theory by analysing parliamentary debates from the European Parliament (1999–2016) through a novel combination of word embeddings and bespoke dictionaries. I find that challenger parties indeed pursue different communication strategies than mainstream parties. Challenger parliamentarians engage in anti-establishment rhetoric in the run-up to elections and issue-entrepreneurship during crises. This is because these factors make speeches more likely to be transmitted to voters. These results demonstrate that challengers adjust their political communication in opportune moments giving them a competitive advantage over less flexible mainstream</w:t>
      </w:r>
    </w:p>
    <w:p>
      <w:r>
        <w:t>POSSIBLE 2022: The challenges to labour mobility at the European level — https://doi.org/10.4324/9781003298649-3</w:t>
      </w:r>
    </w:p>
    <w:p>
      <w:r>
        <w:t>Shared claim-specific concepts: challenges, strongly, national; EU scope visible. This is a provisional connection, not an outcome finding.</w:t>
      </w:r>
    </w:p>
    <w:p>
      <w:r>
        <w:t>Available abstract (not full text): The issue of worker mobility is intrinsically tied to the European Union, whose project is to create a single European market. This is seen as the central concept that will bring Member States and European citizens closer together and create “de facto solidarities” underpinned by legal relations that should be able to prevent any further military conflict in Europe. The underlying economic approach to establishing a European Community explains why the European market must extend to all economic agents, including workers. Since the early 1950s, European institutions have had the objective of promoting the economic and social benefits of worker mobility, which implies encouraging mobility and removing obstacles to it. The development of the European Union in its social and political dimensions, initially not very concerned by the market, involves confronting the economic, institutional, socio-political, and legal challenges related to worker mobility. Among the areas that fall within the EU’s supporting competences – such as sport – worker mobility is particularly relevant, mainly because national issues remain strongly present, but also because significant mobility issues have not yet been regulated within a transnational European institutional framework. These mobility issues include standard contracts for salaried professional athletes, numbers of locally trained players in pr</w:t>
      </w:r>
    </w:p>
    <w:p>
      <w:pPr>
        <w:pStyle w:val="Heading2"/>
      </w:pPr>
      <w:r>
        <w:t>Above the Fog and the Fury: EU Strategic Policy Planning and the EU’s Future in Times of Global Uncertainty</w:t>
      </w:r>
    </w:p>
    <w:p>
      <w:r>
        <w:t>Original source (2021): https://doi.org/10.54648/eerr2021005</w:t>
      </w:r>
    </w:p>
    <w:p>
      <w:r>
        <w:t>Original wording (abstract; indexed_source_text_not_full_document_verified): Put simply, strategic planning and strategic foresight are disciplines that aim at identifying possible futures, mapping options and charting possible responses and strategic goals and as such support informed and sound policy-making.</w:t>
      </w:r>
    </w:p>
    <w:p>
      <w:r>
        <w:t>POSSIBLE 2024: An in-depth multivariate analysis of PM2.5 concentration and associated premature deaths in Europe and its strategic relationship with sustainability — https://doi.org/10.1016/j.acags.2024.100184</w:t>
      </w:r>
    </w:p>
    <w:p>
      <w:r>
        <w:t>Shared claim-specific concepts: strategic, identifying, goals; EU scope visible. This is a provisional connection, not an outcome finding.</w:t>
      </w:r>
    </w:p>
    <w:p>
      <w:r>
        <w:t>Available abstract (not full text): The strategic importance of sustainability is evident when it comes, for example, to health. Public policies aimed at mitigating the effects of harmful substances, such as fine particulate matter (PM 2.5), are justified by the direct link between fine particulate matter and the health of citizens, in this case, premature deaths. An advanced statistical and exhaustive analysis of different areas and countries shows a strong link between exposure to PM2.5, premature deaths in other countries, and significant differences in PM2.5 levels between urban and rural areas. Although PM2.5 concentration has decreased in most countries studied, this effort must be continued and aligned with the Sustainable Development Goals of the 2030 Agenda, underlining the need to implement effective air pollution control policies to reduce the health risks associated with PM2.5 exposure. To this end, identifying temporal trends and geographical patterns can guide the development of specific interventions tailored to the needs of each region.</w:t>
      </w:r>
    </w:p>
    <w:p>
      <w:pPr>
        <w:pStyle w:val="Heading2"/>
      </w:pPr>
      <w:r>
        <w:t>Alternative futures for shared mobility systems: impacts on transport planning tools and techniques</w:t>
      </w:r>
    </w:p>
    <w:p>
      <w:r>
        <w:t>Original source (2021): https://doi.org/10.1016/j.trpro.2021.11.032</w:t>
      </w:r>
    </w:p>
    <w:p>
      <w:r>
        <w:t>Original wording (abstract; indexed_source_text_not_full_document_verified): This paper presents a series of explorative scenarios that provide different contexts for the evolution of urban mobility in Europe, in order to grasp the plausible pathways that shared mobility services will follow in the upcoming decades. The scenarios are adapted from those developed by the climate change research community and are used in a Delphi poll to gather expert visions on how shared mobility services will evolve.</w:t>
      </w:r>
    </w:p>
    <w:p>
      <w:r>
        <w:t>POSSIBLE 2026: The Heritagemonitor: Exploring projects, works and institutions in cultural heritage across Europe — https://doi.org/10.5281/zenodo.20642926</w:t>
      </w:r>
    </w:p>
    <w:p>
      <w:r>
        <w:t>Shared claim-specific concepts: presents, series, developed; EU scope visible. This is a provisional connection, not an outcome finding.</w:t>
      </w:r>
    </w:p>
    <w:p>
      <w:r>
        <w:t>Available abstract (not full text):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r>
        <w:t>POSSIBLE 2026: The Heritagemonitor: Exploring projects, works and institutions in cultural heritage across Europe — https://doi.org/10.5281/zenodo.20643287</w:t>
      </w:r>
    </w:p>
    <w:p>
      <w:r>
        <w:t>Shared claim-specific concepts: presents, series, developed; EU scope visible. This is a provisional connection, not an outcome finding.</w:t>
      </w:r>
    </w:p>
    <w:p>
      <w:r>
        <w:t>Available abstract (not full text): This poster series presents the functions projects, works and institutions of the Heritagemonitor application (https://heritagemonitor.org). The Heritagemonitor is a web application developed within the framework of the EU Horizon project DIGICHer. It aggregates large datasets, visualizes them, and makes them easily searchable - with a focus on cultural heritage. Start exploring now!</w:t>
      </w:r>
    </w:p>
    <w:p>
      <w:r>
        <w:t>POSSIBLE 2024: Exploring European decarbonisation pathways in the Power Decisions Game — https://doi.org/10.1186/s13705-024-00469-w</w:t>
      </w:r>
    </w:p>
    <w:p>
      <w:r>
        <w:t>Shared claim-specific concepts: pathways, climate, used; EU scope visible. This is a provisional connection, not an outcome finding.</w:t>
      </w:r>
    </w:p>
    <w:p>
      <w:r>
        <w:t>Available abstract (not full text):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r>
        <w:t>POSSIBLE 2023: Critical Heritage Studies and the Futures of Europe — https://doi.org/10.14324/111.9781800083936</w:t>
      </w:r>
    </w:p>
    <w:p>
      <w:r>
        <w:t>Shared claim-specific concepts: presents, series, urban, climate, used; EU scope visible. This is a provisional connection, not an outcome finding.</w:t>
      </w:r>
    </w:p>
    <w:p>
      <w:r>
        <w:t>Available abstract (not full text): Cultural and natural heritage are central to ‘Europe’ and ‘the European project’. They were bound up in the emergence of nation-states in the eighteenth and nineteenth centuries, where they were used to justify differences over which border conflicts were fought. Later, the idea of a ‘common European heritage’ provided a rationale for the development of the European Union. Now, the emergence of ‘new’ populist nationalisms shows how the imagined past continues to play a role in cultural and social governance, while a series of interlinked social and ecological crises are changing the ways that heritage operates. New discourses and ontologies are emerging to reconfigure heritage for the circumstances of the present and the uncertainties of the future. Taking the current role of heritage in Europe as its starting point, Critical Heritage Studies and the Futures of Europe presents a number of case studies that explore key themes in this transformation. Contributors draw on a range of disciplinary perspectives to consider, variously, the role of heritage and museums in the migration and climate ‘emergencies’; approaches to urban heritage conservation and practices of curating cities; digital and digitised heritage; the use of heritage as a therapeutic resource; and critical approaches to heritage and its management. Taken together, the chapters explore the multiple ontologies throug</w:t>
      </w:r>
    </w:p>
    <w:p>
      <w:r>
        <w:t>POSSIBLE 2022: European Security — https://doi.org/10.5771/9783748936459</w:t>
      </w:r>
    </w:p>
    <w:p>
      <w:r>
        <w:t>Shared claim-specific concepts: presents, series, order; EU scope visible. This is a provisional connection, not an outcome finding.</w:t>
      </w:r>
    </w:p>
    <w:p>
      <w:r>
        <w:t>Available abstract (not full text): War with all its horrors has returned to the continent. Russia, with her war against Ukraine, has turned the entire post-war order upside down and triggered another crisis for Europe. Geopolitics must be based on a clear vision of a desired state, an assessment of the environment and an honest analysis of one’s own capabilities and means. The (geo)political decision must explore all legal boundaries to put aggressors permanently in their place. The EU has experienced a series of crises since 2008. Only a ‚sine ira et studio‘ approach will overcome this permanent crisis. This book presents the geopolitical options for security, foreign and economic policy, and strategic decisions.</w:t>
      </w:r>
    </w:p>
    <w:p>
      <w:r>
        <w:t>POSSIBLE 2022: Greening Europe — https://openalex.org/W7137726371</w:t>
      </w:r>
    </w:p>
    <w:p>
      <w:r>
        <w:t>Shared claim-specific concepts: presents, series; EU scope visible. This is a provisional connection, not an outcome finding.</w:t>
      </w:r>
    </w:p>
    <w:p>
      <w:r>
        <w:t>Available abstract (not full text): The third installment of the ‘European Public Investment Outlook’ series is an important and timely publication that draws together recent analyses to recommend significant increases in public investment in green ventures. Compelling data from key economists affiliated with international organizations like the International Monetary Fund, European Investment Bank and the European Commission, as well as academic departments and policy institutes are a clarion call for green investment to boost the economy and put the planet on a sustainable path. Like its predecessors, the book presents the issues in a lucid and navigable manner. Part I explores the EU’s current levels of green public investment, as well as the challenges ahead in achieving net zero carbon emissions after years of decreasing funding and the obstacles presented by the COVID-19 pandemic and the Russian invasion of Ukraine. The public investment trends of France, Germany, Italy and Spain are systematically evaluated, as well as the REPowerEU policy – accelerated in Spring 2022 – to move away from Russia’s supply of fossil fuels. Part II focuses on the investment needed for green transition; the important economic and fiscal effects and benefits this would bring; and the reality of what is required before 2030 to achieve the EU’s carbon-neutral targets by 2050. Greening Europe is essential reading for economists, en</w:t>
      </w:r>
    </w:p>
    <w:p>
      <w:r>
        <w:t>POSSIBLE 2022: European journal of science archives conferences series — https://doi.org/10.5281/zenodo.6481391</w:t>
      </w:r>
    </w:p>
    <w:p>
      <w:r>
        <w:t>Shared claim-specific concepts: series, provide, order, used; EU scope visible. This is a provisional connection, not an outcome finding.</w:t>
      </w:r>
    </w:p>
    <w:p>
      <w:r>
        <w:t>Available abstract (not full text): Institute for Scientific Research and Publication\n\n&amp;\n\nResearch and Publishing Center virtualconferences. press\n\n \n\nEuropean journal of science archives conferences series/ Konferenzreihe der europäischen Zeitschrift für Wissenschaftsarchive\n\nInternet address: http://ifsrp.edu.ge/\n\nE-mail: info@ifsrp.edu.ge/\n\nPublished by Institute for Scientific Research and Publication &amp; Research and Publishing Center virtualconferences. press\n\nIssued monthly\n\nDOI https://doi.org/10.5281/zenodo.6481360\n\nHausarztzentrum Aachen-Forst Trierer Str. 67, 52078 Aachener, Germany\n\n \n\nRequirements for the authors.\n\nThe manuscript authors must provide reliable results of the work done, as well as an\n\nobjective judgment on the significance of the study. The data underlying the work should\n\nbe presented accurately, without errors. The work should contain enough details and bibliographic references for possible reproduction. False or knowingly erroneous statements\n\nare perceived as unethical behavior and unacceptable.\n\nAuthors should make sure that the original work is submitted and, if other authors' works or claims are used, provide appropriate bibliographic references or citations. Plagiarism\n\ncan exist in many forms - from representing someone else’s work as copyright to copying or paraphrasing significant parts of another’s work without attribution, as well as claim</w:t>
      </w:r>
    </w:p>
    <w:p>
      <w:pPr>
        <w:pStyle w:val="Heading2"/>
      </w:pPr>
      <w:r>
        <w:t>Are the European manufacturing and energy sectors on track for achieving net-zero emissions in 2050? An empirical analysis</w:t>
      </w:r>
    </w:p>
    <w:p>
      <w:r>
        <w:t>Original source (2021): https://doi.org/10.1016/j.enpol.2021.112464</w:t>
      </w:r>
    </w:p>
    <w:p>
      <w:r>
        <w:t>Original wording (abstract; indexed_source_text_not_full_document_verified): The findings highlight that achieving net-zero emissions by 2050 will require additional policies that are tailored to super-polluters and also support installations that have not started their decarbonisation pathway. The European Green Deal has established a 2050 net-zero emissions target to tackle climate change.</w:t>
      </w:r>
    </w:p>
    <w:p>
      <w:r>
        <w:t>POSSIBLE 2026: Achieving SDG6 for Sustainable Water Supply and Wastewater Management in Southeastern Europe — https://doi.org/10.64697/iahr-apd2024_p559</w:t>
      </w:r>
    </w:p>
    <w:p>
      <w:r>
        <w:t>Shared claim-specific concepts: findings, highlight, achieving, policies, support, established; EU scope visible. This is a provisional connection, not an outcome finding.</w:t>
      </w:r>
    </w:p>
    <w:p>
      <w:r>
        <w:t>Available abstract (not full text): To assist three Southeastern Europe (SEE) countries, namely Albania, Bosnia and Herzegovina, and Montenegro, in meeting their SDG 6 targets while simultaneously enhancing their environment and advancing sustainable development, two UNESCO Water Centres from SEE were assigned a collaborative project, the findings of which are summarized in this paper. The paper offers an integrated strategy for achieving SDG6 focusing among others to objective 6B, which concerns stakeholder engagement, and specifically targets indicator 6.B.1. This indicator evaluates the extent to which local administrative units have established and operationalized policies and mechanisms for involving local communities in water and sanitation management. A combination of in-person interviews, site visits, data collecting and analysis from literature, and a standardized questionnaire directed at local and regional water agencies to describe and analyse the current state of water resource management in the three SEE countries. The more pressing needs related to drinking water and wastewater security were investigated. Subsequently, a thorough evaluation encompassing water and wastewater services, water infrastructure, policy issues, funding, and management aspects was conducted to provide a comprehensive review. Key areas of focus include the identification of priority needs, the need for water conservation pla</w:t>
      </w:r>
    </w:p>
    <w:p>
      <w:r>
        <w:t>POSSIBLE 2026: Achieving SDG 7 in the European Union: The Impact of Institutions and Macroeconomic Factors on Energy Conservation — https://doi.org/10.1002/sd.71042</w:t>
      </w:r>
    </w:p>
    <w:p>
      <w:r>
        <w:t>Shared claim-specific concepts: findings, achieving, policies, support; EU scope visible. This is a provisional connection, not an outcome finding.</w:t>
      </w:r>
    </w:p>
    <w:p>
      <w:r>
        <w:t>Available abstract (not full text): ABSTRACT Achieving sustainable energy goals (SDG 7) in the European Union requires a deep understanding of the factors driving energy management and conservation. This study investigates the macroeconomic, institutional, and policy drivers of energy management and conservation outcomes across the 27 EU member states from 2014 to 2023. Using multilevel two‐way fixed‐effects models on a panel dataset, we analyze primary energy consumption, final energy consumption, and energy productivity as complementary indicators of energy conservation and energy management. Panel results show that higher energy prices are key drivers of improved energy productivity and conservation, supporting the effectiveness of price‐based instruments. Furthermore, cross‐sectional analysis indicates that stronger institutional quality is positively associated with these outcomes, highlighting the relevance of robust governance. Moderation results relying on the 2023 cross‐section should be interpreted cautiously, as they cannot support causal inference or persistence over time. Coherent policy mixes significantly enhance energy management, particularly in the industry and services sectors; notably, the policy mix acts as a suppressor rather than a mediator in these relationships. Our findings underscore that a successful and just energy transition, aligned with the Sustainable Development Goals, necessitat</w:t>
      </w:r>
    </w:p>
    <w:p>
      <w:r>
        <w:t>POSSIBLE 2026: Agriculture Contributions to Water Pollution and Sustainable Policy Solutions in Europe — https://doi.org/10.3390/earth7040115</w:t>
      </w:r>
    </w:p>
    <w:p>
      <w:r>
        <w:t>Shared claim-specific concepts: findings, policies, support, green, deal; EU scope visible. This is a provisional connection, not an outcome finding.</w:t>
      </w:r>
    </w:p>
    <w:p>
      <w:r>
        <w:t>Available abstract (not full text):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r>
        <w:t>POSSIBLE 2025: Towards a harmonized operational earthquake forecasting model for Europe — https://doi.org/10.5194/nhess-25-991-2025</w:t>
      </w:r>
    </w:p>
    <w:p>
      <w:r>
        <w:t>Shared claim-specific concepts: findings, highlight, not; EU scope visible. This is a provisional connection, not an outcome finding.</w:t>
      </w:r>
    </w:p>
    <w:p>
      <w:r>
        <w:t>Available abstract (not full text): Abstract. We develop a harmonized earthquake forecasting model for Europe based on the Epidemic-type Aftershock Sequence (ETAS) model to describe the spatio-temporal evolution of aftershock sequences. We propose a method modification that integrates information from the European Seismic Hazard Model (ESHM20) about the spatial variation of background seismicity during ETAS parameter inversion based on the expectation-maximization (EM) algorithm. Other modifications to the basic ETAS model are explored, namely fixing the productivity term to a higher value to balance the more productive triggering by high-magnitude events with their much rarer occurrence, and replacing the b-value estimate with one relying on the b-positive method to observe the possible effect of short-term incompleteness on model parameters. Retrospective and pseudo-prospective tests demonstrate that ETAS-based models outperform the time-independent benchmark model as well as an ETAS model calibrated on global data. The background-informed ETAS variant achieves the highest score in the pseudo-prospective experiment, but the performance difference to the second-best model is not significant. Our findings highlight promising areas for future exploration, such as avoiding the simplification of using a single b-value for the entire region or reevaluating the completeness of the used seismic catalogs.</w:t>
      </w:r>
    </w:p>
    <w:p>
      <w:r>
        <w:t>POSSIBLE 2025: Analysis of water scarcity manifestations in Europe and Ukraine’s place in the system of European water resource coordinates — https://doi.org/10.17721/2306-5680.2025.1.2</w:t>
      </w:r>
    </w:p>
    <w:p>
      <w:r>
        <w:t>Shared claim-specific concepts: findings, also, climate; EU scope visible. This is a provisional connection, not an outcome finding.</w:t>
      </w:r>
    </w:p>
    <w:p>
      <w:r>
        <w:t xml:space="preserve">Available abstract (not full text): The article presents an analysis of the concept of water deficit and assesses Ukraine’s position in terms of water availability. The main objective of the study is to identify long-term changes in the state of water potential across the European region and to determine possible trends influenced by climatic and anthropogenic factors. The main water-related issues in European countries are highlighted, and the key factors influencing the formation of water resources across Europe are described. A SWOT analysis of Ukraine’s water resource potential is conducted. The study examines the basic indicator of water availability and the main criteria for defining water stress. To achieve this objective, cartographic and comparative-geographical methods were applied to assess the condition of Europe’s water resources. Southern European countries are experiencing an acute water deficit due to increasing aridization and climate shifts. Central Europe is characterized by the depletion of groundwater layers and surface water pollution caused by anthropogenic pressure from industrial production. The main threat to Northern Europe is the onset of glacier and snow melting as a result of global warming. Trends indicate the potential emergence of migration waves over the next 50 years. The increase in water consumption by European countries will alter the water situation and is likely to lead to </w:t>
      </w:r>
    </w:p>
    <w:p>
      <w:r>
        <w:t>POSSIBLE 2025: Analysis of solar and wind energy utilisation in Europe and Africa — https://doi.org/10.70132/z8468559752</w:t>
      </w:r>
    </w:p>
    <w:p>
      <w:r>
        <w:t>Shared claim-specific concepts: findings, highlight, achieving, policies, climate; EU scope visible. This is a provisional connection, not an outcome finding.</w:t>
      </w:r>
    </w:p>
    <w:p>
      <w:r>
        <w:t>Available abstract (not full text): The increasing reliance on renewable energy sources is essential for achieving global sustainability, with solar and wind energy playing pivotal roles in mitigating climate change and reducing dependency on fossil fuels.This study presents an in-depth comparative analysis of solar and wind energy utilisation in Europe and Africa, examining the key differences in resource availability, adoption rates, technological advancements, economic factors, and policy frameworks.Europe has made significant progress integrating renewable energy into its energy mix through comprehensive policies, substantial financial investments, and cutting-edge technological developments.In contrast, despite possessing immense renewable energy potential, particularly in solar energy, Africa faces considerable challenges, including inadequate infrastructure, limited funding, and inconsistent policy implementation.The findings highlight the barriers and opportunities for both regions and propose strategies to optimise renewable energy deployment, fostering sustainable development across diverse socio-economic contexts.</w:t>
      </w:r>
    </w:p>
    <w:p>
      <w:r>
        <w:t>POSSIBLE 2025: Green Finance, Innovation, and Financial Markets: Shaping Industrial Resilience in China and Europe — https://doi.org/10.55991/j.rjef.94187</w:t>
      </w:r>
    </w:p>
    <w:p>
      <w:r>
        <w:t>Shared claim-specific concepts: findings, highlight, achieving, also, support, green; EU scope visible. This is a provisional connection, not an outcome finding.</w:t>
      </w:r>
    </w:p>
    <w:p>
      <w:r>
        <w:t>Available abstract (not full text): This study examines the impact of green finance (GF), industrial innovation (II), and financial market dynamics (FMD) on industrial resilience (IR) in China and selected European industrialized nations. Panel data from 2003 to 2022 is utilized for empirical analysis. The study used FMOLS regression techniques to control for unobserved heterogeneity across countries. Similarly, GMM estimation is employed to address endogeneity concerns and validate the outcomes. This study proposes three empirical models for achieving its objectives. The models include a baseline model evaluating direct impacts, an interaction model investigating moderating connections, and a region-specific model comparing China with Europe. Findings reveal that GF, II, and FMD significantly enhance IR. Interaction effects indicate that the combined impact of GF and II, GF and FMD, and II and FMD also positively influence IR in the selected panel. Further examination of the regional comparisons reveals that while FMD is more substantial in Europe, China achieves more from GF and II. These results confirm the hypotheses of the study and highlight the importance of financial structures and policy frameworks in shaping industrial resilience. The study further recommends stronger financial market integration with sustainability initiatives in China and increased support for innovation in Europe.</w:t>
      </w:r>
    </w:p>
    <w:p>
      <w:r>
        <w:t>POSSIBLE 2025: From pastures to plates: The thorny path to achieving deforestation-free cattle from Brazil to European consumers — https://doi.org/10.1016/j.ecolecon.2025.108524</w:t>
      </w:r>
    </w:p>
    <w:p>
      <w:r>
        <w:t>Shared claim-specific concepts: findings, highlight, achieving, require, not; EU scope visible. This is a provisional connection, not an outcome finding.</w:t>
      </w:r>
    </w:p>
    <w:p>
      <w:r>
        <w:t>Available abstract (not full text): The EU regulation on Deforestation-Free Products (EUDR) enacted in 2023 aims to reduce deforestation connected to commodities imported to the EU, including cattle products. In Brazil, the EUDR pressures the local cattle supply chain towards more sustainable production. However, the potential effects of the EUDR on reducing deforestation in this sector are unclear and require scrutiny. Drawing on the concept of Telecoupling, we investigate the challenges and potential impacts of implementing the EUDR in the Brazilian cattle supply chain. We interviewed 19 Brazilian stakeholders representing the private sector, NGOs , investigative journals, banks, and governmental institutions through semi-structured questionnaires complemented with secondary data analysis. Our findings reveal the extent to which historical challenges, such as the lack of law enforcement and low productivity persist, and the possible spillover effects , including market and production leakages. Additionally, the study shows how the EUDR may lead to potential negative impacts for small-scale ranchers . We highlight the need to implement a transparent and integrated public birth-to-slaughter traceability system for cattle in Brazil to guarantee the EUDR's effectiveness. If European and Brazilian governments, cattle producers, and meatpacking companies are not able to address these issues, EUDR's objective to reduc</w:t>
      </w:r>
    </w:p>
    <w:p>
      <w:r>
        <w:t>POSSIBLE 2024: Safety, Belonging and Success in Education for Refugees in Europe: A Systematic Review — https://doi.org/10.1111/ejed.12852</w:t>
      </w:r>
    </w:p>
    <w:p>
      <w:r>
        <w:t>Shared claim-specific concepts: findings, highlight, achieving, also; EU scope visible. This is a provisional connection, not an outcome finding.</w:t>
      </w:r>
    </w:p>
    <w:p>
      <w:r>
        <w:t>Available abstract (not full text): ABSTRACT This systematic review aims to explore refugees' educational access, experiences and outcomes in Europe since 2015. The review follows a systematic process of reviewing and synthesising texts compiled in the Hub for Education for Refugees in Europe (HERE) Knowledge Base to fill gaps in knowledge about the educational trajectories of learners of refugee and forced migrant backgrounds who have arrived in Europe. The review includes studies that focus on all forms of educational provision and services for refugees and forced migrants in Europe: formal, non‐formal and informal. The review also takes a meta‐ethnographic approach to data analysis and synthesis. Key findings highlight the interconnectedness of safety, belonging and success in education for learners with refugee and forced migrant backgrounds and the necessity of economic redistribution, cultural recognition and political participation for achieving these goals.</w:t>
      </w:r>
    </w:p>
    <w:p>
      <w:r>
        <w:t>POSSIBLE 2024: European roadmaps to achieving 2030 renewable energy targets — https://doi.org/10.1016/j.jup.2024.101729</w:t>
      </w:r>
    </w:p>
    <w:p>
      <w:r>
        <w:t>Shared claim-specific concepts: achieving, policies, climate; EU scope visible. This is a provisional connection, not an outcome finding.</w:t>
      </w:r>
    </w:p>
    <w:p>
      <w:r>
        <w:t>Available abstract (not full text): Increasing the renewable energy share of electricity generation is central to decarbonization policies, and the European Union has set up binding 2030 targets. This study evaluates the potential enhancement of these countries’ paths toward these targets and provides insights into their performance in meeting their National Energy and Climate Plan targets. It predicts the distance to these targets through a three-step approach and estimates potential improvements. European performance could improve by 1.65% by 2030 if it emulates top-performing countries, independent of further policy interventions. These insights can aid policymakers in designing effective policies and utilities in developing industrial strategies.</w:t>
      </w:r>
    </w:p>
    <w:p>
      <w:r>
        <w:t>POSSIBLE 2024: The Role of the Informal Economy in Achieving the Sustainable Development Goals in Europe — https://doi.org/10.24818/ea/2024/s18/1108</w:t>
      </w:r>
    </w:p>
    <w:p>
      <w:r>
        <w:t>Shared claim-specific concepts: findings, achieving, policies; EU scope visible. This is a provisional connection, not an outcome finding.</w:t>
      </w:r>
    </w:p>
    <w:p>
      <w:r>
        <w:t>Available abstract (not full text): This study investigated the relationship between the informal economy and sustainable development, focussing on how the shadow economy influenced the achievement of the 17 Sustainable Development Goals (SDGs) formulated in the 2030 Agenda in Europe.The research used data extracted from the Eurostat and Schneider (2022) and analysed sustainable development performance in 36 European countries in the years 2010 and 2022.The methodology involved applying partial least squares (PLS) regression to construct a synthetic indicator of sustainable development, considering two scenarios: one that excluded and another that included the size of the informal economy.The results highlighted that while the informal economy contributed to immediate poverty alleviation and short-term economic resilience, it created challenges for long-term sustainability in areas such as formal employment, social inclusion, and environmental regulation.The findings highlighted the need for stronger policies to integrate the informal sector into the formal framework, thus improving overall sustainability.The study made an original contribution by addressing the dual role of the informal economy in sustainable development, offering new perspectives for formulating more effective policies in the context of the 2030 Agenda.</w:t>
      </w:r>
    </w:p>
    <w:p>
      <w:r>
        <w:t>POSSIBLE 2024: Can Urban Retrofitting Achieve a Positive Energy Balance? a Case Study of Four European Positive Energy Districts — https://doi.org/10.1109/i-coste63786.2024.11024809</w:t>
      </w:r>
    </w:p>
    <w:p>
      <w:r>
        <w:t>Shared claim-specific concepts: findings, achieving, installations; EU scope visible. This is a provisional connection, not an outcome finding.</w:t>
      </w:r>
    </w:p>
    <w:p>
      <w:r>
        <w:t>Available abstract (not full text): Urban retrofitting has emerged as a key strategy in the transition towards sustainable cities, with Positive Energy Districts (PEDs) serving as a model for achieving energy-positive urban environments. This paper explores the potential for urban retrofitting to achieve a positive energy balance through a case study of four existing districts in European Municipalities: Settimo Torinese (Italy), Großschönau (Austria), Amsterdam (Netherlands), and Resita (Romania). The analysis leverages energy balance simulations, considering various retrofitting scenarios, including building insulation, photovoltaic (PV) installations, and the adoption of flexible grid usage. The findings indicate that while achieving a PED is challenging, it is attainable through a combination of aggressive retrofitting measures, renewable energy integration, and smart energy management. The study highlights the importance of context-specific strategies, as climatic and urban characteristics significantly influence the outcomes. It aims to add to the ongoing discourse on sustainable urban development by providing empirical insights into the pathways and challenges of achieving PEDs through urban retrofitting.</w:t>
      </w:r>
    </w:p>
    <w:p>
      <w:pPr>
        <w:pStyle w:val="Heading2"/>
      </w:pPr>
      <w:r>
        <w:t>Assessing Energy Descent Scenarios for the Ecological Transition in Spain 2020–2030</w:t>
      </w:r>
    </w:p>
    <w:p>
      <w:r>
        <w:t>Original source (2021): https://doi.org/10.3390/su132111867</w:t>
      </w:r>
    </w:p>
    <w:p>
      <w:r>
        <w:t>Original wording (abstract; indexed_source_text_not_full_document_verified): We continue with an analysis of two ecological transition scenarios for Spain between 2020 and 2030, Green New Deal and Degrowth. Based on a schematic calculation model defined in “Labor Scenarios in the Ecosocial Transition 2020–2030” report, we evaluate the variations in energy consumption for 86 sectors of economic activity.</w:t>
      </w:r>
    </w:p>
    <w:p>
      <w:r>
        <w:t>POSSIBLE 2026: OC7 From regulation to implementation: a cross-country ecological analysis of HIV testing frameworks and late diagnosis in Europe — https://doi.org/10.1136/sextrans-icar-2026.6</w:t>
      </w:r>
    </w:p>
    <w:p>
      <w:r>
        <w:t>Shared claim-specific concepts: two, ecological; EU scope visible. This is a provisional connection, not an outcome finding.</w:t>
      </w:r>
    </w:p>
    <w:p>
      <w:r>
        <w:t>Available abstract (not full text): Background Rate of new HIV diagnoses in recent years has remained stable across Europe and proportion of late presentation at diagnosis continues to be high, as highlighted by latest ECDC report. Despite longstanding recommendations to expand routine and community-based testing, cross-country evidence linking national testing frameworks to late diagnosis remains limited. We aimed to assess whether structural and legal characteristics of HIV testing systems are associated with late presentation rates. Methods We conducted an ecological cross-sectional study including countries from WHO European Region. Two composite indices were developed a priori: an HIV Test Legal Stringency Index, capturing HIV-specific regulatory requirements (explicit legal mention, HIV-specific consent procedures, written consent, mandatory pre-test counselling), and an HIV Testing Accessibility Index, reflecting structural facilitation (routine offer, indicator-condition guidelines, community testing, self-testing availability, integrated models). Higher scores indicated greater procedural regulation and structural normalization, respectively. Index components were identified through structured review of national legislation and official public health documents in the local language for each country. AI-assisted search tools supported systematic document retrieval, with manual verification of extracted in</w:t>
      </w:r>
    </w:p>
    <w:p>
      <w:r>
        <w:t>POSSIBLE 2025: On the ecological impact of prehistoric hunter-gatherers in Europe: Early Holocene (Mesolithic) and Last Interglacial (Neanderthal) foragers compared — https://doi.org/10.1371/journal.pone.0328218</w:t>
      </w:r>
    </w:p>
    <w:p>
      <w:r>
        <w:t>Shared claim-specific concepts: ecological, between; EU scope visible. This is a provisional connection, not an outcome finding.</w:t>
      </w:r>
    </w:p>
    <w:p>
      <w:r>
        <w:t xml:space="preserve">Available abstract (not full text): Recent studies have highlighted evidence of human impact on landscapes dating back to the Late Pleistocene-long before the advent of agriculture. Quantifying the extent of vegetation transformations by hunter-gatherers remains a major research challenge. We address this challenge by comparing climate-based potential natural vegetation cover with pollen-based vegetation reconstructions for the Last Interglacial and the Early Holocene. Differences between these datasets suggest that climate alone cannot fully explain the pollen-based vegetation patterns in Europe during these periods. To explore this issue, we used an upgraded version of the HUMan impact on LANDscapes (HUMLAND) agent-based model (ABM), combined with a genetic algorithm, to generate vegetation change scenarios. By comparing ABM outputs with pollen-based reconstructions, we aimed to identify parameter values that yield HUMLAND results closely matching the pollen-based vegetation cover. The updated ABM covers a broad temporal range, and incorporates the effects of hunting on herbivores and their influence on vegetation regeneration. The results show that the combined effects of megafauna, natural fires, and climatic fluctuations alone lead to vegetation cover estimates that are inconsistent with paleoecological reconstructions. Instead, anthropogenic burning played a key role, with modelling results suggesting that </w:t>
      </w:r>
    </w:p>
    <w:p>
      <w:r>
        <w:t>POSSIBLE 2025: Predictiveness and drivers of highly pathogenic avian influenza outbreaks in Europe — https://doi.org/10.1038/s41598-025-04624-x</w:t>
      </w:r>
    </w:p>
    <w:p>
      <w:r>
        <w:t>Shared claim-specific concepts: continue, two, ecological; EU scope visible. This is a provisional connection, not an outcome finding.</w:t>
      </w:r>
    </w:p>
    <w:p>
      <w:r>
        <w:t>Available abstract (not full text): Avian Influenza (AI) outbreaks are on an increasing trajectory. This disease carries a substantial economic burden, resulting in considerable losses to farmers with profound impacts on economies. As the outbreaks continue in birds and other unusual host species, further virus evolution and spillover to humans' risk is anticipated to grow and potentially involve into new pandemics. Despite this, the underlying drivers of the outbreaks remain elusive. We develop machine learning models capable of predicting HPAI events in Europe dynamically uncovering the critical determinants of their onset. Temperature, water index, vegetation index, and poultry density play pivotal roles, with their importance coming into play at different times of the year. Temperature, water index, and vegetation index are important in the ecology of pathogen transmission as well as environmental ecological processes while water index determines how birds aggregate at different locations depending on the season of the year. Combining these drivers, the outbreak pattern is predicted with an accuracy of 94% for model two (M2). A true out of sample with the same model yielded 88% accuracy highlighting its predicting capability. These insights lay a robust foundation for elucidating the intricate landscape of AI outbreaks, offering valuable insights for proactive preventive interventions to mitigate spillover.</w:t>
      </w:r>
    </w:p>
    <w:p>
      <w:r>
        <w:t>POSSIBLE 2024: Climate and host plant availability are favourable to the establishment of Lycorma delicatula in Europe — https://doi.org/10.1111/afe.12665</w:t>
      </w:r>
    </w:p>
    <w:p>
      <w:r>
        <w:t>Shared claim-specific concepts: two, ecological, evaluate; EU scope visible. This is a provisional connection, not an outcome finding.</w:t>
      </w:r>
    </w:p>
    <w:p>
      <w:r>
        <w:t>Available abstract (not full text): Abstract Lycorma delicatula , the spotted lanternfly, is a highly successful invasive phloem‐feeding planthopper native to southern China. It has invaded South Korea, Japan, and the United States, where it continues to expand geographically, but it remains absent from Europe. We investigated two key ecological factors influencing the risk of its establishment: climate suitability and the availability of compatible host plants. We developed an ensemble species distribution model using three algorithms to assess the potential geographic range of L. delicatula under current and future climate conditions. We reviewed the literature to evaluate its host repertoire and identified host species present in Europe. Current climate conditions are highly suitable for L. delicatula across much of Europe. Climate change is expected to only slightly alter climate suitability by 2060. Numerous known host plants are also widely distributed throughout Europe. We conclude that neither climate conditions nor the availability of compatible host plants pose a barrier to the establishment of L. delicatula in Europe. Both current and future climate suitability, along with the list of potential host species, can provide valuable guidance for surveillance efforts and enhance the preparedness of phytosanitary authorities.</w:t>
      </w:r>
    </w:p>
    <w:p>
      <w:r>
        <w:t>POSSIBLE 2023: Ecological and environmental factors affecting the risk of tick-borne encephalitis in Europe, 2017 to 2021 — https://doi.org/10.2807/1560-7917.es.2023.28.42.2300121</w:t>
      </w:r>
    </w:p>
    <w:p>
      <w:r>
        <w:t>Shared claim-specific concepts: ecological, between; EU scope visible. This is a provisional connection, not an outcome finding.</w:t>
      </w:r>
    </w:p>
    <w:p>
      <w:r>
        <w:t xml:space="preserve">Available abstract (not full text): BackgroundTick-borne encephalitis (TBE) is a disease which can lead to severe neurological symptoms, caused by the TBE virus (TBEV). The natural transmission cycle occurs in foci and involves ticks as vectors and several key hosts that act as reservoirs and amplifiers of the infection spread. Recently, the incidence of TBE in Europe has been rising in both endemic and new regions.AimIn this study we want to provide comprehensive understanding of the main ecological and environmental factors that affect TBE spread across Europe.MethodsWe searched available literature on covariates linked with the circulation of TBEV in Europe. We then assessed the best predictors for TBE incidence in 11 European countries by means of statistical regression, using data on human infections provided by the European Surveillance System (TESSy), averaged between 2017 and 2021.ResultsWe retrieved data from 62 full-text articles and identified 31 different covariates associated with TBE occurrence. Finally, we selected eight variables from the best model, including factors linked to vegetation cover, climate, and the presence of tick hosts.DiscussionThe existing literature is heterogeneous, both in study design and covariate types. Here, we summarised and statistically validated the covariates affecting the variability of TBEV across Europe. The analysis of the factors enhancing disease emergence is a </w:t>
      </w:r>
    </w:p>
    <w:p>
      <w:r>
        <w:t>POSSIBLE 2022: Finding the ecological farmer: A farmer typology to understand ecological practice adoption within Europe — https://doi.org/10.1016/j.crsust.2022.100125</w:t>
      </w:r>
    </w:p>
    <w:p>
      <w:r>
        <w:t>Shared claim-specific concepts: two, ecological, transition, based; EU scope visible. This is a provisional connection, not an outcome finding.</w:t>
      </w:r>
    </w:p>
    <w:p>
      <w:r>
        <w:t>Available abstract (not full text): Agricultural policies are now orientated towards sustainable food production which integrate climate and biodiversity targets. Increasing the uptake of ecological approaches is intrinsic to the success of these policies. but this is contingent on farmer acceptability of these practices. We employ a cross-European farmer survey to explore the perspectives of producers and to derive a typology based on their ecological self-identities.Using a one stage latent class model we find four types and examine common factors which may correlate to farmer membership of a particular group. We find two types which are positive towards uptake of ecological approaches but are mainly differentiated by their responses to social pressure and the acceptance of ecological practices within their supply chains. A further group reveals a multifunctional identity, which balances ecological with food productivity goals, whereas a final group show indifference towards ecological approaches and may align with previous work identifying productivist farming identities. As Governments are seeking to promote transition within the industry we argue for clear policy intent inmessaging, as well as approaches which support supply chain dialogue to target particular groups of farmers for real behavioural change.</w:t>
      </w:r>
    </w:p>
    <w:p>
      <w:pPr>
        <w:pStyle w:val="Heading2"/>
      </w:pPr>
      <w:r>
        <w:t>Boosting the EU forest-based bioeconomy: Market, climate, and employment impacts</w:t>
      </w:r>
    </w:p>
    <w:p>
      <w:r>
        <w:t>Original source (2021): https://doi.org/10.1016/j.techfore.2020.120478</w:t>
      </w:r>
    </w:p>
    <w:p>
      <w:r>
        <w:t>Original wording (abstract; indexed_source_text_not_full_document_verified): Further, increased EU imports, resulting in lower consumption of sawnwood outside the EU, would reduce extra-EU long-life HWP carbon storage and substitution of GHG-intensive materials, highlighting the need for concerted international climate change mitigation. The positive EU climate-change mitigation effects of increased carbon storage in harvested wood products (HWP) and material substitution from increased wood\nconstruction are more than offset by reduced net forests carbon sinks by 2030, due to increased EU harvests.</w:t>
      </w:r>
    </w:p>
    <w:p>
      <w:r>
        <w:t>POSSIBLE 2026: CHANGES IN FRUIT PRODUCTION AND IMPORTS FROM TURKEY TO EUROPEAN UNION COUNTRIES — https://doi.org/10.5604/01.3001.0055.6187</w:t>
      </w:r>
    </w:p>
    <w:p>
      <w:r>
        <w:t>Shared claim-specific concepts: further, increased, imports; EU scope visible. This is a provisional connection, not an outcome finding.</w:t>
      </w:r>
    </w:p>
    <w:p>
      <w:r>
        <w:t>Available abstract (not full text): Turkey is a key partner of the European Union and a candidate country for EU accession. It is also one of the world’s largest agricultural producers. The aim of this study was to assess the scale and changes in Turkey’s fruit production potential and to determine the structure and changes in imports of selected fruits from Turkey to the EU Member States. The analysis covered the period 2012-2023, divided into three four-year subperiods. Data on the area under fruit crops, production (harvest volume), and yields in Turkey were obtained from FAOSTAT, while data on imports of selected fruits from Turkey to the EU were retrieved from Eurostat. Fruit production potential was assessed by examining changes in the cultivated area and yields of selected fruit species across the defined subperiods. Changes were measured using a fixed-base index and a chain index. Over the study period, productivity increased markedly in apple and cherry orchards as well as in banana and date plantations. Higher productivity of the main fruit species (apples and cherries), combined with relatively small changes in cultivated area, contributed to an increase in their production in Turkey. Imports of fruit (CN08) from Turkey to the EU increased by 21% over the period analysed. Citrus fruits, nuts, grapes, stone fruits, melons and watermelons, and berries dominated the import structure. In the event of Turke</w:t>
      </w:r>
    </w:p>
    <w:p>
      <w:r>
        <w:t>POSSIBLE 2026: THE IMPORT OF THE NATURAL GAS FROM THE REPUBLIC OF AZERBAIJAN IN THE CONTEXT OF THE ENERGY POLICY OF THE EUROPEAN UNION — https://doi.org/10.48137/26870703_2026_35_3_61</w:t>
      </w:r>
    </w:p>
    <w:p>
      <w:r>
        <w:t>Shared claim-specific concepts: further, increased, reduce; EU scope visible. This is a provisional connection, not an outcome finding.</w:t>
      </w:r>
    </w:p>
    <w:p>
      <w:r>
        <w:t>Available abstract (not full text): The paper examines the role of the supply of the natural gas from the Republic of Azerbaijan to the EU in the energy policy of the latter as well as its main importers in the EU – Italy, Bulgaria and Greece for the period starting from 2022. While EU keeps diversifying natural gas and oil supply and seeks to reduce its dependence on the import of gas from Russia, Republic of Azerbaijan remains as an additional but not the main supplier of the natural gas to the European Union. The significance of the alternative natural gas exporters increased for the EU since the European Union decided to halt Russian gas supplies following the start of the Special Military Operation of Russia in Ukraine on 24 February 2022. The diversification in the energy policy of the European Union and its individual member states (Italy, Bulgaria, and Greece) as the main importers of Azerbaijani natural gas is compared with the actual volumes of its import from 2022 to 2025 in relation to other suppliers. The author uses the discourse analysis of official documents of the EU and its aforementioned member states, official documents of the Republic of Azerbaijan and bilateral documents on the energy policy. Based on the analysis of the statistical data of the Eurostat, the European Commission and the State Customs Committee of the Republic of Azerbaijan the volumes and share of Azerbaijani natural gas in t</w:t>
      </w:r>
    </w:p>
    <w:p>
      <w:r>
        <w:t>POSSIBLE 2024: Import Dynamics in the Central and Eastern European Countries — https://doi.org/10.57017/jaes.v19.2(84).04</w:t>
      </w:r>
    </w:p>
    <w:p>
      <w:r>
        <w:t>Shared claim-specific concepts: further, imports, international, positive; EU scope visible. This is a provisional connection, not an outcome finding.</w:t>
      </w:r>
    </w:p>
    <w:p>
      <w:r>
        <w:t>Available abstract (not full text): The dynamics of imports in Central and Eastern European countries are closely related to foreign direct investment and government policies. By reducing tariff and non-tariff barriers to imports and promoting trade and investment liberalization, governments can attract foreign capital and diversify the range of products and services available in the host economy. This interconnection between imports and foreign direct investment can have a positive impact on economic development and global integration, depending on national strategies and policies. The article examines the dynamics of imports in Central and Eastern European countries in relation to foreign direct investment and government policies and aims to identify trends, import differences, and adjustments made by each country to improve their economic development. The research highlights the ongoing evolution of international trade in the region and advocates for a strategic approach to trade and economic policy for economic expansion and resilience to external shocks.© 2024 The Author(s). This article is distributed under the terms of the license CC-BY 4.0., which permits any further distribution in any medium, provided the original work is properly cited.</w:t>
      </w:r>
    </w:p>
    <w:p>
      <w:r>
        <w:t>POSSIBLE 2022: Future area expansion outweighs increasing drought risk for soybean in Europe — https://doi.org/10.1111/gcb.16562</w:t>
      </w:r>
    </w:p>
    <w:p>
      <w:r>
        <w:t>Shared claim-specific concepts: further, imports, climate; EU scope visible. This is a provisional connection, not an outcome finding.</w:t>
      </w:r>
    </w:p>
    <w:p>
      <w:r>
        <w:t>Available abstract (not full text):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r>
        <w:t>POSSIBLE 2022: Different Effect of Inward Foreign Direct Investment, Outward Foreign Direct Investment, Imports, and Exports on Greenhouse Gas Emission across 24 European Union Countries — https://doi.org/10.54691/bcpbm.v34i.3186</w:t>
      </w:r>
    </w:p>
    <w:p>
      <w:r>
        <w:t>Shared claim-specific concepts: further, imports, lower, reduce, positive; EU scope visible. This is a provisional connection, not an outcome finding.</w:t>
      </w:r>
    </w:p>
    <w:p>
      <w:r>
        <w:t>Available abstract (not full text): The European Union (EU) has achieved remarkable progress in reducing greenhouse gas emission with the help of the emission trade system (ETS) and other environmental policies for the past decades. The main purpose of current study is to empirically investigate different effects of inward foreign direct investment, outward foreign direct investment (FDI), imports and exports on greenhouse gas (GHG) emissions for different level of GDP per capita. Panel data set of 24 European Union countries was selected from 2013 to 2017. And these 24 countries would be further divided into two groups based on their GDP per capita. The result indicates that inward FDI would decrease GHG emission for high GDP per capita group, whereas it increases the GHG emission for low GDP per capita group, suggesting the existence of “pollution haven” in countries with lower GDP per capita. On the contrary, the effect of outward FDI on GHG emission would be positive for high GDP per capita group but negative for low GDP per capita group. Meanwhile, exports would increase GHG emission for low GDP per capita group but decrease GHG emission for high GDP per capita group. Besides, imports would also be a contributor of GHG emission for high GDP per capita group. The conclusion drawn from this study implicates that, to reduce the domestic GHG emissions, countries with different level of GDP per capita should have</w:t>
      </w:r>
    </w:p>
    <w:p>
      <w:pPr>
        <w:pStyle w:val="Heading2"/>
      </w:pPr>
      <w:r>
        <w:t>COVID-19 and European maritime futures: different pathways to deal with the pandemic</w:t>
      </w:r>
    </w:p>
    <w:p>
      <w:r>
        <w:t>Original source (2021): https://doi.org/10.1007/s40152-021-00216-3</w:t>
      </w:r>
    </w:p>
    <w:p>
      <w:r>
        <w:t>Original wording (abstract; indexed_source_text_not_full_document_verified): The maritime futures give insight into the enabling and constraining conditions to deal with the aftermath of the COVID-19 pandemic in specific, and how the maritime futures will affect the sustainable development of maritime sectors in general.</w:t>
      </w:r>
    </w:p>
    <w:p>
      <w:r>
        <w:t>POSSIBLE 2023: Inventive Activity for Climate Change Mitigation: An Insight into the Maritime Industry — https://doi.org/10.3390/en16217403</w:t>
      </w:r>
    </w:p>
    <w:p>
      <w:r>
        <w:t>Shared claim-specific concepts: maritime, insight; EU scope not established. This is a provisional connection, not an outcome finding.</w:t>
      </w:r>
    </w:p>
    <w:p>
      <w:r>
        <w:t>Available abstract (not full text): Climate change mitigation is one of the most important challenges facing the modern world. It is necessary to monitor the development of new concepts and technologies and take a stab at identifying disruptive innovations, which have the potential of becoming real climate-friendly game changers. The aim of this paper is to examine the patterns of inventive activity aimed at mitigating climate change in the maritime industry with respect to other transport modes. Appropriate research tools in the area of patent analysis were selected and utilised. A new class of patents related to climate change in maritime transport (CPC-Y02T70/00) was used as a data source. The original value of the study consists of offering a complete picture of the efforts made in patenting activity in climate change mitigation in the maritime transport, with a look at leading applicants and countries, knowledge flows, the most robustly developed and underdeveloped technical fields. A map of technical knowledge flows for climate change mitigation in transport was constructed. The research results show that inventions for the maritime industry are less hermetic than those for air and road transport; however, they are not as much linked with previously developed solutions. The most intensively developed technical fields include the design and construction of watercraft hulls (1) and measures to reduce greenhou</w:t>
      </w:r>
    </w:p>
    <w:p>
      <w:r>
        <w:t>POSSIBLE 2022: Priorities for the Sustainability of Maritime and Coastal Passenger Transport in Europe — https://openalex.org/W7166957792</w:t>
      </w:r>
    </w:p>
    <w:p>
      <w:r>
        <w:t>Shared claim-specific concepts: maritime, sustainable; EU scope visible. This is a provisional connection, not an outcome finding.</w:t>
      </w:r>
    </w:p>
    <w:p>
      <w:r>
        <w:t xml:space="preserve">Available abstract (not full text): Maritime transport is both a major source of environmental pollution and a great opportunity for reducing road traffic. Moreover, for some Mediterranean countries, maritime transport offers a way to improve cross-border connectivity. However difficult this may be, improving maritime passenger transport is one way to increase cross-border connectivity and, in some cases, reduce the use of private cars. For this reason, the European Union is pursuing an intensive policy in support of the sustainable development of maritime transport, working on many fronts, including the strengthening of EU legislation on this topic, technical and financial support to reducing emissions from international shipping, investments for the improving of port facilities and infrastructures, involving national governments and regions in the definition of roadmaps and new targets towards 2050. There are many possible directions for improving maritime transport: ship technologies, port management, interchange connectivity, transit planning, and so on. The goal of this book is to collect rigorous contributions about what are currently considered to be the main areas of improvement to be pursued in cross-border maritime passenger transport. The book opens with an overview of EU policies on maritime and coastal transport. In the following chapters, a series of analyses and tools are proposed whose systematic </w:t>
      </w:r>
    </w:p>
    <w:p>
      <w:r>
        <w:t>POSSIBLE 2022: The role of Latvia's maritime spatial planning in promoting the European Green Deal — https://doi.org/10.7163/eu21.2022.42.4</w:t>
      </w:r>
    </w:p>
    <w:p>
      <w:r>
        <w:t>Shared claim-specific concepts: maritime, insight, deal; EU scope visible. This is a provisional connection, not an outcome finding.</w:t>
      </w:r>
    </w:p>
    <w:p>
      <w:r>
        <w:t>Available abstract (not full text): In an era of dynamic maritime spatial planning movement development, this paper offers insight into the relationship between Latvia’s national Maritime Spatial Plan 2030 and the European Green Deal. The paper analyses what this might signify concerning the implementation and subsequent assessment of the plan by exploring the role of the maritime spatial plan in Latvia’s planning system. Beginning with a brief history of how the national plan came to be, the paper then describes and evaluates the position of the maritime spatial plan within Latvia’s planning framework before examining the connection between the maritime spatial plan and the Green Deal, identifying contact points. This paper offers a starting framework for studying how closely maritime spatial planning is related to and capable of supporting ─ or at the very least taking into account ─ the goals of the Green Deal. The conclusion is that implementation of maritime spatial planning is rooted in the state planning system, the interconnection among policy documents, and the specifics of the maritime spatial plan itself.</w:t>
      </w:r>
    </w:p>
    <w:p>
      <w:pPr>
        <w:pStyle w:val="Heading2"/>
      </w:pPr>
      <w:r>
        <w:t>CROATIAN RURAL FUTURES IN 2030: FOUR ALTERNATIVE SCENARIOS FOR POSTSOCIALIST COUNTRYSIDE IN THE NEWEST E.U. MEMBER STATE</w:t>
      </w:r>
    </w:p>
    <w:p>
      <w:r>
        <w:t>Original source (2021): https://doi.org/10.1080/00167428.2020.1871298</w:t>
      </w:r>
    </w:p>
    <w:p>
      <w:r>
        <w:t>Original wording (abstract; indexed_source_text_not_full_document_verified): The aim of this research is to construct alternative scenarios for rural Croatia in 2030, acknowledging its postsocialist transition as an important framework. Four scenarios were developed: Rural Renaissance, Shift, Road to Nowhere, and Growth without Development.</w:t>
      </w:r>
    </w:p>
    <w:p>
      <w:r>
        <w:t>POSSIBLE 2026: Alternative Investment Funds: Regulation in European Union Law and Prospects for Implementation in Ukraine — https://doi.org/10.31359/1993-0909.2026.33.3.386</w:t>
      </w:r>
    </w:p>
    <w:p>
      <w:r>
        <w:t>Shared claim-specific concepts: aim, construct, alternative, framework; EU scope visible. This is a provisional connection, not an outcome finding.</w:t>
      </w:r>
    </w:p>
    <w:p>
      <w:r>
        <w:t>Available abstract (not full text): The legal regulation of collective investment undertakings is one of the key areas of adaptation of Ukrainian financial legislation to the law of the European Union. Despite Ukraine’s European integration course, national legislation has not yet introduced the category of alternative investment funds as an independent legal construct, which creates a systemic gap between the domestic collective investment undertakings model and the regulatory architecture of EU law. The aim of this article is to carry out a comparative legal analysis of the legal nature of alternative investment funds under EU law and collective investment undertakings under Ukrainian legislation, to determine their functional relationship, and to substantiate approaches to implementing the alternative investment funds concept into the national legal framework. The methodological basis of the research comprises a system of general scientific and specifically legal methods, including comparative legal, systemic-structural, formal-legal, and teleological methods. The source base comprised Directive 2011/61/EU on Alternative Investment Fund Managers, Directive 2009/65/EU, the Law of Ukraine On Collective Investment Undertakings, relevant subordinate legislation, and doctrinal works of scholars from Ukraine and EU Member States. The study established that AIFMD constructs the AIF through a functional residual defin</w:t>
      </w:r>
    </w:p>
    <w:p>
      <w:r>
        <w:t>POSSIBLE 2025: Right-wing and left-wing populists in the 2024 European Parliament elections in Germany: an analysis of the success of Alternative for Germany and Sahra Wagenknecht's Alliance — https://doi.org/10.31338/1641-2478pe.3.25.11</w:t>
      </w:r>
    </w:p>
    <w:p>
      <w:r>
        <w:t>Shared claim-specific concepts: aim, construct, alternative; EU scope visible. This is a provisional connection, not an outcome finding.</w:t>
      </w:r>
    </w:p>
    <w:p>
      <w:r>
        <w:t>Available abstract (not full text): The aim of this article is to present the results of the 2024 European Parliament elections in Germany through the prism of support gained by extreme parties: Alternative for Germany and Sahra Wagenknecht's Alliance. The research hypothesis assumes that both parties criticise the European Union (EU), pointing to the need to restore sovereignty and competence to Member States, creating a basis, on which they can build informal agreements and cooperation. The study seeks to answer the question of why populist parties are growing in popularity. The profile of the voters of both analysed parties is also characterised. The author has conducted a comparative analysis of the European programmes of both parties in terms of finding similarities and differences in the promoted vision of a united Europe and the assessment of the processes of deepening and broadening integration. The analysis demonstrates that, despite their ideological differences, the analysed parties are united by their criticism of mainstream parties, their pro-Russian stance and their critical approach to the European Union, particularly in the areas of migration, climate and energy policy. The parties present the European Union as a flawed, bureaucratic construct, call for a reduction in the role of supranational institutions, accuse the Union of lacking legitimacy, and categorically demand that powers be restored to</w:t>
      </w:r>
    </w:p>
    <w:p>
      <w:r>
        <w:t>POSSIBLE 2023: Europe in Law and Literature — https://doi.org/10.1515/9783111075693</w:t>
      </w:r>
    </w:p>
    <w:p>
      <w:r>
        <w:t>Shared claim-specific concepts: construct, alternative; EU scope visible. This is a provisional connection, not an outcome finding.</w:t>
      </w:r>
    </w:p>
    <w:p>
      <w:r>
        <w:t>Available abstract (not full text): Europe is a broad and multifaceted construct, variously understood as a geographical, political, legal, institutional, social, or cultural formation. It is characterized by numerous conflicts and processes of negotiation that have accompanied or sustained the development of normative orders and divergent conceptions of law, both in relation to individual states and to Europe as a whole. The same applies to the field of literature, language, and aesthetics; numerous myths and ideologies have shaped today’s understanding of Europe and still support it today. This volume examines how such processes were legally structured, and literarily addressed, criticized, and complemented. Its interdisciplinary perspective and open and dynamic, both dialogical and dialectical format intends to replicate the fragmented, sometimes conflicting, but always productive mosaic of voices, ideas, and concepts that have constituted and still constitute Europe, whether in the past, present, or future. Instead of resolving any of the complexities and contradictions that frame discussions on law, literature, and Europe, it aims to induce further engagement and confrontations with new and alternative visions of Europe.</w:t>
      </w:r>
    </w:p>
    <w:p>
      <w:r>
        <w:t>POSSIBLE 2023: A phenomenological inquiry of building and living in European Earthship homes — https://doi.org/10.1680/jinam.23.00028</w:t>
      </w:r>
    </w:p>
    <w:p>
      <w:r>
        <w:t>Shared claim-specific concepts: aim, alternative, shift; EU scope visible. This is a provisional connection, not an outcome finding.</w:t>
      </w:r>
    </w:p>
    <w:p>
      <w:r>
        <w:t>Available abstract (not full text): Earthships remain a relatively underexplored type of sustainable/alternative home. This is the first study to investigate the personal experiences of constructing and living in European Earthship homes. The aim of this study is to reveal insights into the ‘hands-on’ practical experience of persons who have constructed their own Earthship homes and to gather insights into the collective experience of these dwellers on the realities of living full time in an Earthship home. A phenomenological methodology, using an inductive research approach, was utilised through a qualitative research strategy to solicit insights into the personal experiences of these unique persons. The main themes and sub-themes that emerge from the analysis are that anyone from any background can make the shift to building/living in an Earthship home. However, a mixed skill set and knowledge of building trades, plus physical and emotional prowess, are needed for the long-haul build process, which, together with access to financial means and/or available materials, are critical factors that influence the outcome of the Earthship building. Meanwhile, once constructed, off-grid living in an Earthship home gives dwellers a greater connectivity with the natural world, raises awareness of consumerism and leads to enhanced appreciation of human impacts.</w:t>
      </w:r>
    </w:p>
    <w:p>
      <w:r>
        <w:t>POSSIBLE 2022: Narrating Europe: (Re‐)constructed and Contested Visions of the European Project in Citizens' Discourse — https://doi.org/10.1111/jcms.13364</w:t>
      </w:r>
    </w:p>
    <w:p>
      <w:r>
        <w:t>Shared claim-specific concepts: four, developed; EU scope visible. This is a provisional connection, not an outcome finding.</w:t>
      </w:r>
    </w:p>
    <w:p>
      <w:r>
        <w:t>Available abstract (not full text): Changes in public opinion and civil society over the last decade have shown that citizens, particularly in old EU Member States, have developed more complex attitudes towards European integration. While the European project was previously generally described as a teleological depoliticized project, aiming at building peace and comforting growth, different competing visions of the European project are nowadays acknowledged and surface among the public on occasions, like referendums or treaty negotiations. While EU official narratives are documented by studies on the European institutions or the visions of leaders and parties, their empirical analysis at the citizens' level is still fragmented. Using focus group data in four countries (France, Portugal, Italy and Belgium) and three social groups (21 group interviews), we provide a comparative qualitative answer to how citizens envision European integration. Our results show that, first, official narratives do not fail to reach citizens, but they are also loosened, contested, and do not systematically produce a sense of common belonging. Second, they highlight the importance of socio‐economic contexts, as well as national and personal experience in the re‐appropriation of these narratives.</w:t>
      </w:r>
    </w:p>
    <w:p>
      <w:r>
        <w:t>POSSIBLE 2022: Alternative Institutional Strategies for Constructing Monetary Theories — https://doi.org/10.31063/altereconomics/2022.19-2.4</w:t>
      </w:r>
    </w:p>
    <w:p>
      <w:r>
        <w:t>Shared claim-specific concepts: alternative, important, framework; EU scope not established. This is a provisional connection, not an outcome finding.</w:t>
      </w:r>
    </w:p>
    <w:p>
      <w:r>
        <w:t>Available abstract (not full text): The article discusses the new strategies for studying macro-economic processes and relationships between the monetary and real variables in light of the transformations of the modern economy. The research aims to describe the strategies of constructing monetary theories of mainstream economics and to develop an approach for studying endogenous institutional relationships in monetary processes. Conceptually, the study uses as a point of departure the idea that economic entities pursue value-based and economic motives. Such an approach reflects the intersubjective nature of the economy and helps overcome the extremes of methodological individualism and methodological holism. The study shows how the institutional characteristics of the strategies in question are determined by orthodox and heterodox versions of Keynesian economics. The paradigmal limitations of the given strategies may stem from the fact that methodologically they rely on individualism, which leads to exogenous interpretations of institutions and monetary phenomena. Therefore, it is impossible to explain the emergence of market prices as an institutional phenomena by drawing on the neo-classical versions of the theory of value. Macro-economic indicators in mainstream economics are exogenous aggregated variables. The study traces the development of the paradigmal framework of classical political economy and Marx’s i</w:t>
      </w:r>
    </w:p>
    <w:p>
      <w:r>
        <w:t>POSSIBLE 2022: Screening of Cooling Technologies in Europe: Alternatives to Vapour Compression and Possible Market Developments — https://doi.org/10.3390/su14052971</w:t>
      </w:r>
    </w:p>
    <w:p>
      <w:r>
        <w:t>Shared claim-specific concepts: aim, alternative; EU scope visible. This is a provisional connection, not an outcome finding.</w:t>
      </w:r>
    </w:p>
    <w:p>
      <w:r>
        <w:t>Available abstract (not full text): The aim of this study is to investigate, review, and assess the recent advances of alternative cooling technologies using traditional vapor compression (VC) systems as a baseline. Around 99% of the final energy consumption used for cooling in the current European market (European Union plus the United Kingdom (EU27 + UK) is supplied by VC technologies. In comparison, the remaining 1% is produced by thermally driven heat pumps (TDHPs). This study focuses on providing a complete taxonomy of cooling technologies. While the EU heating sector is broadly explored in scientific literature, a significant lack of data and information is present in the cooling sector. This study highlights technologies that can potentially compete and eventually replace VC systems within the decade (2030). Among others, the most promising of these are membrane heat pump, transcritical cycle, Reverse Brayton (Bell Coleman cycle), and absorption cooling. However, the latter mentioned technologies still need further research and development (R&amp;D) to become fully competitive with VC technologies. Notably, there are no alternative cooling technologies characterized by higher efficiency and less cost than VC technologies in the EU market.</w:t>
      </w:r>
    </w:p>
    <w:p>
      <w:pPr>
        <w:pStyle w:val="Heading2"/>
      </w:pPr>
      <w:r>
        <w:t>Charging the future: Roadmaps and value tensions for mainstreaming prosumerism to 2030 and 2050</w:t>
      </w:r>
    </w:p>
    <w:p>
      <w:r>
        <w:t>Original source (2021): https://doi.org/10.5281/zenodo.4568679</w:t>
      </w:r>
    </w:p>
    <w:p>
      <w:r>
        <w:t>Original wording (abstract; indexed_source_text_not_full_document_verified): Third, we highlight three key value tensions which underlie these leverage points, and for which value prioritisations will need to be made.</w:t>
      </w:r>
    </w:p>
    <w:p>
      <w:r>
        <w:t>POSSIBLE 2026: Discrimination of two-highlight versus single-highlight phantom echoes by bottlenose dolphins ( Tursiops truncatus ) — https://doi.org/10.1121/10.0043763</w:t>
      </w:r>
    </w:p>
    <w:p>
      <w:r>
        <w:t>Shared claim-specific concepts: third, highlight, three; EU scope not established. This is a provisional connection, not an outcome finding.</w:t>
      </w:r>
    </w:p>
    <w:p>
      <w:r>
        <w:t>Available abstract (not full text): Range resolution defines the ability to discriminate multiple closely spaced surfaces from a single surface and is a fundamental determinant of dolphin biosonar performance. In this study, three bottlenose dolphins were trained to discriminate "phantom" echoes with a single highlight from those with two highlights. The inter-highlight interval of the two-highlight echo was varied to determine the discrimination threshold. Threshold measurements were conducted at echo delays corresponding to simulated target ranges of 2.5-80 m. Discrimination thresholds were 2-3 μs (∼2 mm) for two dolphins with a full-bandwidth of hearing. A third dolphin with high-frequency hearing loss had higher thresholds, between 3 and 5 μs (∼2-4 mm). Thresholds were independent of simulated range, which contrasts with previous reports that the dolphin's accuracy of range determination-as opposed to range resolution-is reduced beyond 10-20 m. Dolphin discriminations in the current study appeared to be based on a spectral cue that consisted of a low-pass filter effect at the highest audible frequencies in the two-highlight echoes. It is unknown if dolphins perceive highlight-dependent spectral interference patterns as a spatial separation of target features along a range axis.</w:t>
      </w:r>
    </w:p>
    <w:p>
      <w:r>
        <w:t>POSSIBLE 2025: Three-dimensional third medium contact model for hyperelastic contact and pneumatically actuated systems — https://doi.org/10.48550/arxiv.2512.03181</w:t>
      </w:r>
    </w:p>
    <w:p>
      <w:r>
        <w:t>Shared claim-specific concepts: third, highlight, need; EU scope not established. This is a provisional connection, not an outcome finding.</w:t>
      </w:r>
    </w:p>
    <w:p>
      <w:r>
        <w:t>Available abstract (not full text): This work presents a comprehensive three-dimensional third-medium contact framework for modeling complex contact interactions in hyperelastic solids and pneumatically actuated systems. The proposed third-medium formulation embeds a fictitious medium (or third medium) between potentially interacting bodies, enabling a unified and robust treatment of hyperelastic contact and self-contact without the need for discretization of the contact interface. Unlike the widely studied two-dimensional problem, this paper extends the new regularization term given in Reference \cite{TMCWriggers2} to three-dimensional problems and ensures element quality in a third medium. Due to the need for higher-order elements for the regularization term, this paper details the linearization process of this problem within the finite element framework. In addition, pneumatically actuated systems are considered by introducing a pneumatic term to represent pneumatic loading (pressure or suction) and inducing contact caused by internal inflation. This approach is suitable for complex hyperelastic contact and self-contact, and has potential applications in the fields of soft robotics and flexible mechanisms. The framework is developed in a fully three-dimensional setting, making it also suitable for isogeometric methods and meshless methods. Several benchmark and application-level simulations demonstrate the acc</w:t>
      </w:r>
    </w:p>
    <w:p>
      <w:r>
        <w:t>POSSIBLE 2025: Global Nomads: Identity and Belonging in Third Culture Kids and Adult Third Culture Kids — https://openalex.org/W7119396443</w:t>
      </w:r>
    </w:p>
    <w:p>
      <w:r>
        <w:t>Shared claim-specific concepts: third, highlight, three; EU scope not established. This is a provisional connection, not an outcome finding.</w:t>
      </w:r>
    </w:p>
    <w:p>
      <w:r>
        <w:t xml:space="preserve">Available abstract (not full text): This capstone examines the subculture of Third Culture Kids and Adult Third Culture Kids who have experienced living abroad as children. There were two main objectives in this study. First, to understand the perceptions of Adult Third Culture Kids on how their global childhoods have impacted their self-identity and sense of belonging as adults. Secondly, to understand the opinions of Adult Third Culture Kids on transitional programs through their personal experiences with them. The methodology of this capstone included a twelve-question survey distributed to seventeen Adult Third Culture Kids born in six different countries around the world. The questions in the survey focused on two central research questions about self-identity, belonging, and opinions of transitional programs aiding in childhood development. A thematic analysis used Google Highlight to code responses into three themes supported by an accompanying literature review. The findings of this study showed that the perceptions of self-identity and sense of belonging in Adult Third Culture Kids aligned with published literature on the topic. Contrastingly, Adult Third Culture Kids in this study agreed that transitional programs would negatively affect the childhood development of future Third Culture Kids. Having not participated in them during childhood, most concluded that they preferred navigating their childhood </w:t>
      </w:r>
    </w:p>
    <w:p>
      <w:r>
        <w:t>POSSIBLE 2024: Three-step Collocation Method for Solution of Third Derivative Initial Value Problem — https://doi.org/10.62054/ijdm/0101.03</w:t>
      </w:r>
    </w:p>
    <w:p>
      <w:r>
        <w:t>Shared claim-specific concepts: third, highlight, three, value; EU scope not established. This is a provisional connection, not an outcome finding.</w:t>
      </w:r>
    </w:p>
    <w:p>
      <w:r>
        <w:t>Available abstract (not full text): In this research paper, we introduce a novel three-step block method designed to directly tackle third-order initial value problems. This method is crafted through an interpolation and collocation approach, leveraging power series analysis. We conduct a comprehensive examination of the proposed method, ensuring it meets all requisite conditions for rigorous analysis. To assess its efficacy and validity, we employ the method on both highly stiff linear and nonlinear initial value problems, juxtaposing our findings with established approaches in the literature. Our results highlight that the new method exhibits faster convergence compared to existing methods, underscoring its superior performance. Initial value problems, Interpolation and collocation procedure, Three step, Third order</w:t>
      </w:r>
    </w:p>
    <w:p>
      <w:r>
        <w:t>POSSIBLE 2022: Liquid-Phase Peptide Synthesis (LPPS): A Third Wave for the Preparation of Peptides — https://doi.org/10.1021/acs.chemrev.2c00132</w:t>
      </w:r>
    </w:p>
    <w:p>
      <w:r>
        <w:t>Shared claim-specific concepts: third, three, made; EU scope not established. This is a provisional connection, not an outcome finding.</w:t>
      </w:r>
    </w:p>
    <w:p>
      <w:r>
        <w:t>Available abstract (not full text): Since the last century, peptides have gained wide acceptance as drugs, with almost 100 already in the market and a large number in the pipeline. In this context, peptide synthesis has grown massively as a stringent field for pharmaceuticals around the globe. Three methodologies, namely, classical solution peptide synthesis (CSPS), solid-phase peptide synthesis (SPPS), and liquid-phase peptide synthesis (LPPS), have made significant contributions to the field. This review provides a comprehensive and integrated vision of LPPS as the third wave for peptide synthesis. LPPS combines the advantages of CSPS and SPPS, where peptide elongation is carried out in solution and the growing peptide chain is supported on a soluble tag, which confers characteristic properties. LPPS protocols allow the large-scale production of peptides and reduce the use of excess reagents and solvents, thus meeting the principles of green chemistry. In this review, tags associated with LPPS are broadly discussed under the following headings: polydisperse polyethylene glycol (PEG), membrane-enhanced peptide synthesis (MEPS), fluorous technology, ionic liquids (ILs), PolyCarbon, hydrophobic polymers, and group-assisted purification (GAP). It also highlights the signature accomplishments of LPPS tags and the limitations of the same.</w:t>
      </w:r>
    </w:p>
    <w:p>
      <w:pPr>
        <w:pStyle w:val="Heading2"/>
      </w:pPr>
      <w:r>
        <w:t>Conducting pre-foresight research: organizational aspect</w:t>
      </w:r>
    </w:p>
    <w:p>
      <w:r>
        <w:t>Original source (2021): https://doi.org/10.15407/socium2021.02.026</w:t>
      </w:r>
    </w:p>
    <w:p>
      <w:r>
        <w:t>Original wording (abstract; indexed_source_text_not_full_document_verified): The purpose of this publication is a detailed study and analysis of the organisation of pre-foresight research in terms of the formation of informational, communicative, and methodological components of the pre-foresight stage, as well as recommendations for measures to improve the effectiveness of national foresight as a tool for long-term development in the country.</w:t>
      </w:r>
    </w:p>
    <w:p>
      <w:r>
        <w:t>POSSIBLE 2026: FAIRsharing record for: FAIR Metric - R1.2 - Metadata - Linked Publications — https://doi.org/10.25504/fairsharing.653df6</w:t>
      </w:r>
    </w:p>
    <w:p>
      <w:r>
        <w:t>Shared claim-specific concepts: purpose, publication, detailed; EU scope not established. This is a provisional connection, not an outcome finding.</w:t>
      </w:r>
    </w:p>
    <w:p>
      <w:r>
        <w:t>Available abstract (not full text): This FAIRsharing record describes: R1.2 requires that (meta)data be associated with detailed provenance. The purpose of this principle is to ensure that provenance-related metadata such as the origins, contributors, funding context and related research outputs of a digital object are clearly described, enabling informed reuse and proper attribution. For the purposes of this metric, a qualified reference is defined as a reference in which the metadata explicitly describes the type of relationship between the metadata and the referenced entity. Evaluation under this metric assesses the presence of at least one qualified reference to linked publications: Where a metadata record includes at least one linked publication that explicitly supports the metadata record (rather than just providing context), this constitutes a qualified provenance reference. Where this information is present, at least one declaration is sufficient to pass this metric. The overall level of FAIRness under R1.2 increases as additional provenance dimensions are satisfied; using multiple metrics for R1.2 can help create a detailed picture of reusability.</w:t>
      </w:r>
    </w:p>
    <w:p>
      <w:r>
        <w:t>POSSIBLE 2026: Knowledge Management Practice in the Indian Publications Industry with a Case Study of Publications Hub, India — https://doi.org/10.30954/2322-0465.01.2026.14</w:t>
      </w:r>
    </w:p>
    <w:p>
      <w:r>
        <w:t>Shared claim-specific concepts: purpose, detailed, well, improve; EU scope not established. This is a provisional connection, not an outcome finding.</w:t>
      </w:r>
    </w:p>
    <w:p>
      <w:r>
        <w:t xml:space="preserve">Available abstract (not full text): The global publishing industry in India, which is one of the largest in the world, is going through rapid change as a result of the introduction of Knowledge Management (KM) practices.This case study looks at KM frameworks within academic, trade, and regional publishing, with a focus on digital repositories, the transfer of tacit knowledge, AI-powered editorial tools, and organizational learning.The evidence from the cases points out both the opportunities and the challenges involved, such as the difficulty of handling multiple languages, shortcomings in infrastructure, and resistance to change.The study includes a detailed analysis of Publications Hub in New Delhi, a medium-sized publishing consortium that has incorporated KM frameworks into its editorial and distribution processes.It is concluded that in order to maintain competitiveness and promote innovation in the Indian publishing sector, a strategic adoption of KM, backed by collaborative platforms and new technologies, is essential.Data gathered from 20 publishers that are part of the Hub show that KM practices-such as the use of digital repositories and peer review management systems, as well as the transfer of tacit knowledge via editorial mentorship-greatly improve operational transparency and cut down turnaround times.The case study makes it clear that for the purpose of sustaining innovation and competitiveness in </w:t>
      </w:r>
    </w:p>
    <w:p>
      <w:r>
        <w:t>POSSIBLE 2025: "Ukrainian zhurnal ": 200 years since the day of publication — https://doi.org/10.36273/2076-9555.2024.12(341).41-45</w:t>
      </w:r>
    </w:p>
    <w:p>
      <w:r>
        <w:t>Shared claim-specific concepts: purpose, publication, detailed, country; EU scope not established. This is a provisional connection, not an outcome finding.</w:t>
      </w:r>
    </w:p>
    <w:p>
      <w:r>
        <w:t>Available abstract (not full text):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r>
        <w:t>POSSIBLE 2025: "Ukrainian zhurnal ": 200 years since the day of publication — https://doi.org/10.36273/2076-9555.2024.11(340).51-52</w:t>
      </w:r>
    </w:p>
    <w:p>
      <w:r>
        <w:t>Shared claim-specific concepts: purpose, publication, detailed, country; EU scope not established. This is a provisional connection, not an outcome finding.</w:t>
      </w:r>
    </w:p>
    <w:p>
      <w:r>
        <w:t>Available abstract (not full text): The purpose of the article is to trace, using the example of the "Ukrainian zhurnal", the main regularities in the process of the birth of Ukrainian journalism in the conditions of the dominance of Russian imperial culture. The research uses general scientific methods of cognition: inductive, analytical, comparative, generalization of information, historical-narrative method. Thanks to their comprehensive application, it became possible to more thoroughly investigate journal publications of various nature and give them an objective assessment. The scientific novelty consists in the detailed study of the prerequisites for the publication under study, the activities of the editorial board, which contributed to the identification of its positive features and shortcomings. The proposed article gives an idea of the birth of the Ukrainian periodical in the territory of the Slobozhan region, its close connection with the higher educational institutions of that time through the prism of the multifaceted publications of the "Ukrainian zhurnal", which will be 200 years old in 2024. Attention is paid to establishing the classification of articles by thematic direction. On the basis of the then and modern scientific explorations, bibliographic indexes, memoir materials, letters, etc., the author found out the role of the "Ukrainian Journal" in the social, public-political and cultural-arti</w:t>
      </w:r>
    </w:p>
    <w:p>
      <w:r>
        <w:t>POSSIBLE 2024: IS THE PUBLICATION LEGAL/LAW/JUDICIAL? — https://doi.org/10.23939/sjs2024.02.001</w:t>
      </w:r>
    </w:p>
    <w:p>
      <w:r>
        <w:t>Shared claim-specific concepts: purpose, publication, detailed; EU scope not established. This is a provisional connection, not an outcome finding.</w:t>
      </w:r>
    </w:p>
    <w:p>
      <w:r>
        <w:t>Available abstract (not full text): The problem of clarifying the correct use of the concepts of legal, law, and judicial for a clear purpose is currently in the field of interest of legal scholars, linguists, and terminologists. Communicators are also involved in the detailed study of this issue, for whom clarifying this issue is important and necessary for further media research of various kinds. The disagreement among scholars on the use of these concepts is explained, in our opinion, primarily by the not entirely clear establishment of the general term field in the domain of judicial («legal») science. The purpose of the research was to determine the correctness of word usage in the selfidentification of legal/law/judicial publications. In order to achieve this goal, we emphasize the need to fulfill the following tasks: – to distinguish self-titles in the description of legal/law/judicial publications; – to establish the linguistic features of the concepts of «legal», «law», «judicial» and the peculiarities ofscientific and practical discourse on this issue. As we have seen from the titles and descriptions of the publications, some of them contain the term «judicial» and others «legal» or «law». In the course of the study, we have identified the opinions of journalism scholars, philologists, and lawyers, both academics and practitioners, on the correctness of using these words in defining the intended purpose</w:t>
      </w:r>
    </w:p>
    <w:p>
      <w:r>
        <w:t>POSSIBLE 2024: Exploring the Chat GPT's Impact and Prospects for Business Research Purposes — https://doi.org/10.1109/inocon60754.2024.10511483</w:t>
      </w:r>
    </w:p>
    <w:p>
      <w:r>
        <w:t>Shared claim-specific concepts: purpose, publication, detailed; EU scope not established. This is a provisional connection, not an outcome finding.</w:t>
      </w:r>
    </w:p>
    <w:p>
      <w:r>
        <w:t>Available abstract (not full text): This research provides a detailed analysis of publications related to the Chat GPT topic using data from the Scopus database. The main purpose of this research is to find research gaps within ChatGPT research, especially in business. This research content is divided into four key areas: publication and citation structure, past research topics, author co-citation analysis, and keyword co-occurrence analysis. The research finds that Chat GPT is actively explored in medicine, social science, computer science, and engineering. Most past research is not directly related to business, but it can support business continuity. The research notes a balanced contribution from authors and identifies "Artificial Intelligence" as a leading keyword. Countries like the United States, China, and India are major contributors. Using Latent Dirichlet Allocation (LDA), the study categorizes previous work into five areas: remote learning, AI-based customer support, Learning Management Systems, academic research roles, and AI data handling. The co-citation analysis shows that authors, specifically Wu J. and Radford A., have significantly impacted the Chat GPT publication. For keyword co-occurrence, "Artificial Intelligence" and "ChatGPT" are keywords that have a strong link. The keywords cluster are divided into technology (red) and human-centric (green) topics.</w:t>
      </w:r>
    </w:p>
    <w:p>
      <w:r>
        <w:t>POSSIBLE 2023: DEPENDENCE OF PUBLICATION ACTIVITY IN OCCUPATIONAL HEALTH ON THE TYPE OF SCIENTIFIC PAPERS — https://doi.org/10.31089/978-5-6042929-1-4-2023-1-285-290</w:t>
      </w:r>
    </w:p>
    <w:p>
      <w:r>
        <w:t>Shared claim-specific concepts: purpose, publication, detailed, terms; EU scope not established. This is a provisional connection, not an outcome finding.</w:t>
      </w:r>
    </w:p>
    <w:p>
      <w:r>
        <w:t>Available abstract (not full text): The brief analysis of the application of publication activity indicators of scientific and educational organizations in the field of occupational health based on a multi-level study of scientometric data of the RSCI system. For the purpose of this analysis, based on the data of the Russian Scientific Citation Index (RSCI), as the main database of domestic publications, a comparison of publication activity in the field of occupational health for all the years recorded in the RSCI and for the 5‑year period — 2016‑2020 on scientific publications of 14 specialized research Institutions and 9 medical Universities with departments of occupational health/occupational deseases. From the analyzed data array, most of the scientific publications relate to medical universities, and a smaller part to research institutes (254 953 and 30 473). Nevertheless, in medical universities it is much less common than in research institutes to note publications that are precisely included in the field of occupational health, and their quantitative preponderance in publications is due to the versatility of educational institutions. This determines the continuation of the analysis in terms of a more detailed consideration of the topics of the publications themselves.</w:t>
      </w:r>
    </w:p>
    <w:p>
      <w:r>
        <w:t>POSSIBLE 2023: INTRODUCING ENGLISH FOR RESEARCH PUBLICATION PURPOSES By JohnFlowerdew and PejmanHabibieRoutledge. ISBN 978‐0367330583. Price USD 39.16 (paperback), 136.00 (hardcover). 150 pages. — https://doi.org/10.1002/tesj.715</w:t>
      </w:r>
    </w:p>
    <w:p>
      <w:r>
        <w:t>Shared claim-specific concepts: publication, detailed, stage, well; EU scope not established. This is a provisional connection, not an outcome finding.</w:t>
      </w:r>
    </w:p>
    <w:p>
      <w:r>
        <w:t>Available abstract (not full text): English seems to have secured its position as the international language of academic communication and knowledge dissemination. The publish or perish policy which many academic centers of the world promote has turned out to be a publish-in-English or perish policy (Habibie, 2022). Given the significance of English as the lingua franca of scholarly publication, English for research publication purposes (ERPP) has turned into an independent area of study within English for academic purposes (EAP). The past decade has witnessed an increase in research on English as used in published academic works in different disciplines and within different genres. Despite the growing interest in this topic and the increase in the number of journal articles in this area, there are still few, if any, textbooks focusing on the various dimensions of ERPP. In Introducing English for Research Publication Purposes, Flowerdew and Habibie have pioneered in covering, within 10 chapters, “what ERPP encompasses as a scholarly field, including its disciplinary boundaries, competing discourses within the field, research and practice paradigms” in a compendious and coherent manner (p. i). The eight-page introduction to the book presents English for research publication purposes as a scholarly field developed in response to the needs of both scholars with a first language other than English and Anglophone rese</w:t>
      </w:r>
    </w:p>
    <w:p>
      <w:r>
        <w:t>POSSIBLE 2022: Transformation of GRAFCET Into GAL for Verification Purposes Based on a Detailed Meta-Model — https://doi.org/10.1109/access.2022.3225736</w:t>
      </w:r>
    </w:p>
    <w:p>
      <w:r>
        <w:t>Shared claim-specific concepts: detailed, terms; EU scope not established. This is a provisional connection, not an outcome finding.</w:t>
      </w:r>
    </w:p>
    <w:p>
      <w:r>
        <w:t>Available abstract (not full text): The graphical modeling language GRAFCET is used as a formal specification language in industrial control design. To use these formal specifications for model-driven development of control code it is beneficial to ensure their syntactical and semantic correctness. Therefore in this paper, a detailed meta-model for GRAFCET is presented, which takes so-called terms into account, i.e. logical and arithmetic expressions in conditions and assignments. The meta-model and additionally proposed invariants allow to create syntactically correct GRAFCET instances. Based on this, a translation of GRAFCET to Guarded Action Language (GAL) is presented. The resulting transition system in GAL forms the basis for a semantic analysis of the GRAFCET instances by means of model checking in future research. Finally, the models are then employed for automatic code generation in Structured Text.</w:t>
      </w:r>
    </w:p>
    <w:p>
      <w:r>
        <w:t>POSSIBLE 2022: Purpose, outcome, and methodology in computer-assisted language learning publications: A systematic review — https://doi.org/10.29140/jaltcall.v18n2.603</w:t>
      </w:r>
    </w:p>
    <w:p>
      <w:r>
        <w:t>Shared claim-specific concepts: purpose, national; EU scope not established. This is a provisional connection, not an outcome finding.</w:t>
      </w:r>
    </w:p>
    <w:p>
      <w:r>
        <w:t>Available abstract (not full text): Although CALL is still an emerging area of study in many countries, several studies have shown the significant contribution of these countries to the development of CALL worldwide, among which Iran is no exception. Contrary to the vast number of review studies on how this interdisciplinary area of study has been developed at the international level, there are very few studies presenting the development of CALL at the national level, especially in the highly contributing countries. Accordingly, the present study is an attempt to systematically review the trend of CALL in Iran focusing on research purpose, outcome, and methodology. The two major databases of WoS and Scopus were searched from 2007 to 2020. Following the exclusion and inclusion criteria, 229 studies were selected for the present systematic review. The research purpose and outcome of the studies were analyzed according to four classifications of linguistic, affective, cognitive/ metacognitive, and technology domains. The findings indicated a large number of studies in linguistic and affective domains with a positive effect of technology. Furthermore, a few studies have been conducted with a focus on the cognitive/ metacognitive and technology aspects. The analysis of the research methodology of the publications revealed a lack of sufficient data about participants, research setting, and duration of the treatment/tas</w:t>
      </w:r>
    </w:p>
    <w:p>
      <w:r>
        <w:t>POSSIBLE 2022: Publication Policy of the National Research Data Infrastructure for Personal Health Data (NFDI4Health) and the NFDI4Health Task Force COVID-19 — https://doi.org/10.4126/frl01-006431467</w:t>
      </w:r>
    </w:p>
    <w:p>
      <w:r>
        <w:t>Shared claim-specific concepts: publication, detailed, well, national; EU scope not established. This is a provisional connection, not an outcome finding.</w:t>
      </w:r>
    </w:p>
    <w:p>
      <w:r>
        <w:t>Available abstract (not full text): One of the purposes of the NFDI4Health is to make data collected in health-related studies FAIR. The first step towards this is the publication of comprehensive information about the context and accessibility of the data (metadata set). In addition, study documents contain further detailed information needed for the correct interpretation of the collected data and should therefore be published as well.\n\nThe Publication Policy describes the requirements for the publication of research data from health-related studies in the NFDI4Health Study Hub. Researchers or research groups wanting to make their studies discoverable and corresponding research data FAIR should fulfil these requirements.</w:t>
      </w:r>
    </w:p>
    <w:p>
      <w:pPr>
        <w:pStyle w:val="Heading2"/>
      </w:pPr>
      <w:r>
        <w:t>Conservation biology research priorities for 2050: A Central-Eastern European perspective</w:t>
      </w:r>
    </w:p>
    <w:p>
      <w:r>
        <w:t>Original source (2021): https://doi.org/10.1016/j.biocon.2021.109396</w:t>
      </w:r>
    </w:p>
    <w:p>
      <w:r>
        <w:t>Original wording (abstract; indexed_source_text_not_full_document_verified): We used the possible future statements from the Hungarian Environmental Foresight Report for 2050 which identified region-specific problems. To highlight likely future environmental and conservation questions, in this study we asked researchers from the fields of ecology and conservation to define research questions addressing these future statements in line with international research trends and challenges.</w:t>
      </w:r>
    </w:p>
    <w:p>
      <w:r>
        <w:t>POSSIBLE 2025: European Myeloma Network Group review and consensus statement on primary plasma cell leukemia — https://doi.org/10.1016/j.annonc.2025.01.022</w:t>
      </w:r>
    </w:p>
    <w:p>
      <w:r>
        <w:t>Shared claim-specific concepts: used, possible, statements, questions, international; EU scope visible. This is a provisional connection, not an outcome finding.</w:t>
      </w:r>
    </w:p>
    <w:p>
      <w:r>
        <w:t>Available abstract (not full text): BACKGROUND: Primary plasma cell leukemia (PPCL) is the most aggressive disorder among plasma cell malignancies, with new diagnostic criteria recently established by the International Myeloma Working Group. Studies have shown that PPCL patients receiving a combination of novel agents, but not eligible for transplantation, may have a median survival up to 2 years, extended to 3 years or more in those undergoing transplant procedures. These findings remain unsatisfactory, particularly if compared with progresses obtained in multiple myeloma. DESIGN: A European Myeloma Network (EMN) expert panel reviewed the most recent literature and selected the areas of major concern in the management of PPCL by generating and rank ordering key questions using the criterion of clinical relevance. Multistep procedures were utilized to achieve a consensus on recommendations. The Delphi questionnaire method was used and a consensus of at least 80% was reached for all final statements. RESULTS: An extended overview of current biological, clinical, prognostic, and therapeutic aspects of PPCL, including ongoing and close to start clinical trials, is presented. Furthermore, updated guidelines for the management of PPCL and practical recommendations are provided, in the context of current knowledge about this disease, also looking at possible future perspectives to ameliorate the outcome of these patien</w:t>
      </w:r>
    </w:p>
    <w:p>
      <w:r>
        <w:t>POSSIBLE 2023: Web based research in sexual medicine: a position statement of the European Society for Sexual Medicine — https://doi.org/10.1093/sexmed/qfad032</w:t>
      </w:r>
    </w:p>
    <w:p>
      <w:r>
        <w:t>Shared claim-specific concepts: possible, statements, identified, researchers, challenges; EU scope visible. This is a provisional connection, not an outcome finding.</w:t>
      </w:r>
    </w:p>
    <w:p>
      <w:r>
        <w:t>Available abstract (not full text): Background: Although the use of the Web has brought major advances in every step of the research process, this also comes with several methodological challenges. Aim: The article presents the European Society for Sexual Medicine's position statements on key methodological concerns relative to Web-based research in sexual medicine. Methods: The authors conducted a systematic scoping review of articles using Web-based research methods in sexual medicine. For the creation of the statements, the authors processed the data from the methodology of the studies and formulated the final statements reaching 100% agreement in the group. Outcomes: European Society for Sexual Medicine statements were provided on the following domains: definition of the population of interest, selection of the population of interest, data collection quality, response rate, self-reported questionnaire, consent, and legal obligations. Results: Researchers should justify the relevance of the Internet population to the population of interest; should clearly describe how they identified study participants; should select and employ specific measures to avoid hoax; should explicitly describe the process of calculation of response and completion rates as well as the relative implications; should validate traditional sexual health questionnaires for online and, if possible, multilingual use; should not ignore consent</w:t>
      </w:r>
    </w:p>
    <w:p>
      <w:r>
        <w:t>POSSIBLE 2023: Frequent questions and responses on the 2022 lipoprotein(a) consensus statement of the European Atherosclerosis Society — https://doi.org/10.1016/j.atherosclerosis.2023.04.012</w:t>
      </w:r>
    </w:p>
    <w:p>
      <w:r>
        <w:t>Shared claim-specific concepts: used, questions, asked; EU scope visible. This is a provisional connection, not an outcome finding.</w:t>
      </w:r>
    </w:p>
    <w:p>
      <w:r>
        <w:t>Available abstract (not full text): In 2022, the European Atherosclerosis Society (EAS) published a new consensus statement on lipoprotein(a) [Lp(a)], summarizing current knowledge about its causal association with atherosclerotic cardiovascular disease (ASCVD) and aortic stenosis. One of the novelties of this statement is a new risk calculator showing how Lp(a) influences lifetime risk for ASCVD and that global risk may be underestimated substantially in individuals with high or very high Lp(a) concentration. The statement also provides practical advice on how knowledge about Lp(a) concentration can be used to modulate risk factor management, given that specific and highly effective mRNA-targeted Lp(a)-lowering therapies are still in clinical development. This advice counters the attitude: "Why should I measure Lp(a) if I can't lower it?". Subsequent to publication, questions have arisen relating to how the recommendations of this statement impact everyday clinical practice and ASCVD management. This review addresses 30 of the most frequently asked questions about Lp(a) epidemiology, its contribution to cardiovascular risk, Lp(a) measurement, risk factor management and existing therapeutic options.</w:t>
      </w:r>
    </w:p>
    <w:p>
      <w:r>
        <w:t>POSSIBLE 2022: Has the STARD statement improved the quality of reporting of diagnostic accuracy studies published in European Radiology? — https://doi.org/10.1007/s00330-022-09008-7</w:t>
      </w:r>
    </w:p>
    <w:p>
      <w:r>
        <w:t>Shared claim-specific concepts: used, possible, identified; EU scope visible. This is a provisional connection, not an outcome finding.</w:t>
      </w:r>
    </w:p>
    <w:p>
      <w:r>
        <w:t>Available abstract (not full text): OBJECTIVES: To investigate whether encouraging authors to follow the Standards for Reporting Diagnostic Accuracy (STARD) guidelines improves the quality of reporting of diagnostic accuracy studies. METHODS: In mid-2017, European Radiology started encouraging its authors to follow the STARD guidelines. Our MEDLINE search identified 114 diagnostic accuracy studies published in European Radiology in 2015 and 2019. The quality of reporting was evaluated by two independent reviewers using the revised STARD statement. Item 11 was excluded because a meaningful decision about adherence was not possible. Student's t test for independent samples was used to analyze differences in the mean number of reported STARD items between studies published in 2015 and in 2019. In addition, we calculated differences related to the study design, data collection, and citation rate. RESULTS: The mean total number of reported STARD items for all 114 diagnostic accuracy studies analyzed was 15.9 ± 2.6 (54.8%) of 29 items (range 9.5-22.5). The quality of reporting of diagnostic accuracy studies was significantly better in 2019 (mean ± standard deviation (SD), 16.3 ± 2.7) than in 2015 (mean ± SD, 15.1 ± 2.3; p &lt; 0.02). No significant differences in the reported STARD items were identified in relation to study design (p = 0.13), data collection (p = 0.87), and citation rate (p = 0.09). CONCLUSION: The qualit</w:t>
      </w:r>
    </w:p>
    <w:p>
      <w:r>
        <w:t>POSSIBLE 2022: Reducing the environmental footprint of gastrointestinal endoscopy: European Society of Gastrointestinal Endoscopy (ESGE) and European Society of Gastroenterology and Endoscopy Nurses and Associates (ESGENA) Position Statement — https://doi.org/10.1055/a-1859-3726</w:t>
      </w:r>
    </w:p>
    <w:p>
      <w:r>
        <w:t>Shared claim-specific concepts: statements, environmental, challenges; EU scope visible. This is a provisional connection, not an outcome finding.</w:t>
      </w:r>
    </w:p>
    <w:p>
      <w:r>
        <w:t>Available abstract (not full text):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pPr>
        <w:pStyle w:val="Heading2"/>
      </w:pPr>
      <w:r>
        <w:t>Decoupling transport-related greenhouse gas emissions and economic growth in the European Union countries</w:t>
      </w:r>
    </w:p>
    <w:p>
      <w:r>
        <w:t>Original source (2021): https://doi.org/10.13044/j.sdewes.d9.0411</w:t>
      </w:r>
    </w:p>
    <w:p>
      <w:r>
        <w:t>Original wording (abstract; indexed_source_text_not_full_document_verified): As the European Union declares its ambition to become the first climate-neutral continent by 2050, it is more than important to monitor and analyse developments in greenhouse gas emissions in individual sectors, including transport.The paper aims to assess using the decoupling method, the relationship between transport-related greenhouse gas emissions and the economic growth of the EU countries.The results indicate that the countries achieved different stages of decoupling within the individual monitored periods, with relative decoupling (55%) and absolute decoupling (34%) being the most common.However, in the long run (20 year study period 1997-2017), only 8 countries achieved absolute (strong) decoupling, which does not seem to be sufficient in the pursuit of the EU´s ambitious climate mitigation targets.</w:t>
      </w:r>
    </w:p>
    <w:p>
      <w:r>
        <w:t>POSSIBLE 2025: Setting the course: aligning European Union marine pollution policy ambitions with environmental realities — https://doi.org/10.3389/fmars.2025.1586918</w:t>
      </w:r>
    </w:p>
    <w:p>
      <w:r>
        <w:t>Shared claim-specific concepts: union, sectors, including, between; EU scope visible. This is a provisional connection, not an outcome finding.</w:t>
      </w:r>
    </w:p>
    <w:p>
      <w:r>
        <w:t>Available abstract (not full text): Pollution in coastal and marine waters is a global challenge that transcends national boundaries, affecting interconnected seas, the ocean and broader ecosystems. Addressing marine pollution requires policies that encompass not only the marine domain but the entire ecosystem, including human societies. Therefore, a comprehensive and integrated governance approach, linking land-based sources to marine environments, is essential for effective pollution management and mitigation. This study assesses the current environmental status of persistent, long-lasting and emerging pollutants (PCBs, excess nutrients, microplastics, PFAS, and underwater noise) and cumulative effects of pollution, and compares these with the set European Union (EU) environmental goals and ambitions. A systematic review of EU policy documents reveals that several targets are unclear, arbitrary, and often unattainable, limiting the effectiveness of current strategies. This paper presents five actionable recommendations to strengthen marine environmental policy, emphasizing the need for better alignment between EU ambitions and environmental realities. To enhance EU pollution policies, it is crucial to reinforce regulatory frameworks, ensure the effective enforcement of existing legislation, foster collaboration across sectors, and empower citizens and NGOs. Additionally, integrating health and pollution policie</w:t>
      </w:r>
    </w:p>
    <w:p>
      <w:r>
        <w:t>POSSIBLE 2025: The European Union — https://doi.org/10.1017/9781009293723.009</w:t>
      </w:r>
    </w:p>
    <w:p>
      <w:r>
        <w:t>Shared claim-specific concepts: union, relationship, between; EU scope visible. This is a provisional connection, not an outcome finding.</w:t>
      </w:r>
    </w:p>
    <w:p>
      <w:r>
        <w:t>Available abstract (not full text): The rise of the European Union elicits both theoretical and practical questions about notions of citizenship, and citizens’ duties, that transcend nation-state boundaries. Indeed, its supranational nature invites reevaluation of the concepts of citizenship and political community more generally. In a similar vein, this chapter considers the European Court of Justice’s (ECJ) practice of horizontal application in light of republican theory. The fact that the ECJ has introduced horizontal application in EU law at all is itself a point of interest, given the debatable status of the Union as a political community in the republican sense. This book’s republican framework points toward a conceptual relationship between the development of horizontal application and the fate of the European Union as, in fact, something more than a loose union of nation-states. Put differently, a full flowering of horizontal application is theoretically tied to wider acceptance of the European Union as a fully fledged political community, complete with citizens’ duties to one another and a common good of which to speak.</w:t>
      </w:r>
    </w:p>
    <w:p>
      <w:r>
        <w:t>POSSIBLE 2025: The green hydrogen ambition and implementation gap — https://doi.org/10.1038/s41560-024-01684-7</w:t>
      </w:r>
    </w:p>
    <w:p>
      <w:r>
        <w:t>Shared claim-specific concepts: ambition, sectors; EU scope not established. This is a provisional connection, not an outcome finding.</w:t>
      </w:r>
    </w:p>
    <w:p>
      <w:r>
        <w:t>Available abstract (not full text):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r>
        <w:t>POSSIBLE 2025: ReS-ACUE: standardized data linking recovery objectives and ambition to habitat protection for species at risk in Australia, Canada, the United States, and the European Union — https://doi.org/10.3389/fevo.2025.1659957</w:t>
      </w:r>
    </w:p>
    <w:p>
      <w:r>
        <w:t>Shared claim-specific concepts: union, ambition, including, aims, assess; EU scope visible. This is a provisional connection, not an outcome finding.</w:t>
      </w:r>
    </w:p>
    <w:p>
      <w:r>
        <w:t>Available abstract (not full text): The biodiversity crisis, characterized by the rapid decline of global biodiversity, is one of the most urgent environmental issues of our time. Currently, 28% of all assessed animal, fungal, and plant species on the International Union for Conservation of Nature (IUCN) Red List are threatened with extinction (IUCN, 2025a). Up to one million species could succumb to extinction within decades (IPBES, 2019). One of the primary drivers of biodiversity loss is habitat loss and degradation (Johnson et al., 2017) from human activity, such as land-and sea-use change (IPBES, 2019). It is estimated that 9% (&gt;500,000) of species do not have adequate habitat for long-term survival (IPBES, 2019). Effective measures for protecting, conserving and restoring habitats of threatened species are essential for safeguarding biodiversity (Corlett, 2020;Dinerstein et al., 2024).The use of habitat protection as a mechanism for reversing biodiversity loss has a wellestablished history within international conservation initiatives. Signatories of the 1992 Convention on Biological Diversity were encouraged to develop or maintain legislative and regulatory provisions to protect threatened species and populations (Article 8K; CBD 2011). The promotion of habitat protection to prevent global species extinction and biodiversity was emphasized subsequently in goals 14 and 15 of the United Nations Sustainable D</w:t>
      </w:r>
    </w:p>
    <w:p>
      <w:r>
        <w:t>POSSIBLE 2024: European sustainability: ambitions and challenges — https://doi.org/10.24263/edsd-2024-6-3</w:t>
      </w:r>
    </w:p>
    <w:p>
      <w:r>
        <w:t>Shared claim-specific concepts: union, first, climate-neutral, continent, greenhouse, gas; EU scope visible. This is a provisional connection, not an outcome finding.</w:t>
      </w:r>
    </w:p>
    <w:p>
      <w:r>
        <w:t>Available abstract (not full text): The European Union (EU) has been the global leader in sustainable development strategy and climate change mitigation for decades. Key strategic documents, which indicate dedicated environmentally friendly policies of the Union, include, e.g., Europe 2020 Strategy, the Strategy for Circular Economy, the European Green Deal (EGD), and Fit for 55 package. In terms of Europe 2020 strategy on smart, sustainable and inclusive growth, the EU reached over 20% reduction of greenhouse gas (GHG) emission (from 2010 to 2020). And in terms of EGD, the most ambitious goal was set to make Europe the first climate-neutral continent with zero net GHG emission by 2050. Open Russian aggression against Ukraine in Feb 2022 forced Europe to be ready for new challenges, including overcoming dependence on Russian energy resources. Answering these challenges, the EU adopted REPowerEU strategy to eliminate its dependence on Russian fossil fuels till 2030. The Union imposes economic sanctions on the Russian regime and provides powerful financial support to Ukraine. Keeping in mind a huge military machine of Russia and terrorist way of thinking of its leader it seems we still need much more international efforts to turn Europe back to a sustainable track of development.</w:t>
      </w:r>
    </w:p>
    <w:p>
      <w:r>
        <w:t>POSSIBLE 2024: Climate Obstruction in the European Union — https://doi.org/10.1093/oso/9780197762042.003.0013</w:t>
      </w:r>
    </w:p>
    <w:p>
      <w:r>
        <w:t>Shared claim-specific concepts: union, ambition, individual; EU scope visible. This is a provisional connection, not an outcome finding.</w:t>
      </w:r>
    </w:p>
    <w:p>
      <w:r>
        <w:t>Available abstract (not full text):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r>
        <w:t>POSSIBLE 2024: The impacts of decarbonization pathways on Sustainable Development Goals in the European Union — https://doi.org/10.1038/s43247-024-01309-7</w:t>
      </w:r>
    </w:p>
    <w:p>
      <w:r>
        <w:t>Shared claim-specific concepts: union, greenhouse, gas, emissions; EU scope visible. This is a provisional connection, not an outcome finding.</w:t>
      </w:r>
    </w:p>
    <w:p>
      <w:r>
        <w:t>Available abstract (not full text):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r>
        <w:t>POSSIBLE 2022: Framing Climate Policy Ambition in the European Parliament — https://doi.org/10.17645/pag.v10i3.5479</w:t>
      </w:r>
    </w:p>
    <w:p>
      <w:r>
        <w:t>Shared claim-specific concepts: union, ambition, aims; EU scope visible. This is a provisional connection, not an outcome finding.</w:t>
      </w:r>
    </w:p>
    <w:p>
      <w:r>
        <w:t>Available abstract (not full text): The European Union’s climate policy is considered quite ambitious. This has led to a growing interest among political scientists investigating the European Parliament’s ability to negotiate such ambitious climate legislation. These studies generally focus on the voting behaviour of members of the European Parliament, which allows us to know more about their positions when it comes to accepting or rejecting legislative acts. However, we know surprisingly little about how they debate and justify their positions in Parliament. In these debates, members of the European Parliament not only identify the problem (i.e., climate change and its adverse effects) but also discuss potential solutions (i.e., their willingness or ambition to fight and adapt to climate change). In addition, plenary debates are ideal for making representative claims based on citizens’ interests on climate action. Therefore, this article aims to understand how climate policy ambitions are debated in the European Parliament and whose interests are represented. We propose a new manual coding scheme for climate policy ambitions in parliamentary debate and employ it in climate policy debates in the ninth European Parliament (2019–present). In doing so, this article makes a methodological contribution to operationalising climate policy ambition from a parliamentary representation and legitimation perspective. We find</w:t>
      </w:r>
    </w:p>
    <w:p>
      <w:r>
        <w:t>POSSIBLE 2022: Sustainable Health and Wellbeing in the European Union — https://doi.org/10.3389/fpubh.2022.851061</w:t>
      </w:r>
    </w:p>
    <w:p>
      <w:r>
        <w:t>Shared claim-specific concepts: union, first, monitor; EU scope visible. This is a provisional connection, not an outcome finding.</w:t>
      </w:r>
    </w:p>
    <w:p>
      <w:r>
        <w:t>Available abstract (not full text): Background Altogether, 17 Sustainable Development Goals (SDGs) are an urgent call for action to end poverty, protect the planet, and ensure prosperity for all. Goal 3 is crucial in terms of good health and wellbeing. The main aim of this study is to analyze and evaluate differences among indicators of SDG 3: Sustainable health and wellbeing in the EU countries. Methods The status and development of the EU Member States regarding their successes or failures in terms of Goal 3 were subjected to analysis. Altogether, 11 indicators were used to rank the EU countries using the TOPSIS and ranking methods. The ranks were assigned to the countries in two periods. The first period is related to the time from 2010 till 2014, and the second period from 2015 till 2019. Results The EU countries achieved a positive development in 10 of 11 indicators that monitor the achievement of the EU in terms of Goal 3. The only variable that changed negatively was the obesity rate. Positivity was observed in the decline of the standardized preventable and treatable mortality, which declined from 317.3 in the first period to 295 in the second period; the drop of the population weighted annual mean concentration of fine particulate PM2.5, from 16.4 to 13.6 μg/m3, and also in the increase of the share of people with good or very good perceived health, which was combined with a decrease of the self-reported</w:t>
      </w:r>
    </w:p>
    <w:p>
      <w:r>
        <w:t>POSSIBLE 2022: Gender Mainstreaming the European Union Energy Transition — https://doi.org/10.3390/en15218087</w:t>
      </w:r>
    </w:p>
    <w:p>
      <w:r>
        <w:t>Shared claim-specific concepts: union, including, between; EU scope visible. This is a provisional connection, not an outcome finding.</w:t>
      </w:r>
    </w:p>
    <w:p>
      <w:r>
        <w:t>Available abstract (not full text):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r>
        <w:t>POSSIBLE 2022: The Development of Renewable Energy Sources in the European Union in the Light of the European Green Deal — https://doi.org/10.3390/en15155576</w:t>
      </w:r>
    </w:p>
    <w:p>
      <w:r>
        <w:t>Shared claim-specific concepts: union, emissions, transport, assess, method; EU scope visible. This is a provisional connection, not an outcome finding.</w:t>
      </w:r>
    </w:p>
    <w:p>
      <w:r>
        <w:t>Available abstract (not full text):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r>
        <w:t>POSSIBLE 2022: The Achievements of Climate Change and Energy Policy in the European Union — https://doi.org/10.3390/en15145128</w:t>
      </w:r>
    </w:p>
    <w:p>
      <w:r>
        <w:t>Shared claim-specific concepts: union, assess, method; EU scope visible. This is a provisional connection, not an outcome finding.</w:t>
      </w:r>
    </w:p>
    <w:p>
      <w:r>
        <w:t xml:space="preserve">Available abstract (not full text): The European transition to green economy is based on long-term strategies. The Europe 2020 Strategy was launched in 2010 in order to promote smart, sustainable, and inclusive growth in the region. Later, the ambitions regarding this strategy were followed by the Green Deal and Sustainable Development Goals. Now, the effort of countries towards the green economy is even more relevant than ever because of the context of today’s global energy crisis and economic uncertainty due to many challenges such as the COVID-19 pandemic or Russia invasion of Ukraine. This paper seeks to assess the countries’ achievements in seeking climate change and energy targets of the Europe 2020 Strategy by applying the innovative multi-criteria decision-making (MCDM) technique. The kernel-based comprehensive assessment (KerCA) method was applied for the calculations of the progress achieved and countries’ rankings. It allows to evaluate countries’ achievements and compare them using the mathematical models. The analysis of the national target implementation in the countries allows to determine the compliance of countries with their commitments and liability towards other countries and the European Union (EU). An analysis of the implementation of the strategy can serve as a guide to further develop climate change and energy policy in the region. Furthermore, the added value of the article is systematic </w:t>
      </w:r>
    </w:p>
    <w:p>
      <w:pPr>
        <w:pStyle w:val="Heading2"/>
      </w:pPr>
      <w:r>
        <w:t>Designing health system scenarios at the national level</w:t>
      </w:r>
    </w:p>
    <w:p>
      <w:r>
        <w:t>Original source (2021): https://doi.org/10.52547/ijhehp.9.3.296</w:t>
      </w:r>
    </w:p>
    <w:p>
      <w:r>
        <w:t>Original wording (abstract; indexed_source_text_not_full_document_verified): Materials and Methods:In this study, using in-depth interview tools and a questionnaire governing the Maktor software with 25 health system experts in the 2019 and relying on the process of scriptwriting at the University of Norway in four steps of analyzing trends and actors in the field of health as The first step is to determine the drivers as the second step, the development of scenarios as the third step, and finally the evaluation and strategic recommendation as the fourth step to design the scenarios of the health system at the national level.Results: The findings include four scenarios.The goal of the first scenario as a desirable scenario, Equity in the collective dimension and wellbeing in the individual dimension, in the second scenario as a possible scenario, the goal of that Equity in the collective dimension and ignoring wellbeing in the individual dimension, in the third scenario as a possible scenario goal of wellbeing in the dimension Individual and neglect of Equity in the collective dimension, and finally the fourth scenario as a scenario of disaster in which there is neither wellbeing in the individual dimension nor Equity in the collective dimension.Conclusion: In order to move away from the disaster scenario and approach the desired scenario, the country's health system needs to change the paradigm from therapist to caregiver in such a way that multiple care promotes health, disease prevention, and treatment.Diseases and rehabilitation are integrated and, in this integration, the most important policy will be health promotion.</w:t>
      </w:r>
    </w:p>
    <w:p>
      <w:r>
        <w:t>POSSIBLE 2026: Measuring the Confidence Architecture of Indo-European Claims: findings, code and reproduction materials. — https://doi.org/10.5281/zenodo.22880450</w:t>
      </w:r>
    </w:p>
    <w:p>
      <w:r>
        <w:t>Shared claim-specific concepts: materials, tools, four; EU scope visible. This is a provisional connection, not an outcome finding.</w:t>
      </w:r>
    </w:p>
    <w:p>
      <w:r>
        <w:t>Available abstract (not full text): This deposit contains the complete materials of a calibration study of Indo-European historical linguistics: twenty-one research findings, eleven executable tests with their outputs, an article draft, and an essay on the methodological fallacy registry the project accumulated about itself. The study does not attempt to prove or refute Indo-European reconstruction. It asks a narrower and more answerable question: which specific claims are supported by what kind of evidence, and how far does the confidence in each actually extend. Criteria were declared in advance, in the headers of the scripts, before those scripts were run. Predictions that failed remain visible in the archive rather than being removed. Principal findings. The limit of reconstruction is coverage, not accuracy. Across four families with an attested ancestor — Old Church Slavonic at 1,075 years of depth, Latin at 2,075, Ancient Greek at 2,475, Vedic at 3,225 — reconstruction accuracy correlates with time depth at r = −0.970, but the recoverable ceiling correlates at r = −0.893 while the distance between reconstruction and that ceiling correlates at only r = −0.440. Reconstruction stays a consistent 9 to 18 points below the best-preserving daughter while the ceiling itself collapses from 57.4% to 32.8%. The method does not decay with depth; the material does. What was lost in every daughter is not uncertain but ou</w:t>
      </w:r>
    </w:p>
    <w:p>
      <w:r>
        <w:t>POSSIBLE 2026: Optimizing coating materials and processes for controlled release coated urea fertilizer: review of bio-based coating materials and encapsulation methods — https://doi.org/10.15480/882.17571</w:t>
      </w:r>
    </w:p>
    <w:p>
      <w:r>
        <w:t>Shared claim-specific concepts: materials, methods, in-depth; EU scope visible. This is a provisional connection, not an outcome finding.</w:t>
      </w:r>
    </w:p>
    <w:p>
      <w:r>
        <w:t>Available abstract (not full text):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r>
        <w:t>POSSIBLE 2025: Analytical Methods for In-Depth Assessment of Recycled Plastics: A Review — https://doi.org/10.3390/environments12050154</w:t>
      </w:r>
    </w:p>
    <w:p>
      <w:r>
        <w:t>Shared claim-specific concepts: materials, methods, in-depth; EU scope not established. This is a provisional connection, not an outcome finding.</w:t>
      </w:r>
    </w:p>
    <w:p>
      <w:r>
        <w:t>Available abstract (not full text): Assessing the detailed characteristics of recycled plastics is essential for evaluating their quality and suitability for high-value applications compared to virgin polymers. This review provides a comprehensive overview of advanced analytical techniques used for characterizing the chemical, structural, morphological, and physical properties of recycled polymeric materials. The techniques examined include Fourier Transform Infrared Spectroscopy (FTIR), Micro-Raman spectroscopy, X-ray Fluorescence (XRF), Inductively Coupled Plasma (ICP) techniques, X-ray Powder Diffraction (XRPD), Differential Scanning Calorimetry (DSC), and Scanning Electron Microscopy (SEM). These methods are critically assessed for their effectiveness in detecting polymer degradation, surface and structural alterations, and the presence of contaminants—factors frequently introduced during mechanical recycling processes. For each technique, this review outlines the working principles, sample preparation protocols, and illustrative case studies while discussing their advantages, limitations, and operational challenges. By synthesizing current knowledge and methodological advancements, this review aims to support the development of robust and standardized quality assessment protocols. Enhancing the reliability and precision of recycled plastic characterization will improve their acceptance as high-quality second</w:t>
      </w:r>
    </w:p>
    <w:p>
      <w:r>
        <w:t>POSSIBLE 2025: Optimizing coating materials and processes for controlled release coated urea fertilizer: Review of bio-based coating materials and encapsulation methods — https://doi.org/10.1016/j.rineng.2025.108716</w:t>
      </w:r>
    </w:p>
    <w:p>
      <w:r>
        <w:t>Shared claim-specific concepts: materials, methods, in-depth; EU scope visible. This is a provisional connection, not an outcome finding.</w:t>
      </w:r>
    </w:p>
    <w:p>
      <w:r>
        <w:t>Available abstract (not full text): The strict legal requirements in the European Union mandating biodegradable components in fertilizers by 2026 underscore the urgent need for innovative solutions in controlled release coated urea (CRCU) fertilizers. Despite the critical importance of optimizing coating materials and processes for CRCU fertilizers, a comprehensive review of optimization methods is notably absent, leaving a significant knowledge gap in the development of efficient and sustainable CRCU technologies. This review addresses this gap by providing an in-depth analysis of bio-based coating materials, encapsulation methods, and fluidized bed processes for CRCU fertilizers. We critically evaluate existing research, identify key challenges and opportunities, and discuss future directions for developing biodegradable and efficient CRCU fertilizers that meet the impending regulatory requirements. This review serves as a timely resource for researchers, industry stakeholders, and policymakers seeking to develop and implement sustainable coating solutions.</w:t>
      </w:r>
    </w:p>
    <w:p>
      <w:r>
        <w:t>POSSIBLE 2024: Tracking Candidemia Trends and Antifungal Resistance Patterns across Europe: An In-Depth Analysis of Surveillance Systems and Surveillance Studies — https://doi.org/10.3390/jof10100685</w:t>
      </w:r>
    </w:p>
    <w:p>
      <w:r>
        <w:t>Shared claim-specific concepts: methods, in-depth, system, trends; EU scope visible. This is a provisional connection, not an outcome finding.</w:t>
      </w:r>
    </w:p>
    <w:p>
      <w:r>
        <w:t>Available abstract (not full text): Background: The WHO fungal priority list classifies Candida species as critical and high-priority pathogens, and the WHO GLASS fungi initiative seeks to establish a standardised global framework for antifungal resistance monitoring. We aimed to review resistance rates and antifungal resistance patterns across European surveillance systems and studies in response to these recent calls for action. Methods: A systematic review of national and international surveillance systems and peer-reviewed surveillance studies available up to June 2024 was conducted. Descriptive and trend analyses were performed on surveillance data reporting resistance to different antifungals in Candida spp. Results: In total, 6 national surveillance systems and 28 studies from 13 countries provided candidemia resistance data, mostly about the C. albicans, C. glabrata and C. parapsilosis complex. Azole resistance was most frequently reported (6/6 surveillance systems and 27/28 studies) with the highest resistance rate, especially for C. glabrata, in Croatia (100%, 28/28 isolates) and Slovenia (85.7%, 82/96) and C. parapsilosis in Croatia (80.6%, 54/67) and Italy (72.6%, 106/146). Echinocandin and polyene resistance rates were nearly zero. The number of isolates included in the surveillance systems increased over the years, particularly for C. albicans (+40–60 isolates/year), C. glabrata, and C. parapsilosis</w:t>
      </w:r>
    </w:p>
    <w:p>
      <w:pPr>
        <w:pStyle w:val="Heading2"/>
      </w:pPr>
      <w:r>
        <w:t>Disaggregation of official demographic projections in sub-groups by education level: the neglected “composition effect” in the future path of life expectancy</w:t>
      </w:r>
    </w:p>
    <w:p>
      <w:r>
        <w:t>Original source (2021): https://doi.org/10.1186/s41118-020-00113-3</w:t>
      </w:r>
    </w:p>
    <w:p>
      <w:r>
        <w:t>Original wording (abstract; indexed_source_text_not_full_document_verified): We provide a set of different scenarios on the convergence/divergence of the mortality differential between the high and low education groups. For instance, assuming stability in the mortality differential, we estimated a life expectancy increase at age 65 of 2.9 and 2.6 years for men, and 3.2 and 3.1 for women, in the low and high education groups, respectively, over the whole projection period.</w:t>
      </w:r>
    </w:p>
    <w:p>
      <w:r>
        <w:t>POSSIBLE 2026: Precise Editing of Indolines at Different Positions via SET and CMD Pathways — https://doi.org/10.1021/jacsau.6c00050</w:t>
      </w:r>
    </w:p>
    <w:p>
      <w:r>
        <w:t>Shared claim-specific concepts: set, different, high; EU scope not established. This is a provisional connection, not an outcome finding.</w:t>
      </w:r>
    </w:p>
    <w:p>
      <w:r>
        <w:t>Available abstract (not full text): High Resolution Image Download MS PowerPoint Slide In drug discovery, the pursuit of concise and specific synthetic methods is driving the development of new strategies. Particularly during the late stages of a synthetic sequence, when the substrate molecule contains multiple highly similar C–H bonds, the ability to achieve selective “molecular editing” using mild and precise transformations has become a crucial capability. Here, we report Rh-catalyzed molecular editing of indoline derivatives at different positions via a single, oxidant-tunable catalytic system. Using Ag 3 PO 4 as the oxidant, Rh promotes the formation of indoline radical cations stabilized by SbF 6 –, enabling remote C5 thiolation via a single-electron transfer (SET) mechanism, as supported by the Fukui function. In contrast, Ag 2 O suppresses the SET pathway, as confirmed by the ABTS assay, and enables C7-selective thiolation through a concerted metalation–deprotonation (CMD) process mediated by a Rh(III)/MPAA ligand system. Mechanistic experiments and Fukui indices calculation elucidate the origin of the observed regiodivergence, highlighting the dual reactivity of Rh(III) and offering new conceptual insights into oxidant-controlled C–H functionalization.</w:t>
      </w:r>
    </w:p>
    <w:p>
      <w:r>
        <w:t>POSSIBLE 2026: Factors Influencing Participation in Student Evaluation of Teaching (SETs): A Quality Improvement Analysis — https://doi.org/10.1002/jdd.70303</w:t>
      </w:r>
    </w:p>
    <w:p>
      <w:r>
        <w:t>Shared claim-specific concepts: provide, set, different, between, low, education; EU scope not established. This is a provisional connection, not an outcome finding.</w:t>
      </w:r>
    </w:p>
    <w:p>
      <w:r>
        <w:t>Available abstract (not full text): OBJECTIVE: Student evaluations of teaching (SETs) collect feedback to evaluate teaching methods, effectiveness, and outcomes. SETs are used frequently by faculty in decisions about course content, curriculum changes, and the promotion process. Reported issues with SETs in dental education include inaccuracy, faculty dissatisfaction, and low response rates. This analysis examined SET response rates over a 6-year period in which academic policies changed such that dental student participation shifted from mandatory to opt-in and then to opt-out. A secondary focus was the influence of respondent burden (i.e., volume of questions) on SET participation rates, as measured by proxy using the number of courses and credit hours. METHODS: This retrospective quality improvement analysis involved SET participation data from dental students (mean 64 per class) enrolled at the University of Kentucky College of Dentistry between 2019 and 2024. Analysis of the number of SET responses per class under different participation methods was conducted using t-tests and ANOVA, with significance set at p &lt; 0.05. RESULTS: Student participation was observed to change during different academic policy settings. The highest participation occurred during the mandatory policy period. When policy changed from mandatory (X = 58.6 student responses) to optional (X = 36.7 student responses), a significant decreas</w:t>
      </w:r>
    </w:p>
    <w:p>
      <w:r>
        <w:t>POSSIBLE 2026: ผลกระทบของการควบคมภายในตอความสามารถในการทำกำไรของบรษทจดทะเบยนในตลาดหลกทรพยแหงประเทศไทย (SET): กรณศกษากลมธรกจบรการกอสราง — https://openalex.org/W7219222055</w:t>
      </w:r>
    </w:p>
    <w:p>
      <w:r>
        <w:t>Shared claim-specific concepts: set, high, over; EU scope not established. This is a provisional connection, not an outcome finding.</w:t>
      </w:r>
    </w:p>
    <w:p>
      <w:r>
        <w:t>Available abstract (not full text): This study evaluates the effectiveness of internal control systems and their influence on profitability within the construction services sector listed on the Stock Exchange of Thailand during the period 2020–2024. The analysis is grounded in the COSO framework and encompasses 27 companies over a five-year timeframe. Descriptive statistics, correlation analysis, and multiple regression analysis reveal that construction companies demonstrate high internal control implementation levels, however, faced significant profitability challenges during the study period, reflecting the impact of the COVID-19 pandemic, supply chain disruptions, and economic volatility. The most significant finding is that Monitoring Activities emerged as the critical determinant of profitability, showing statistically significant positive associations with GPM. Other COSO components showed no significant direct associations with profitability, suggesting these foundational components may influence performance through indirect pathways.</w:t>
      </w:r>
    </w:p>
    <w:p>
      <w:r>
        <w:t>POSSIBLE 2025: Contextual differences in the student evaluation of teaching (SET) in Mexico: comparing education face to face and online classes between different faculties — https://doi.org/10.1504/ijmie.2025.148275</w:t>
      </w:r>
    </w:p>
    <w:p>
      <w:r>
        <w:t>Shared claim-specific concepts: provide, set, different, between, education; EU scope not established. This is a provisional connection, not an outcome finding.</w:t>
      </w:r>
    </w:p>
    <w:p>
      <w:r>
        <w:t>Available abstract (not full text):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r>
        <w:t>POSSIBLE 2025: Contextual differences in the student evaluation of teaching (SET) in Mexico: comparing education face to face and online classes between different faculties — https://doi.org/10.1504/ijmie.2025.10069564</w:t>
      </w:r>
    </w:p>
    <w:p>
      <w:r>
        <w:t>Shared claim-specific concepts: provide, set, different, between, education; EU scope not established. This is a provisional connection, not an outcome finding.</w:t>
      </w:r>
    </w:p>
    <w:p>
      <w:r>
        <w:t>Available abstract (not full text): The factors that influence SET have been extensively addressed, but not the differences that these factors may have either by different modalities (online and face-to-face) or by the faculty in which the class is taught (business, engineering or law). The present study develops logit models sectioned by year (2018 to 2022) and by faculty to analyse the students' teaching evaluations at a private university in western Mexico with a sample of 7967 observations. The results show significant differences in the face-to-face and online modalities, with some similarities and different results among the faculties in the study. The findings provide guidelines to establish institutional policies that support the management of higher education institutions in the framework of the new normality under the online and face-to-face education scheme.</w:t>
      </w:r>
    </w:p>
    <w:p>
      <w:r>
        <w:t>POSSIBLE 2023: Systematic analysis of PMV and SET* in an imagined normal environment — https://doi.org/10.1201/9781003410843-27</w:t>
      </w:r>
    </w:p>
    <w:p>
      <w:r>
        <w:t>Shared claim-specific concepts: set, different, between, increase; EU scope not established. This is a provisional connection, not an outcome finding.</w:t>
      </w:r>
    </w:p>
    <w:p>
      <w:r>
        <w:t>Available abstract (not full text): The Predicted Mean Vote (PMV) and Standard Effective Temperature (SET*) are widely used models in international standards to quantify thermal comfort. Nonetheless, literature is scarce on the quantification of the interrelationship between these two models, demanding a systematic study. Therefore, in this study, the interrelationship between PMV and SET* in an assumed normal environment is investigated. For this purpose, a large set of data samples was generated by considering various thermal variables at different levels within certain threshold limits and employed in the designated model formulation of PMV and SET*. The mathematical models were established to quantify the interrelationship between PMV and SET* for various clothing insulation (I cl ). In addition, frequency distributions of PMV and SET* based on established models were evaluated, which showed that the relevant relationship between the proposed models was substantially based on computation outputs rather than computation/heat variables. The parametric analyses showed that these models were significantly and synergistically influenced by different heat variables, and their selection may play an important role in defining thermal comfort using these two models. The results of both models were influenced by air velocity (V) at the lower operating temperature (T op ) and relative humidity (φ) at the higher Top in t</w:t>
      </w:r>
    </w:p>
    <w:p>
      <w:r>
        <w:t>POSSIBLE 2022: Transcriptome Profiling Based on Larvae at Different Time Points After Hatching Provides a Core Set of Gene Resource for Understanding the Metabolic Mechanisms of the Brood-Care Behavior in Octopus ocellatus — https://doi.org/10.3389/fphys.2021.762681</w:t>
      </w:r>
    </w:p>
    <w:p>
      <w:r>
        <w:t>Shared claim-specific concepts: provide, set, different, between; EU scope not established. This is a provisional connection, not an outcome finding.</w:t>
      </w:r>
    </w:p>
    <w:p>
      <w:r>
        <w:t>Available abstract (not full text): The metabolic processes of organisms are very complex. Each process is crucial and affects the growth, development, and reproduction of organisms. Metabolism-related mechanisms inOctopus ocellatusbehaviors have not been widely studied. Brood-care is a common behavior in most organisms, which can improve the survival rate and constitution of larvae.Octopus ocellatuscarried out this behavior, but it was rarely noticed by researchers before. In our study, 3,486 differentially expressed genes (DEGs) were identified based on transcriptome analysis ofO. ocellatus. We identify metabolism-related DEGs using GO and KEGG enrichment analyses. Then, we construct protein–protein interaction networks to search the functional relationships between metabolism-related DEGs. Finally, we identified 10 hub genes related to multiple gene functions or involved in multiple signal pathways and verified them using quantitative real-time polymerase chain reaction (qRT-PCR). Protein–protein interaction networks were first used to study the effects of brood-care behavior on metabolism in the process of growing ofO. ocellatuslarvae, and the results provide us valuable genetic resources for understanding the metabolic processes of invertebrate larvae. The data lay a foundation for further study the brood-care behavior and metabolic mechanisms of invertebrates.</w:t>
      </w:r>
    </w:p>
    <w:p>
      <w:r>
        <w:t>POSSIBLE 2022: Why is manufacturing not more sustainable? The effects of different sustainability practices on sustainability outcomes and competitive advantage — https://doi.org/10.1016/j.jclepro.2022.130392</w:t>
      </w:r>
    </w:p>
    <w:p>
      <w:r>
        <w:t>Shared claim-specific concepts: different, differential, between, over; EU scope not established. This is a provisional connection, not an outcome finding.</w:t>
      </w:r>
    </w:p>
    <w:p>
      <w:r>
        <w:t>Available abstract (not full text): Over the last decades, there has been growing worldwide concern for the notable contribution of manufacturing activities to environmental damages. In this context, there is an open debate regarding the incentives of companies to move from mere compliance strategies towards voluntary adoption of environmental responsibility strategies, simultaneously considering economic, environmental and social objectives. This paper aims to analyse the effect of different sets of sustainability practices on sustainability outcomes and the competitive advantage of manufacturing firms. The study distinguishes between internal, external monitoring and external collaborative sustainability practices and considers their effect on regulatory, environmental and manufacturing sustainability outcomes in order to identify their contribution to the competitive advantage of firms. Drawing on natural resource-based view theory, social exchange theory and transaction cost theory, and recent evidence in the field, the study tests several hypotheses using data from the fourth round of the High-Performance Management (HPM) project. Through structural equation modelling with partial least square methodology (PLS-SEM), this study shows the existence of differential effects of sustainability practices on sustainability outcomes and competitive advantage using a sample of 263 manufacturing plants located in 15 co</w:t>
      </w:r>
    </w:p>
    <w:p>
      <w:pPr>
        <w:pStyle w:val="Heading2"/>
      </w:pPr>
      <w:r>
        <w:t>EFFECTS OF HYDROGEN PRODUCTION ON ECONOMIC GROWTH IN THE EUROPEAN UNION</w:t>
      </w:r>
    </w:p>
    <w:p>
      <w:r>
        <w:t>Original source (2021): https://doi.org/10.47535/1991auoes30(2)003</w:t>
      </w:r>
    </w:p>
    <w:p>
      <w:r>
        <w:t>Original wording (abstract; indexed_source_text_not_full_document_verified): In this article the author presents some aspects of the hydrogen market, this fuel is essential to support the European Union’s commitment to achieving climate neutrality by 2050. Decarbonisation leads to a significant increase in the role of electricity, which can cover the demand of over 50% of final energy by 2050, compared to about 20% today.</w:t>
      </w:r>
    </w:p>
    <w:p>
      <w:r>
        <w:t>POSSIBLE 2026: Paleogeography of Europe, Central Asia, and Siberia in the Aalenian-Bathonian (Middle Jurassic) — https://doi.org/10.17223/25421379/39/6</w:t>
      </w:r>
    </w:p>
    <w:p>
      <w:r>
        <w:t>Shared claim-specific concepts: article, presents, climate, over; EU scope visible. This is a provisional connection, not an outcome finding.</w:t>
      </w:r>
    </w:p>
    <w:p>
      <w:r>
        <w:t>Available abstract (not full text): The article presents an overview of published lithological, sedimentological, geochemical, paleontological, paleogeographic, paleobiogeographic, and paleoclimatic data on the Middle Jurassic deposits (mainly terrestrial) of Europe, Central Asia, and Siberia. As a result of the analysis and integration of these materials, the paleogeographic sketch maps of the Northern Eurasia land for the Aalenian, Bajocian, and Bathonian were refined and detailed, which reflect the main changes in accumulative and denudational landscapes. Sketch maps of climatic zoning for this area have been compiled. In the Middle Jurassic Europe was in the climate belt of humid climate. Its southern part was represented by the large archipelago surrounded by shallow epicontinental seas. The northern part of the continent was lowland, which sedimentation was controlled by Central North Sea Dome. On the area of Central Asia the temperate and subtropical climatic zones came into contact. Siberia was characterized by landscapes, where accumulation prevailed over denudation. A series of marine transgressions and regressions occurred in the Aalenian-Bathonian. There was a high-latitude moderately warm climate with a cooling in the Late Bajocian. The resulting maps can be used in biogeographic research. Contribution of the authors: the authors contributed equally to this article. The authors declare no conflicts o</w:t>
      </w:r>
    </w:p>
    <w:p>
      <w:r>
        <w:t>POSSIBLE 2026: The influence of Gustav II Adolf's “Military Article” on the Russian “Military Article” of 1715 — https://doi.org/10.51885/3107-2755_ssadh_2026_2_14</w:t>
      </w:r>
    </w:p>
    <w:p>
      <w:r>
        <w:t>Shared claim-specific concepts: article, author, presents, role; EU scope visible. This is a provisional connection, not an outcome finding.</w:t>
      </w:r>
    </w:p>
    <w:p>
      <w:r>
        <w:t>Available abstract (not full text): The article presents a comparative analysis of two military-legal documents of the 17th-18th centuries: the Swedish Articles of War of 1621, issued by King Gustavus II Adolphus and supplemented by Charles XI in 1683, and the Russian Military Article of 1715, compiled under Peter I. The author examines the influence of the Swedish document on the structure and content of the Russian Article, identifying both borrowed elements and original additions reflecting the specific features of the Russian military and legal system. Special attention is paid to issues of discipline, military jurisdiction, the definition of crimes and punishments, and legal procedures. The comparison of selected articles shows how Peter I adapted Western European norms to Russian conditions while retaining key principles from the Swedish model. The author concludes that although the Russian Article was based on the Swedish one, it was revised in accordance with national traditions, administrative context, and centralization goals. The study emphasizes the role of military articles in shaping a new legal culture, supporting absolutist governance, reinforcing discipline, and legitimizing state violence. This article will be of interest to legal historians, scholars of military and state history in Russia and Sweden, and researchers of legal norm transfer in Early Modern Europe. It also contributes to comparat</w:t>
      </w:r>
    </w:p>
    <w:p>
      <w:r>
        <w:t>POSSIBLE 2025: Management of European Critical Infrastructures under the Conditions of Directive 2022/2557 of the European Parliament and of the Council of the European Union — https://doi.org/10.15804/athena.2025.88.08</w:t>
      </w:r>
    </w:p>
    <w:p>
      <w:r>
        <w:t>Shared claim-specific concepts: article, presents, essential, union, energy; EU scope visible. This is a provisional connection, not an outcome finding.</w:t>
      </w:r>
    </w:p>
    <w:p>
      <w:r>
        <w:t>Available abstract (not full text): The article presents the results of research on the importance of European critical infrastructure in the current conditions of the security environment of Poland and the European Union. New challenges in this area were indicated. The research was conducted after the first year of the European Parliament’s Directive on the Resilience of Critical Entities. The results indicate that the Polish society is very interested in the issues of critical infrastructure protection. Respondents appreciated the importance of all sectors in which essential services are provided, with services directly related to the provision of subsistence needs, such as water, food and energy, the highest. The respondents rated the need to maintain efficient rescue systems relatively high. In the opinion of the authors of the article, this opinion could have been influenced by the Russian-Ukrainian war and the aggressive policy of the Russian Federation towards the European Union.</w:t>
      </w:r>
    </w:p>
    <w:p>
      <w:r>
        <w:t>POSSIBLE 2025: Left-wing terrorism in Europe. Past and present. — https://doi.org/10.5604/01.3001.0055.6423</w:t>
      </w:r>
    </w:p>
    <w:p>
      <w:r>
        <w:t>Shared claim-specific concepts: article, author, presents; EU scope visible. This is a provisional connection, not an outcome finding.</w:t>
      </w:r>
    </w:p>
    <w:p>
      <w:r>
        <w:t>Available abstract (not full text): In the article, the author presents the genesis and development of one of the trends of terrorism, which in the literature has such terms as: left-wing, revolutionary, anarchist, Marxist terrorism and its development in Europe in the past and present. Additional attention is paid to the current activity of left-wing terrorists and the influence of this threat on the current security of Europe. In addition, the most important terrorist organizations of this trend that have operated in the past or are still active in Europe have been presented.</w:t>
      </w:r>
    </w:p>
    <w:p>
      <w:r>
        <w:t>POSSIBLE 2025: The European legal dimension of environmental safety — https://doi.org/10.24144/2307-3322.2025.91.5.15</w:t>
      </w:r>
    </w:p>
    <w:p>
      <w:r>
        <w:t>Shared claim-specific concepts: article, presents, aspects, support, union, climate; EU scope visible. This is a provisional connection, not an outcome finding.</w:t>
      </w:r>
    </w:p>
    <w:p>
      <w:r>
        <w:t>Available abstract (not full text): The article is dedicated to the analysis of contemporary international and European legislation in the field of environmental safety and protection. Given that Ukraine’s current European and Euro-Atlantic integration is determined by the process of Ukraine’s rapprochement with the European Union, the authors first consider issues of legal support for environmental safety at the level of approaches and principles for the formation of national and local policies, European standards and legal dimensions in the environmental sphere. The purpose of the article is to review European legislation on environmental safety, its impact on national environmental policies in the European Union, as well as the scientific views of Ukrainian and European scholars on the processes of approximating national legislation to European legislation in the field of ecology, with the aim of deepening understanding of current and recent changes to Ukrainian national legislation, legal guidelines and dimensions that represent European legal discourse as a whole. The authors draw attention to current international and European environmental legislation, the development of environmental safety standards, the introduction of economic mechanisms and liability for violations, as well as the consideration of environmental aspects in the future foreign policy of EU member states. The authors attempted to study ge</w:t>
      </w:r>
    </w:p>
    <w:p>
      <w:r>
        <w:t>POSSIBLE 2024: European historical consciousness and the “culture of memory” as a reflection of “Pan-European” values — https://doi.org/10.31857/s1026945224090176</w:t>
      </w:r>
    </w:p>
    <w:p>
      <w:r>
        <w:t>Shared claim-specific concepts: article, author, presents; EU scope visible. This is a provisional connection, not an outcome finding.</w:t>
      </w:r>
    </w:p>
    <w:p>
      <w:r>
        <w:t>Available abstract (not full text): The article presents an analysis of the Resolution of the European Parliament “On European Historical Consciousness” (2024). Increased attention is paid to the so-called “common European” values, which in this international document are positioned as the basis for interpreting the past of Europe, as well as key guidelines for the formation of a European “culture of memory” and “critical” historical consciousness. The author comes to the conclusion that the attempts of the European Parliament (through strengthening self-reflexive public discourse) to promote mutual understanding and reconciliation within and between individual social groups, nations and states are doomed to failure in advance, since the proposed algorithm has a pronounced artificial character.</w:t>
      </w:r>
    </w:p>
    <w:p>
      <w:r>
        <w:t>POSSIBLE 2024: Institutional efficiency in the context of Ukraine’s prospects of European integration. Article 1. Institutional effectiveness in the EU countries — https://doi.org/10.15407/etet2024.01.028</w:t>
      </w:r>
    </w:p>
    <w:p>
      <w:r>
        <w:t>Shared claim-specific concepts: article, author, presents, increase, over; EU scope visible. This is a provisional connection, not an outcome finding.</w:t>
      </w:r>
    </w:p>
    <w:p>
      <w:r>
        <w:t>Available abstract (not full text): The article presents the results of a study of institutional efficiency in EU countries based on the Worldwide Governance Indicators (WGI) methodology implemented by the World Bank. The segmentation of the European institutional space is shown, and it is proved that the differentiation of the institutional efficiency of the European countries is the result of the historical features of the institutional architecture of the EU, which implies socio-institutional eclecticism that ensures the inclusiveness of the institutional environment. The peculiarities of the institutional development of the leading countries are characterized and it is shown that they maintain their status over long periods of time, external dependence on global fluctuations and growing uncertainty. It is revealed that as the pan-European space expands, the indicators of the institutional efficiency of countries tend to decrease, on which basis assumptions are made about the limits of the positive expansion of the pan-European economic and socio-institutional space. The author founds that most EU countries reached the maximum of institutional efficiency in the late 1990s and early 2000s, while for many countries it was 2004-2005, the years of the penultimate pre-crisis stage of integration, with maximum expectations and maximum synergy. It has been proven that integration into the EU is not necessarily a fact</w:t>
      </w:r>
    </w:p>
    <w:p>
      <w:r>
        <w:t>POSSIBLE 2024: The role of African countries in the diversification of European supply chains from the perspective of the European Union — https://doi.org/10.31338/1641-2478pe.4.24.7</w:t>
      </w:r>
    </w:p>
    <w:p>
      <w:r>
        <w:t>Shared claim-specific concepts: article, author, presents, union, role; EU scope visible. This is a provisional connection, not an outcome finding.</w:t>
      </w:r>
    </w:p>
    <w:p>
      <w:r>
        <w:t>Available abstract (not full text): This article presents the analysis of the role of African economies in diversifying European supply chains amid growing trade tensions between the EU, USA, and China. The author identifies key strengths, such as access to raw materials and low labour costs, while addressing challenges like weak infrastructure and political instability. Using a mixed-methods approach, including statistical analysis and content evaluation of EU policy documents, this research highlights the EU’s strategy to reduce reliance on China by increasing co-operation with African countries. The findings suggest that while Africa has potential, its integration into European supply chains remains limited due to structural constraints.</w:t>
      </w:r>
    </w:p>
    <w:p>
      <w:r>
        <w:t>POSSIBLE 2024: THE LEVERAGING OF DIGITAL DIPLOMACY TO FURTHER THE EUROPEAN UNION'S DIPLOMATIC AGENDA — https://openalex.org/W7215527868</w:t>
      </w:r>
    </w:p>
    <w:p>
      <w:r>
        <w:t>Shared claim-specific concepts: article, presents, support, union, role; EU scope visible. This is a provisional connection, not an outcome finding.</w:t>
      </w:r>
    </w:p>
    <w:p>
      <w:r>
        <w:t>Available abstract (not full text): This article examines the role of digital diplomacy in advancing the diplomatic goals of the European Union. The authors analyze the impact of digital technologies on diplomatic processes and discuss the benefits, challenges, and opportunities that digital diplomacy presents for the European Union. The article considers examples of the use of digital tools and platforms, such as social media, email, and websites, to support communication, advocacy, and the management of the European Union's image. It also highlights the privacy, security, and ethical challenges associated with digital diplomacy. In conclusion, the authors emphasize the importance of integrating digital tools and strategies into the diplomatic work of the European Union to effectively achieve its diplomatic objectives in the modern digital world.</w:t>
      </w:r>
    </w:p>
    <w:p>
      <w:r>
        <w:t>POSSIBLE 2024: Between Europe and Asia: Establishment of the Russian Legal System — https://doi.org/10.18572/1812-3805-2024-7-19-23</w:t>
      </w:r>
    </w:p>
    <w:p>
      <w:r>
        <w:t>Shared claim-specific concepts: article, author, presents; EU scope visible. This is a provisional connection, not an outcome finding.</w:t>
      </w:r>
    </w:p>
    <w:p>
      <w:r>
        <w:t>Available abstract (not full text): The article presents results of studies of the historical choice factor in the process of establishment of the Russian legal system from the standpoint of influence of European and Asian legal traditions on evolution of Russian law. The author brings forward some methodological approaches to solution of research tasks solved in this sphere of historical jurisprudence.</w:t>
      </w:r>
    </w:p>
    <w:p>
      <w:r>
        <w:t>POSSIBLE 2023: Evolution of the European Union’s policy for development of rural communities in the context of the European Green Deal strategy implementation — https://doi.org/10.31338/1641-2478pe.3.23.3</w:t>
      </w:r>
    </w:p>
    <w:p>
      <w:r>
        <w:t>Shared claim-specific concepts: article, author, presents, support, union; EU scope visible. This is a provisional connection, not an outcome finding.</w:t>
      </w:r>
    </w:p>
    <w:p>
      <w:r>
        <w:t>Available abstract (not full text): This article refers to development support instruments for rural communities in the European Union (EU). The author presents the systemic and strategic determinants of creation and delivery of the EU rural community policy, as well as the origins and evolution of the Union policy in the abovementioned scope. The analysis is focused on the specific institutional and financial solutions which promote sustainable development of rural communities. The article demonstrates that multi-level and multi-agent nature of the development management system in the EU affects the implementation of a neo-endogenous policy towards rural communities in the EU. The text also presents developments in the implementation of EU policy for rural communities after 2021 in the context of the implementation of the European Green Deal (EGD) strategy.</w:t>
      </w:r>
    </w:p>
    <w:p>
      <w:r>
        <w:t>POSSIBLE 2023: Causes of the Russian-Ukrainian Conflict and its Impact on Security in Europe — https://doi.org/10.2478/kbo-2023-0004</w:t>
      </w:r>
    </w:p>
    <w:p>
      <w:r>
        <w:t>Shared claim-specific concepts: article, author, presents, union; EU scope visible. This is a provisional connection, not an outcome finding.</w:t>
      </w:r>
    </w:p>
    <w:p>
      <w:r>
        <w:t>Available abstract (not full text):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pPr>
        <w:pStyle w:val="Heading2"/>
      </w:pPr>
      <w:r>
        <w:t>EUROPEAN UNION STRATEGIC AUTONOMY IN THE CONTEXT OF THE CONFERENCE ON THE FUTURE OF EUROPE</w:t>
      </w:r>
    </w:p>
    <w:p>
      <w:r>
        <w:t>Original source (2021): https://doi.org/10.61801/auoc-sp.2021.04</w:t>
      </w:r>
    </w:p>
    <w:p>
      <w:r>
        <w:t>Original wording (abstract; indexed_source_text_not_full_document_verified): The main goal of this paper is to discuss the need for EU to achieve strategic autonomy in the upcoming years and shed light on how this concept is shaping EU's future.The question underpinning this research is focused on the reasons why strengthening EU's strategic autonomy matters so much in shaping said future.Strategic autonomy cannot be limited only to security and defense, as many more fields need to embed this concept in 2021.In this sense, the paper does not address directly the complementarity with NATO and the defense and security dimension of strategic autonomy, but rather focuses on the political and economic implications of EU's strategic autonomy.Also, as more global actors begin to review their dependencies and try to identify alternatives, especially after the Covid-19 crisis, a more in-depth and a multi-pronged approach is required in relation to the geopolitical interests of external actors and their impact on creating a stronger European strategic autonomy.The paper also addresses the idea that the strategic autonomy is rather a question of survival of the European project, otherwise EU is running the risk of becoming irrelevant in the event that its "weight" and economic power in the world would diminish to worrying levels.Thirty years ago, EU represented 25% of the global wealth.It is foreseen that in 20 years, EU will not represent more than 11% of the world's GNP, far behind China and the US.Ultimately, the paper focuses on the compelling role the EU needs to take as a global leading leader in order to protect and promote its values and interests worldwide and to address the current geopolitical challenges.There is no better starting point for this than to engage in an extensive and inclusive dialogue with the citizens about the way ahead, and the Conference on the Future of the EU seems to be the appropriate platform.The topics of the Conference included amongst other, climate change, jobs and economy, EU's role in the world, or digitalization issues.In other words, every priority that needs to adapted to the logic of strategic autonomy and help EU build a stronger profile in the global landscape.</w:t>
      </w:r>
    </w:p>
    <w:p>
      <w:r>
        <w:t>POSSIBLE 2025: Legal, Ethical, and Social Issues of AI and Law Enforcement in Europe — https://doi.org/10.1017/9781009367783.022</w:t>
      </w:r>
    </w:p>
    <w:p>
      <w:r>
        <w:t>Shared claim-specific concepts: main, goal, discuss; EU scope visible. This is a provisional connection, not an outcome finding.</w:t>
      </w:r>
    </w:p>
    <w:p>
      <w:r>
        <w:t>Available abstract (not full text): The main goal of this chapter is to introduce one type of AI used for law enforcement, namely predictive policing, and to discuss the main legal, ethical, and social concerns this raises. In the last two decades, police forces in Europe and in North America have increasingly invested in predictive policing applications. Two types of predictive policing will be discussed: predictive mapping and predictive identification. After discussing these two practices and what is known about their effectiveness, I discuss the legal, ethical, and social issues they raise, covering aspects relating to their efficacy, governance, and organizational use, as well as the impact they have on citizens and society.</w:t>
      </w:r>
    </w:p>
    <w:p>
      <w:r>
        <w:t>POSSIBLE 2024: Value-related educational goals of primary school teachers: a comparative study in two European countries — https://doi.org/10.3389/fpsyg.2024.1458393</w:t>
      </w:r>
    </w:p>
    <w:p>
      <w:r>
        <w:t>Shared claim-specific concepts: main, discuss, light; EU scope visible. This is a provisional connection, not an outcome finding.</w:t>
      </w:r>
    </w:p>
    <w:p>
      <w:r>
        <w:t>Available abstract (not full text): Schools serve as social institutions that convey values in the context of socialization and enculturation. Teachers are pivotal in this transmission process via their value-related educational goals (VrEGs), which outline how they would like to see their pupils in terms of values. What factors influence these VrEGs? We suggest that those vary on an individual level, but also correspond to the prevailing value orientations of the society. In our study we followed two main goals to test this thesis. Firstly, we examine the differences in VrEGs between teachers of two European countries: Switzerland (CH) and United Kingdom (UK). Secondly, we investigated the similarity of the teachers’ VrEGs with prevailing national value orientations from the specific countries. One hundred and fifty primary school teachers (108 CH, 42 UK) were asked about their VrEGs using an adapted version of Schwartz’s Portrait Values Questionnaire (PVQ-21). Data from the Human Value Scale (HVS) of the European Social Survey (ESS) was used for country-specific value orientations. Analyses of the value structures and the differences in value priorities showed that for the individuals from the two countries as well as for the teachers’ VrEGs from the two countries, significant differences exist in several value types. Teachers’ VrEGs in each country showed a high correlation with the corresponding national valu</w:t>
      </w:r>
    </w:p>
    <w:p>
      <w:r>
        <w:t>POSSIBLE 2024: The European Union Development Policy and Achieving Sustainable Development Goals (SDGs) of the United Nations — https://doi.org/10.4018/979-8-3693-1742-6.ch020</w:t>
      </w:r>
    </w:p>
    <w:p>
      <w:r>
        <w:t>Shared claim-specific concepts: main, discuss, achieve; EU scope visible. This is a provisional connection, not an outcome finding.</w:t>
      </w:r>
    </w:p>
    <w:p>
      <w:r>
        <w:t xml:space="preserve">Available abstract (not full text): The purpose of this study is to describe the European Union's (EU) developing approach and governance in the implementation of the sustainable development agenda of the United Nations (UN). UN's sustainable development goals are more vibrant to maintain peace and stability in the world. The EU's Global Gateway and Asia-Europe connectivity programme are supporting other nations to work on the SDGs. As a regional organisation, the EU shows enormous intention to eliminate poverty, malnutrition and famine, establish peace, respect for human rights and minority rights, and maintain global warming, biodiversity and the climate. Moreover, the EU also formed bilateral and multilateral level cooperation across the world for the establishment of democratic rule, peace, and prosperity. The EU's policy formulation keeps working on economic, social, and environmental development issues at the global level and supporting the UN mission across the world in different sectors. This research is based on qualitative analysis using primary and secondary literature. In addition, this study also uses the empirical method to discuss the main research gaps and answer major questions related to the SDGs. As a result, the EU has started significant work to achieve the objectives of the SDGs of the UN. The EU has also launched various development programs for the implementation of the SDGs in its member </w:t>
      </w:r>
    </w:p>
    <w:p>
      <w:r>
        <w:t>POSSIBLE 2022: The Regional Development Trap in Europe — https://doi.org/10.1080/00130095.2022.2080655</w:t>
      </w:r>
    </w:p>
    <w:p>
      <w:r>
        <w:t>Shared claim-specific concepts: shed, light, concept; EU scope visible. This is a provisional connection, not an outcome finding.</w:t>
      </w:r>
    </w:p>
    <w:p>
      <w:r>
        <w:t>Available abstract (not full text):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r>
        <w:t>POSSIBLE 2022: After the four-year transition period: Is the European Union's Medical Device Regulation of 2017 likely to achieve its main goals? — https://doi.org/10.1016/j.healthpol.2022.09.012</w:t>
      </w:r>
    </w:p>
    <w:p>
      <w:r>
        <w:t>Shared claim-specific concepts: main, achieve, reasons, why; EU scope visible. This is a provisional connection, not an outcome finding.</w:t>
      </w:r>
    </w:p>
    <w:p>
      <w:r>
        <w:t>Available abstract (not full text): Following a series of major scandals over the past two decades, the medical device industry is now undergoing a major regulatory change: the implementation of the European Union Medical Device Regulation (MDR) of 2017. After a transitional period of four years, the MDR became fully binding in May 2021. Although the medium- and long-term impacts of the MDR are still unclear, a range of scholars, health care professionals, and industry representatives have begun to publish early evidence and publicize their views on how the new regulation may impact free trade and patient safety. Even a cursory view of their output reveals hypotheses and opinions that could hardly be more divergent. The reasons for this disagreement are unclear and may extend beyond the different interests of the various stakeholder groups. To find out why this might be the case, we examine the MDR and seek to improve scholarly understanding of this most extensive regulation of medical devices since the early 1990s. We offer policymakers suggestions to help them improve future regulation. Based on theoretical considerations, we conclude that while the MDR is highly likely to strengthen the internal market of the EU, its impact on patient safety will remain unclear as long as there are no comprehensive studies on this topic that are based on empirical data.</w:t>
      </w:r>
    </w:p>
    <w:p>
      <w:pPr>
        <w:pStyle w:val="Heading2"/>
      </w:pPr>
      <w:r>
        <w:t>Electricity Spot Market Design 2030-2050</w:t>
      </w:r>
    </w:p>
    <w:p>
      <w:r>
        <w:t>Original source (2021): https://doi.org/10.24406/fit-n-621457</w:t>
      </w:r>
    </w:p>
    <w:p>
      <w:r>
        <w:t>Original wording (abstract; indexed_source_text_not_full_document_verified): The German government plans that even before the year 2050, all electricity generated and consumed in Germany should be greenhouse gas neutral [1].</w:t>
      </w:r>
    </w:p>
    <w:p>
      <w:r>
        <w:t>POSSIBLE 2025: Urban Nature Plans: Strategic Tool for Integrated Biodiversity and Climate Planning in German Cities — https://doi.org/10.2148/benv.51.4.569</w:t>
      </w:r>
    </w:p>
    <w:p>
      <w:r>
        <w:t>Shared claim-specific concepts: german, government, plans, germany; EU scope visible. This is a provisional connection, not an outcome finding.</w:t>
      </w:r>
    </w:p>
    <w:p>
      <w:r>
        <w:t>Available abstract (not full text): As cities grapple with climate risks and biodiversity decline, international policy frameworks increasingly position urban nature as a critical ally in building resilient and sustainable urban areas. The European Union's Biodiversity Strategy 2030, for example, calls on European cities to develop and implement ambitious 'Urban Nature Plans' (formerly 'Urban Greening Plans'). In this paper, we introduce Urban Nature Plans as a strategic planning tool and discuss potential pathways to their implementation, using Germany as an example. With more than 650 cities of diff erent sizes and with diff erent administrative capacities – many of which already have planning instruments sharing features with Urban Nature Plans – Germany provides a useful case to discuss the implications of introducing this new strategic approach. To contribute to the international discourse on Urban Nature Plans and wider discussions around integrated biodiversity and climate planning, we summarize findings from a German research and development project. The project included, among other aspects, a dialogue process with government organizations, professional associations, non-governmental environmental organizations, municipal representatives and other actors. During this process, it became evident that Urban Nature Plans should be understood as ambitious, integrated, and flexible strategies which are adaptab</w:t>
      </w:r>
    </w:p>
    <w:p>
      <w:r>
        <w:t>POSSIBLE 2025: The Impact of the Russian-Ukrainian War on Europe and the German Leadership — https://doi.org/10.35757/stp.2025.53.3.02</w:t>
      </w:r>
    </w:p>
    <w:p>
      <w:r>
        <w:t>Shared claim-specific concepts: german, government, germany; EU scope visible. This is a provisional connection, not an outcome finding.</w:t>
      </w:r>
    </w:p>
    <w:p>
      <w:r>
        <w:t>Available abstract (not full text): The research methods used in this article are systems analysis supported by text analysis. The aim is to look at Germany as part of a larger Euro--Atlantic system (including the European Union and the North Atlantic Treaty Organization), in which leadership is one of the resources. The article draws attention to the process that affects the ‘flows/processes’ within this resource, i.e. the Russian–Ukrainian conflict. The research hypothesis is the statement about the impact of the conflict in Ukraine as a ‘flow’ on the coherence of the closed Euro-Atlantic system and its leadership ‘resource’, the effect of which is a ‘feedback’ affecting the size and nature of the resource (change in the nature of German leadership in Europe, e.g. the transition from political-economic leadership to political-economic-military leadership). When using these methods, I will refer to available data, analyses, and forecasts, including: NATO Review, the Department of Defense of the United States, the European Commission, Auswärtiges Amt, the Carnegie Endowment for International Peace, the Carnegie Europe, Stratfor, the European Network Remembrance and Solidarity. The analysis of the mentioned data will be supported by the analysis of scientific and media discourse in Germany, Europe, and the USA. The Russia–Ukraine war is seen as the end of the old international order and the beginning of a new Cold</w:t>
      </w:r>
    </w:p>
    <w:p>
      <w:r>
        <w:t>POSSIBLE 2024: Important Drivers of European Monetary Integration ——The Game Between the German Central Government and the Bundesbank as an Example — https://doi.org/10.54254/2754-1169/68/20241337</w:t>
      </w:r>
    </w:p>
    <w:p>
      <w:r>
        <w:t>Shared claim-specific concepts: german, government, germany; EU scope visible. This is a provisional connection, not an outcome finding.</w:t>
      </w:r>
    </w:p>
    <w:p>
      <w:r>
        <w:t>Available abstract (not full text): An independent central bank constitutes a veto actor in the political process itself and has the potential to limit the autonomy of the State (Government). In cases where the preferences of the state and the central bank diverge, the resulting authoritative actions will be influenced by the political structure of the respective country. Where changes in the domestic political system are difficult to achieve, the state can change the existing equilibrium between the central bank and the government by engaging in international regimes and international negotiations and evolving this equilibrium in the direction of greater state autonomy. This paper adopts a case study approach to propose a domestic political logic for international monetary policy choices by analyzing the relationship between international monetary co-operation, central bank independence and national autonomy, and uses the political game between the central central bank and the central government within Germany and the outcome to verify this view, thus providing a political science explanation for the relationship between German monetary politics and European monetary integration. The European Central Bank after the formation of the Union inherited the independence of the German central bank, and while assuming its responsibility for monetary stabilization and economic development, it gradually transcended the sc</w:t>
      </w:r>
    </w:p>
    <w:p>
      <w:r>
        <w:t>POSSIBLE 2023: German Plans for Central Europe — https://doi.org/10.54171/2023.mg.gtocei_12</w:t>
      </w:r>
    </w:p>
    <w:p>
      <w:r>
        <w:t>Shared claim-specific concepts: german, plans, germany; EU scope visible. This is a provisional connection, not an outcome finding.</w:t>
      </w:r>
    </w:p>
    <w:p>
      <w:r>
        <w:t>Available abstract (not full text): German plans for Central Europe had already appeared in the 19th century. At the heart of the Mitteleuropa idea was the creation of an economic area under German leadership. In the literature, List is considered the father of the Mitteleuropa idea, the first systematic developer of the integration of Central and Eastern Europe under German leadership. His work ʻDas nationale System der politischen Ökonomie’ [The National System of Political Economy], in which he scientifically summarised and systematised his previous writings, was published in May 1841. In this work, List expressed his views in defense of political unity and national economy and against the teaching of Adam Smith’s school. List first advocated the realisation of a continental alliance against the English hegemony, and then, when the USA advanced, he believed that the English should also join the alliance. He wanted to promote the development of the economic region, by developing the railway and waterway network. Another famous German developer of the Mitteleuropa concepts is Friedrich Naumann. Within his work, the books and articles dealing with Mitteleuropa form a closed whole. These writings of his are closely related. Their time of origin also shows unity. Naumann elaborated his plan for Central Europe in his main work ‘Mitteleuropa’ published in November 1915. Central Europe was not to be a new state, but a</w:t>
      </w:r>
    </w:p>
    <w:p>
      <w:r>
        <w:t>POSSIBLE 2023: Germanys Rearmament Plan: A Problem of Bureaucracy — https://doi.org/10.54254/2753-7064/4/20220630</w:t>
      </w:r>
    </w:p>
    <w:p>
      <w:r>
        <w:t>Shared claim-specific concepts: german, government, germany; EU scope visible. This is a provisional connection, not an outcome finding.</w:t>
      </w:r>
    </w:p>
    <w:p>
      <w:r>
        <w:t>Available abstract (not full text): The conflict in Ukraine that started on February 24th, 2022, had a transformative effect on the status of European security policy, with the most prominent outcome being Germanys break with its pacifist tradition and its policy of disarmament. The German governments plan to rebuild the Bundeswehr by raising its defense spending to 2% of its GDP, alongside the injection of a 100-billion-euro fund into its armed forces, was seen by many as the first step for Germany to a leading role in the new European Security Policy. However, increased funding is unlikely to be the deciding factor in whether Germany can successfully rearm, as the Bundeswehr is well funded in comparison to other standing armies of European states in similar economic circumstances. The main obstacle standing in the way of a successful German rearmament is Germanys bureaucracy. The Federal Office of Bundeswehr Equipment, Information Technology, and In-Service Support," or the BAAINBw, responsible for procurement of materials for the Bundeswehr, is fully anarchistic and understaffed. Germanys path to a reformed military thus hinges on whether the German government can successfully reform the BAAINBw into a more efficient federal agency.</w:t>
      </w:r>
    </w:p>
    <w:p>
      <w:r>
        <w:t>POSSIBLE 2023: Representative government in south Germany and the myth of the Sonderweg — https://doi.org/10.31235/osf.io/tcwzs</w:t>
      </w:r>
    </w:p>
    <w:p>
      <w:r>
        <w:t>Shared claim-specific concepts: german, government, germany; EU scope visible. This is a provisional connection, not an outcome finding.</w:t>
      </w:r>
    </w:p>
    <w:p>
      <w:r>
        <w:t>Available abstract (not full text): Bavaria and Württemberg were two German states in which estates-based representative government survived the early modern period, which has traditionally been considered the period when representative institutions were supposedly in decline. I will show that these two states were among those European states which preserved their representative institutions and avoided becoming “absolutist.” Germany shared a heritage of medieval constitutionalism with the other countries of Western Europe. In the early modern period, the estates of Brandenburg and East Prussia, both ruled by the Hohenzollerns, were among the strongest in Europe. I will put the developments in the south German states into a wider German and European perspective. I believe that the path of constitutional development taken by the south German states, and the other states including Prussia, showed that Germany in its entirety did in fact follow a path not that much different from the other European states, in contradiction to the theory that Germany developed differently from them, in a more absolutist and authoritarian direction.</w:t>
      </w:r>
    </w:p>
    <w:p>
      <w:r>
        <w:t>POSSIBLE 2022: National Recovery and Resilience Plan: Germany — https://doi.org/10.6092/issn.1561-8048/15651</w:t>
      </w:r>
    </w:p>
    <w:p>
      <w:r>
        <w:t>Shared claim-specific concepts: german, government, electricity, germany; EU scope visible. This is a provisional connection, not an outcome finding.</w:t>
      </w:r>
    </w:p>
    <w:p>
      <w:r>
        <w:t>Available abstract (not full text): By helping to give birth to the establishment of NextGenerationEU and the Recovery and Resilience Facility, the German government made a U-turn in relation to the Covid-19 pandemic compared with its earlier austerity approach in the management of the Euro crisis. Opposition to the new European debt and transfer instruments has been silent and political leaders have integrated the additional grants into their planning processes concerning changing the country’s energy supply and expanding digitalisation. While the Recovery and Resilience Plan was assessed positively, some preconditions for implementing it still seem to be missing, such as better electricity and high-capacity broadband networks. The process of transforming the German economy structurally to be greener and more digitalised has, however, neglected the social implications. While a minor proportion of the RRP will be spent on strengthening social resilience, many vulnerable groups are not in the focus of the state’s activities. The EU’s conclusions in the 2019 Country Specific Recommendations are treated rather in economic than in social terms. A sustainable new growth model would need to tackle also long-standing problems such as the high external surplus, the low public investment rate, income inequality and the relatively high at-risk-of-poverty rate.</w:t>
      </w:r>
    </w:p>
    <w:p>
      <w:r>
        <w:t>POSSIBLE 2022: The politics of government reorganization in Western Europe — https://doi.org/10.1111/gove.12670</w:t>
      </w:r>
    </w:p>
    <w:p>
      <w:r>
        <w:t>Shared claim-specific concepts: government, all, germany; EU scope visible. This is a provisional connection, not an outcome finding.</w:t>
      </w:r>
    </w:p>
    <w:p>
      <w:r>
        <w:t>Available abstract (not full text): Abstract The reorganization of governments is crucial for parties to express their policy preferences once they reach office. Yet these activities are not confined to the direct aftermath of general elections or to wide‐ranging structural reforms. Instead, governments reorganize and adjust their machinery of government all the time. This paper aims to assess these structural choices with a particular focus at the core of the state, comparing four Western European democracies (Germany, France, the Netherlands, and United Kingdom) from 1980 to 2013. Our empirical analysis shows that stronger shifts in cabinets' ideological profiles in the short‐ and long‐term as well as the units' proximity to political executives yield significant effects. In contrast, Conservative governments, commonly regarded as key promoters of reorganizing governments, are not significant for the likelihood of structural change. We discuss the effects of this politics of government reorganization for different research debates assessing the inner workings of governments.</w:t>
      </w:r>
    </w:p>
    <w:p>
      <w:pPr>
        <w:pStyle w:val="Heading2"/>
      </w:pPr>
      <w:r>
        <w:t>Energy Efficiency Vision 2050: How will new societal trends influence future energy demand in the European countries?</w:t>
      </w:r>
    </w:p>
    <w:p>
      <w:r>
        <w:t>Original source (2021): https://doi.org/10.1016/j.enpol.2021.112216</w:t>
      </w:r>
    </w:p>
    <w:p>
      <w:r>
        <w:t>Original wording (abstract; indexed_source_text_not_full_document_verified): While in the “Worst Case” scenario, they could increase final energy demand by 40%. Based on these, four energy demand scenarios were developed for 2050.</w:t>
      </w:r>
    </w:p>
    <w:p>
      <w:r>
        <w:t>POSSIBLE 2025: The (worst) laws of the land: the concept of legislative basket cases, legislative backsliding and public administration in Central-Eastern Europe — https://doi.org/10.1080/01442872.2025.2501741</w:t>
      </w:r>
    </w:p>
    <w:p>
      <w:r>
        <w:t>Shared claim-specific concepts: worst, they, four; EU scope visible. This is a provisional connection, not an outcome finding.</w:t>
      </w:r>
    </w:p>
    <w:p>
      <w:r>
        <w:t>Available abstract (not full text): This article introduces the concept of legislative basket cases—adopted laws that fail to meet the normative standards of a wide range of established conceptual legislative quality criteria. They exhibit significant deficiencies across all or most of four dimensions: public policy, legal-constitutional, procedural, and stability. Through a multidimensional framework assessing these dimensions, we analyze emblematic cases from Czechia, Hungary, and Poland during periods of illiberal governance. The Czech taxation of church restitutions, the Hungarian Medical Chamber Law, and the Polish Law on Forests demonstrate how such laws bypass procedural safeguards, violate constitutional principles, and undermine democratic norms. We argue that normatively “bad” laws fail across the full policy-making cycle, from inadequate public administration preparation and improperly specified objectives through conflicts with legal-constitutional frameworks and democratic principles, including public consultation. Our comparative analysis reveals a pattern where quality standards across multiple dimensions are systematically eroded, contributing to broader democratic backsliding. While similar deficiencies occur in established liberal democracies, as illustrated by cases from Spain and Austria, they typically manifest differently. This framework offers a valuable tool for identifying extreme cases o</w:t>
      </w:r>
    </w:p>
    <w:p>
      <w:r>
        <w:t>POSSIBLE 2023: Future sea level rise dominates changes in worst case extreme sea levels along the global coastline by 2100 — https://doi.org/10.1088/1748-9326/acb504</w:t>
      </w:r>
    </w:p>
    <w:p>
      <w:r>
        <w:t>Shared claim-specific concepts: worst, case, increase; EU scope visible. This is a provisional connection, not an outcome finding.</w:t>
      </w:r>
    </w:p>
    <w:p>
      <w:r>
        <w:t>Available abstract (not full text): Abstract We provide the magnitude of a worst case scenario for extreme sea levels (ESLs) along the global coastline by 2100. This worst case scenario for ESLs is calculated as a combination of sea surface height associated with storm surge and wave (100 year return period, the 95th percentile), high tide (the 95th percentile) and a low probability sea level rise scenario (the 95th percentile). Under these conditions, end-of-21st century ESLs have a 5% chance of exceeding 4.2 m (global coastal average), compared to 2.6 m during the baseline period (1980–2014). By 2100 almost 45% of the global coastline would experience ESLs above the global mean of 4.2 m, with up to 9–10 m for the East China Sea, Japan and North European coastal areas. Up to 86% of coastal locations would face ESLs above 3 m (100 year return period) by 2100, compared to 33% currently. Up to 90% of increases in magnitude of ESLs are driven by future sea level rise, compare to 10% associated with changes in storm surges and waves. By 2030–2040 the present-day 100 year return period for ESLs would be experienced at least once a year in tropical areas. This 100-fold increase in frequency will take place on all global coastlines by 2100.</w:t>
      </w:r>
    </w:p>
    <w:p>
      <w:r>
        <w:t>POSSIBLE 2022: Worst Cases and Reality — https://doi.org/10.1353/apr.2022.0008</w:t>
      </w:r>
    </w:p>
    <w:p>
      <w:r>
        <w:t>Shared claim-specific concepts: worst, case, increase, based, four; EU scope visible. This is a provisional connection, not an outcome finding.</w:t>
      </w:r>
    </w:p>
    <w:p>
      <w:r>
        <w:t>Available abstract (not full text): Worst Cases and Reality Walter C. Clemens Jr. (bio) Samuel F. Wells. Fearing the Worst: How Korea Transformed the Cold War. New York: Columbia University Press, 2020. Charles J. Hanley. Ghost Flames: Life and Death in a Hidden War, Korea 1950–1953. New York: PublicAffairs, 2020. Based mainly on official documents and scholarly writings, fearing the Worst reviews the Korean War mainly from the perspective of governments. Ghost Flames views the war as experienced by twenty individuals. It is based on interviews and private papers as well as archival documents and reports by the South Korean Truth and Reconciliation Commission. Taken together, these two books provide a top-down and bottom-up picture of terrible events that still haunt and ricochet in world affairs. Actions derive from perceptions and hopes that produce beliefs or, at least, working assumptions. Sometimes reality intrudes to challenge or reinforce those assumptions. All the major powers from the late 1940s to the early 1950s were like blind people bumping into one another in a forest. The Truman administration believed that Stalin and Mao Zedong were close partners determined to spread communism. Not until war began did Washington see North Korea as a threat to peace and stability. American leaders in 1949 and 1950 said that the US defense perimeter excluded Taiwan and the Republic of Korea (ROK). The United States</w:t>
      </w:r>
    </w:p>
    <w:p>
      <w:pPr>
        <w:pStyle w:val="Heading2"/>
      </w:pPr>
      <w:r>
        <w:t>Energy Portfolio of the Eastern Poland Macroregion in the European Union</w:t>
      </w:r>
    </w:p>
    <w:p>
      <w:r>
        <w:t>Original source (2021): https://doi.org/10.3390/en14248426</w:t>
      </w:r>
    </w:p>
    <w:p>
      <w:r>
        <w:t>Original wording (abstract; indexed_source_text_not_full_document_verified): It is predicted that by 2030, the following sources will change their positions within the portfolio for the Eastern Poland macroregion: solar energy, wind energy and bioenergy. The aim of this article is to identify the conditions and reasons for the transformation of the energy portfolio of the Eastern Poland macroregion, and to define the directions of the energy portfolio evolution caused by the need to implement the goals of the European Green Deal by 2030, in order to consequently develop the forecast energy portfolio for the Eastern Poland macroregion.</w:t>
      </w:r>
    </w:p>
    <w:p>
      <w:r>
        <w:t>POSSIBLE 2024: Predicting atrial fibrillation risk following embolic stroke of unknown source using cardiac magnetic resonance imaging — https://doi.org/10.1093/europace/euae102.252</w:t>
      </w:r>
    </w:p>
    <w:p>
      <w:r>
        <w:t>Shared claim-specific concepts: following, within, identify, need; EU scope visible. This is a provisional connection, not an outcome finding.</w:t>
      </w:r>
    </w:p>
    <w:p>
      <w:r>
        <w:t>Available abstract (not full text): Abstract Background Approximately 25% of embolic strokes of unknown source (ESUS) are attributed to undiagnosed atrial fibrillation (AF).1 The European Stroke Organisation (ESO) recommends implantable loop recorder (ILR) monitoring to identify ESUS patients with AF, permit the initiation of anticoagulation and reduce risk of recurrent stroke.2 However, this approach delays treatment and carries significant cost and resource implications. An alternative approach, where early anticoagulation is initiated in the absence of AF has failed to reduce recurrent stroke in four randomised controlled trials (NAVIGATE ESUS, RE-SPECT ESUS, ATTICUS and ARCADIA).3-6 An urgent need exists for new strategies to identify ESUS patients with undiagnosed AF that are at high risk of future thromboembolism. Purpose The primary objective of this study was to produce a substrate-based predictive model for AF in ESUS patients using atrial cardiac magnetic resonance imaging (CMRi). Method The Atrial CARdiac Magnetic resonance imaging in patients with embolic stroke of unknown source without documented AF (CARM-AF) Study is a prospective, multi-centre, observational study. All patients underwent CMRi and ILR insertion for AF detection within 3 months of ESUS. The main inclusion criteria were expected survival &gt;12 months, CHA2DS2VASc≥3 and eGFR &gt;30ml/min. Patients were allocated to the study group if AF &gt;3</w:t>
      </w:r>
    </w:p>
    <w:p>
      <w:r>
        <w:t>POSSIBLE 2024: Climatic Predictors of Long‐Distance Migratory Birds Breeding Productivity Across Europe — https://doi.org/10.1111/geb.13901</w:t>
      </w:r>
    </w:p>
    <w:p>
      <w:r>
        <w:t>Shared claim-specific concepts: predicted, aim, conditions; EU scope visible. This is a provisional connection, not an outcome finding.</w:t>
      </w:r>
    </w:p>
    <w:p>
      <w:r>
        <w:t>Available abstract (not full text): ABSTRACT Aim Ongoing climate changes represent a major determinant of demographic processes in many organisms worldwide. Birds, and especially long‐distance migrants, are particularly sensitive to such changes. To better understand these impacts on long‐distance migrants' breeding productivity, we tested three hypotheses focused on (i) the shape of the relationships with different climate variables, including previously rarely tested quadratic responses, and on regional differences in these relationships predicted by (ii) mean climatic conditions and (iii) by the rate of climate change in respective regions ranging from Spain to Finland. Location Europe. Time Period 2004–2021. Major Taxa Studied Long‐distance migratory passerine birds. Methods We calculated breeding productivity from constant effort ringing sites from 11 European countries covering 34° of latitude, and extracted temperature‐ and precipitation‐related climate variables from E‐OBS and NASA MODIS datasets. To test our hypotheses, we fitted GLMM and Bayesian meta‐analytic models. Results We revealed hump‐shaped responses of productivity to temperature, growing degree‐days, green‐up onset date, and precipitation anomaly, and negative responses to intense and prolonged rains across the regions. The effects of March temperature and April growing degree‐days were more negative in cold than in warm regions, except for t</w:t>
      </w:r>
    </w:p>
    <w:p>
      <w:r>
        <w:t>POSSIBLE 2024: TOPAS-CH4: a service for methane monitoring, source attribution and emission reduction over Europe — https://doi.org/10.5194/egusphere-egu24-8844</w:t>
      </w:r>
    </w:p>
    <w:p>
      <w:r>
        <w:t>Shared claim-specific concepts: predicted, following, sources, identify; EU scope visible. This is a provisional connection, not an outcome finding.</w:t>
      </w:r>
    </w:p>
    <w:p>
      <w:r>
        <w:t>Available abstract (not full text): Methane (CH4) is the second-largest contributor to the anthropogenic greenhouse effect, and have been the focus of recent climate summits and global commitments towards emission reductions. To mitigate and study the impact of anthropogenic CH4 emissions, the European Union started AVENGERS, a research and innovation project funded under the Horizon Europe, with 13 Partners from 6 countries, whose objective is to reconcile reported greenhouse gasses (GHGs) emissions with independent information from atmospheric observations using top-down methods and process-based models, and thereby reduce the most important uncertainties of national emission inventories.Here, we present TOPAS-CH4, an operational service developed by TNO as part of the AVENGERS project, following the example of a previous TNO source apportionment tool for particulate matter. This online public service provides users with the relevant daily information on CH4 concentrations over the EU countries, and how much different sources contribute to these observed concentrations. TOPAS CH4 is based on the chemical transport model, LOTOS-EUROS, that runs daily to simulate source-labelled CH4 concentrations over Europe. The predicted CH4 concentrations are compared with the Integrated Carbon Observation System (ICOS) observations on a daily basis, showing that LOTOS-EUROS is able to realistically simulate the CH4 volume mi</w:t>
      </w:r>
    </w:p>
    <w:p>
      <w:r>
        <w:t>POSSIBLE 2023: Predicting the distribution of Ixodes ricinus and Dermacentor reticulatus in Europe: a comparison of climate niche modelling approaches — https://doi.org/10.1186/s13071-023-05959-y</w:t>
      </w:r>
    </w:p>
    <w:p>
      <w:r>
        <w:t>Shared claim-specific concepts: following, sources, within, aim, define; EU scope visible. This is a provisional connection, not an outcome finding.</w:t>
      </w:r>
    </w:p>
    <w:p>
      <w:r>
        <w:t>Available abstract (not full text): BACKGROUND: The ticks Ixodes ricinus and Dermacentor reticulatus are two of the most important vectors in Europe. Climate niche modelling has been used in many studies to attempt to explain their distribution and to predict changes under a range of climate change scenarios. The aim of this study was to assess the ability of different climate niche modelling approaches to explain the known distribution of I. ricinus and D. reticulatus in Europe. METHODS: A series of climate niche models, using different combinations of input data, were constructed and assessed. Species occurrence records obtained from systematic literature searches and Global Biodiversity Information Facility data were thinned to different degrees to remove sampling spatial bias. Four sources of climate data were used: bioclimatic variables, WorldClim, TerraClimate and MODIS satellite-derived data. Eight different model training extents were examined and three modelling frameworks were used: maximum entropy, generalised additive models and random forest models. The results were validated through internal cross-validation, comparison with an external independent dataset and expert opinion. RESULTS: The performance metrics and predictive ability of the different modelling approaches varied significantly within and between each species. Different combinations were better able to define the distribution of each of t</w:t>
      </w:r>
    </w:p>
    <w:p>
      <w:r>
        <w:t>POSSIBLE 2023: A Simple and Effective Model for Predicting the Thermal Energy Requirements of Greenhouses in Europe — https://doi.org/10.3390/en16196788</w:t>
      </w:r>
    </w:p>
    <w:p>
      <w:r>
        <w:t>Shared claim-specific concepts: solar, energy, conditions; EU scope visible. This is a provisional connection, not an outcome finding.</w:t>
      </w:r>
    </w:p>
    <w:p>
      <w:r>
        <w:t>Available abstract (not full text): In this paper, a simple model is proposed for predicting the thermal energy requirements of greenhouses in Europe. The model estimates the annual heating requirements and the maximum required heating power, along with the corresponding heating and zero-energy operating periods. It is based on the greenhouse technical data (the overall heat loss coefficient, cover transmission, sensible absorbance), the cultivation conditions (temperature range), and the meteorological data (solar radiation and ambient temperature) according to the site characteristics (longitude and latitude). The model results can be obtained using a hand calculator. The model results are compared with those of a detailed model simulating a greenhouse’s thermal performance and they agreed with real data from the literature. Moreover, a model sensitivity analysis revealed the effect of various factors on the greenhouse’s energy requirements. The results proved that the most significant factor affecting heating requirements, the maximum heating power, and heating periods is the latitude of the greenhouse site, whereas zero-energy periods are primarily influenced by the plant cultivation temperature range and then by the latitude. According to our findings, in lower latitudes (40 to 50 degrees), heating requirements range from 250 to 430 kWh/m2/y, whereas, in higher latitudes (50 to 60 degrees), heating needs ran</w:t>
      </w:r>
    </w:p>
    <w:p>
      <w:r>
        <w:t>POSSIBLE 2023: Prospects for the use of artificial intelligence to predict the spread of tuberculosis infection in the WHO European Region — https://doi.org/10.30978/tb2023-2-86</w:t>
      </w:r>
    </w:p>
    <w:p>
      <w:r>
        <w:t>Shared claim-specific concepts: following, identify, conditions; EU scope visible. This is a provisional connection, not an outcome finding.</w:t>
      </w:r>
    </w:p>
    <w:p>
      <w:r>
        <w:t xml:space="preserve">Available abstract (not full text): Objective — to analyze the prospects of using artificial intelligence and neural networks to create a geospa­tial model of TB transmission and forecast its spread in the WHO European Region using available analytical databases. Materials and methods. The research was carried out for the period October 2022 — March 2023. Digital access to the following full-text and abstract databases was used as the main source of research: the EBSCO Information Base Package, the world’s largest single abstract and scientific metric platform Scopus, the freely accessible search system Google Scholar, MEDLINE with Full Text, Dyna Med Plus, EBSCO eBooks Clinical Collection, the abstract and scientific metric database of scientific publications of the Thomson Reuters Web of Science Core Collection WoS, statistical data from the Ministry of Health of Ukraine and the Public Health Center, SCIE, SSCI, the online database of the National Scientific Medical Library of Ukraine, AHCI. Results and discussion. Migration processes in Europe still remain a global trend and create difficulties for countries that receive migrants. Adverse living conditions, close contact, poor nutrition, mental and physical stress are what refugees and migrants face. The combination of these risk factors and insufficient access to health services increases the vulnerability of refugees to TB infection. In addition, a delay in </w:t>
      </w:r>
    </w:p>
    <w:p>
      <w:r>
        <w:t>POSSIBLE 2023: Correcting Subseasonal Forecast Errors with an Explainable ANN to Understand Misrepresented Sources of Predictability of European Summer Temperatures — https://doi.org/10.1175/aies-d-22-0047.1</w:t>
      </w:r>
    </w:p>
    <w:p>
      <w:r>
        <w:t>Shared claim-specific concepts: predicted, following, sources, conditions, reasons, need; EU scope visible. This is a provisional connection, not an outcome finding.</w:t>
      </w:r>
    </w:p>
    <w:p>
      <w:r>
        <w:t>Available abstract (not full text): Abstract Subseasonal forecasts are challenging for numerical weather prediction (NWP) and machine learning models alike. Forecasting 2-m temperature (t2m) with a lead time of 2 or more weeks requires a forward model to integrate multiple complex interactions, like oceanic and land surface conditions leading to predictable weather patterns. NWP models represent these interactions imperfectly, meaning that in certain conditions, errors accumulate and model predictability deviates from real predictability, often for poorly understood reasons. To advance that understanding, this paper corrects conditional errors in NWP forecasts with an artificial neural network (ANN). The ANN postprocesses ECMWF extended-range summer temperature forecasts by learning to correct the ECMWF-predicted probability that monthly t2m in western and central Europe exceeds the climatological median. Predictors are objectively selected from ECMWF forecasts themselves, and from states at initialization, i.e., the ERA5 reanalysis. The latter allows the ANN to account for sources of predictability that are biased in the NWP model itself. We attribute ANN corrections with two explainable artificial intelligence (AI) tools. This reveals that certain erroneous forecasts relate to tropical western Pacific Ocean sea surface temperatures at initialization. We conjecture that the atmospheric teleconnection following t</w:t>
      </w:r>
    </w:p>
    <w:p>
      <w:r>
        <w:t>POSSIBLE 2023: Sources of PM2.5‐Associated Health Risks in Europe and Corresponding Emission‐Induced Changes During 2005–2015 — https://doi.org/10.1029/2022gh000767</w:t>
      </w:r>
    </w:p>
    <w:p>
      <w:r>
        <w:t>Shared claim-specific concepts: sources, within, eastern, caused; EU scope visible. This is a provisional connection, not an outcome finding.</w:t>
      </w:r>
    </w:p>
    <w:p>
      <w:r>
        <w:t>Available abstract (not full text): Abstract We present a newly developed approach to characterize the sources of fine particulate matter (PM2.5)‐related premature deaths in Europe using the chemical transport model GEOS‐Chem and its adjoint. The contributions of emissions from each individual country, species, and sector are quantified and mapped out at km scale. In 2015, total PM2.5‐related premature death is estimated to be 449,813 (257,846–722,138) in Europe, 59.0% of which were contributed by domestic anthropogenic emissions. The anthropogenic emissions of nitrogen oxides, ammonia, and organic carbon contributed most to the PM2.5‐related health damages, making up 29.6%, 23.2%, and 16.8%, respectively of all domestic anthropogenic contributions. Residential, agricultural, and ground transport emissions are calculated to be the largest three sectoral sources of PM2.5‐related health risks, accounting for 23.5%, 23.0%, and 19.4%, respectively, of total anthropogenic contributions within Europe. After excluding the influence of extra‐regional sources, we find eastern European countries suffered from more premature deaths than their emissions caused; in contrast, the emissions from some central and western European regions contributed premature deaths exceeding three times the number of deaths that occurred locally. During 2005–2015, the first decade of PM2.5 regulation in Europe, emission controls reduced PM2.5‐r</w:t>
      </w:r>
    </w:p>
    <w:p>
      <w:pPr>
        <w:pStyle w:val="Heading2"/>
      </w:pPr>
      <w:r>
        <w:t>Energy transition scenarios: What policies, societal attitudes, and technology developments will realize the EU Green Deal?</w:t>
      </w:r>
    </w:p>
    <w:p>
      <w:r>
        <w:t>Original source (2021): https://doi.org/10.1016/j.energy.2021.122067</w:t>
      </w:r>
    </w:p>
    <w:p>
      <w:r>
        <w:t>Original wording (abstract; indexed_source_text_not_full_document_verified): Through analyzing four pathways (shaped by the crossroads of policy-technology-society developments), results indicate that high electrification rates are imminent to achieve a rapid decarbonization. In this paper, we present an original set of future storylines until the year 2050 to inspire modelers, policy makers, industry actors, and the public to understand: Without technological developments in the next decades, to what extent can we rely on societal commitment or stronger cooperation within the EU to achieve climate targets?</w:t>
      </w:r>
    </w:p>
    <w:p>
      <w:r>
        <w:t>POSSIBLE 2026: Complementary pathways and community sponsorship in Europe: benefits, challenges and policy recommendations — https://doi.org/10.1080/17448689.2026.2704516</w:t>
      </w:r>
    </w:p>
    <w:p>
      <w:r>
        <w:t>Shared claim-specific concepts: pathways, high; EU scope visible. This is a provisional connection, not an outcome finding.</w:t>
      </w:r>
    </w:p>
    <w:p>
      <w:r>
        <w:t>Available abstract (not full text): This article adopts an explanatory approach to policy analysis to explore Complementary Pathways (CP) and Community Sponsorship (CS) as civil society-led refugee solutions. Drawing on over 200 interviews across Europe, it highlights CP and CS benefits – human-centered reception, integration, and community engagement – as well as challenges like housing shortages, high costs and bureaucratic hurdles. CP and CS can reshape public attitudes, support refugee self-sufficiency, and enhance policy. The study calls for sustainable funding, defined stakeholder roles, and refugee involvement to ensure these programmes complement, not replace, existing protection systems, with recommendations to institutionalize CP and CS for long-term, equitable integration.</w:t>
      </w:r>
    </w:p>
    <w:p>
      <w:r>
        <w:t>POSSIBLE 2026: ANALYZING THE FEASIBILITY OF ADOPTING THE HUMAN MEDICINES REGULATORY PATHWAYS OF THE EUROPEAN MEDICINES AGENCY FOR THE AFRICAN MEDICINES AGENCY — https://doi.org/10.5281/zenodo.18206130</w:t>
      </w:r>
    </w:p>
    <w:p>
      <w:r>
        <w:t>Shared claim-specific concepts: analyzing, four, pathways; EU scope visible. This is a provisional connection, not an outcome finding.</w:t>
      </w:r>
    </w:p>
    <w:p>
      <w:r>
        <w:t>Available abstract (not full text): The implementation of the Centralized Procedure (CP) among European countries was facilitated by the establishment of the European Medicines Agency (EMA) in 1995, which is a culmination of the efforts and milestones made during the harmonization of medicines regulation across Europe. Inspired by the success story of human medicines regulatory harmonization among European countries, the African Union (AU) established the African Medicines Agency (AMA). The objective of this article is to assess the feasibility of adapting regulatory procedures analogous to the EMA framework for the African context and to propose a flexible model tailored to the continent's specific needs. Data were collected using four methods, narrative review, scoping review, comparative analysis, and survey, based on the nature of the required data to assess the feasibility of developing harmonized mechanisms for human medicines approvals among African countries. The European regulatory pathways provide valuable preliminary models for regulatory harmonization in Africa. By using the European framework as foundational blueprint rather than initiating models from the ground up, African countries can accelerate the creation of unique and localized regulatory pathways. Harmonized legal bases are prerequisites for harmonized regulatory frameworks. Therefore, revising the AU Model Law on Medical Products Regulation</w:t>
      </w:r>
    </w:p>
    <w:p>
      <w:r>
        <w:t>POSSIBLE 2025: ‘They Take Our Healthcare’: Health and Attitudes towards Immigration in Europe — https://doi.org/10.1177/00104140251342932</w:t>
      </w:r>
    </w:p>
    <w:p>
      <w:r>
        <w:t>Shared claim-specific concepts: analyzing, four, pathways; EU scope visible. This is a provisional connection, not an outcome finding.</w:t>
      </w:r>
    </w:p>
    <w:p>
      <w:r>
        <w:t>Available abstract (not full text): In this study, we extend the research on anti-immigrant attitudes by analyzing an overlooked factor: health. We develop a framework explaining why residents perceive competition for health services with immigrants. Using data from eleven rounds of the European Social Survey, covering 222,989 respondents in 30 European countries (2002–2023), we find a consistent association between poor health and anti-immigration attitudes. Three pathways—the belief that immigrants drain public services, diminished interpersonal trust, and distrust in political institutions—mediate this effect. The association holds across four measures of ill health, with propensity score matching to reduce selection bias and extensive robustness tests. We conclude that health is crucial for attitudes about immigration not only because of welfare chauvinism and resource competition but also because bad health makes people lose faith in each other and the system, intensifying their fear of losing access to vital health services, translating into hostility toward immigrants.</w:t>
      </w:r>
    </w:p>
    <w:p>
      <w:r>
        <w:t>POSSIBLE 2024: Pathways toward sustainable aviation: Analyzing emissions from air operations in Europe to support policy initiatives — https://doi.org/10.1016/j.tra.2024.104121</w:t>
      </w:r>
    </w:p>
    <w:p>
      <w:r>
        <w:t>Shared claim-specific concepts: analyzing, pathways, high, present, industry; EU scope visible. This is a provisional connection, not an outcome finding.</w:t>
      </w:r>
    </w:p>
    <w:p>
      <w:r>
        <w:t>Available abstract (not full text): Reducing aviation emissions has become a global priority, leading policymakers and industry stakeholders to commit to the achievement of net-zero carbon emissions. Reaching this ambitious goal requires quickly devising and promoting effective policies and measures. Emission levels are heavily influenced by the technological and operational efficiency of airlines and airports. Accordingly, understanding the main patterns underlying aviation emissions is fundamental for evaluating aviation efficiency, ultimately informing the adoption of appropriate policy interventions. In this context, the present study assessed the fuel efficiency and emission patterns of intra-European and intercontinental flights to and from Europe. We estimated the fuel efficiency and carbon intensity of different mission lengths and flight stages using a tool developed by the European Environment Agency and leveraging an extensive flight-level dataset. Our results highlight several critical areas that require policy intervention. First, we found that a relatively high proportion of overall emissions is due to landing and take-off procedures as well as on-ground activities. These emissions tend to be concentrated at major airports due to layout complexities and congestion, necessitating improvements in surface operations at the individual airport and system-wide levels. Second, regional routes represent the</w:t>
      </w:r>
    </w:p>
    <w:p>
      <w:r>
        <w:t>POSSIBLE 2024: Pathway for Four Central and Eastern European Countries to Achieve Low Carbon Development Based on the STIRPAT Model — https://doi.org/10.5539/jsd.v17n4p63</w:t>
      </w:r>
    </w:p>
    <w:p>
      <w:r>
        <w:t>Shared claim-specific concepts: four, achieve; EU scope visible. This is a provisional connection, not an outcome finding.</w:t>
      </w:r>
    </w:p>
    <w:p>
      <w:r>
        <w:t>Available abstract (not full text):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r>
        <w:t>POSSIBLE 2024: Barriers to Electrification: Analyzing Critical Delays and Pathways Forward — https://doi.org/10.3390/wevj15090409</w:t>
      </w:r>
    </w:p>
    <w:p>
      <w:r>
        <w:t>Shared claim-specific concepts: analyzing, pathways, high, electrification, rapid; EU scope visible. This is a provisional connection, not an outcome finding.</w:t>
      </w:r>
    </w:p>
    <w:p>
      <w:r>
        <w:t>Available abstract (not full text): This paper extensively explores the intricate nuances surrounding the delayed transition to new business models for electric vehicles. While there is commendable clarity regarding stakeholders, model possibilities, emission-reduction strategies, state aid initiatives, and citywide prohibitions, the central challenge lies in the gradual pace of this transition. Notably, the persistent high costs of electric vehicles, primarily attributed to exorbitant battery prices and the raw materials involved, represent a formidable hurdle to widespread adoption. In this article, a comprehensive examination of the multifaceted aspects contributing to the delays in the shift towards electrified transport is proposed. By meticulously scrutinizing the intricacies of this delay, the aim is to provide valuable insights that can contribute to accelerating the adoption of electric vehicles. The exploration of these challenges is essential for fostering a nuanced understanding of the impediments hindering the transition and, subsequently, for devising effective strategies to overcome them. The analysis presented herein not only identifies the hurdles but also seeks to offer potential solutions and strategies that can drive the transformative change needed in the realm of electric transportation. Understanding and mitigating the barriers impeding the transition is crucial for fostering a rapid and su</w:t>
      </w:r>
    </w:p>
    <w:p>
      <w:r>
        <w:t>POSSIBLE 2023: Identification of microplastic pathways within a typical European urban wastewater system — https://doi.org/10.1002/appl.202200078</w:t>
      </w:r>
    </w:p>
    <w:p>
      <w:r>
        <w:t>Shared claim-specific concepts: four, pathways, rapid; EU scope visible. This is a provisional connection, not an outcome finding.</w:t>
      </w:r>
    </w:p>
    <w:p>
      <w:r>
        <w:t>Available abstract (not full text): Abstract In recent years, thermoextraction/desorption‐gas chromatography/mass spectrometry (TED‐GC/MS) has been developed as a rapid detection method for the determination of microplastics (MP) mass contents in numerous environmentally relevant matrices and, in particular, for the measurement of polymers in water samples without time‐consuming sample preparation. The TED‐GC/MS method was applied to investigate a typical European municipal wastewater system for possible MP masses. Such investigations are important in view of the recent revision of the Urban Wastewater Treatment Directive. Four different representative sampling sites were selected: greywater (domestic wastewater without toilet), combined sewer, and influent and effluent of a wastewater treatment plant (WWTP). All samples were collected by fractional filtration. Filtration was carried out over mesh sizes of 500, 100, 50, and in some cases, 5 µm. Polyethylene (PE), polypropylene (PP), and polystyrene (PS) were detected in all samples, with the PE fraction dominating in all cases. Styrene‐butadiene rubber which serves as an indication of tire abrasion, was only found in the influent of the WWTP. The highest MP mass contents were found in the combined sewer, so MP can become a source of pollution during heavy rain events when the capacity limits of the effluent are reached, and the polluted effluent is released uncon</w:t>
      </w:r>
    </w:p>
    <w:p>
      <w:r>
        <w:t>POSSIBLE 2023: Who cares about migraine? Pathways and hurdles in the European region - access to care III — https://doi.org/10.1186/s10194-023-01652-8</w:t>
      </w:r>
    </w:p>
    <w:p>
      <w:r>
        <w:t>Shared claim-specific concepts: four, pathways, present, makers; EU scope visible. This is a provisional connection, not an outcome finding.</w:t>
      </w:r>
    </w:p>
    <w:p>
      <w:r>
        <w:t>Available abstract (not full text): BACKGROUND: Migraine is a highly prevalent primary headache disorder and a leading cause of disability. Difficulties in access to care during diagnostic and therapeutic journey contribute to the disease burden. Several target-specific drugs have reached the market in the past four years and have modified the treatment paradigm in migraine. The aim of this study is to provide an updated snapshot of the pathways and hurdles to care for migraine in different European countries by directly asking patients. METHODS: In 2021 the European Migraine and Headache Alliance proposed a 39-item questionnaire that was administered online to an adult migraine population in European countries. Questions were focused on socio-demographic and migraine data, access to diagnosis and treatment, disease-related burden and the main channel for disease information. RESULTS: A total of 3169 questionnaires were returned from 10 European countries. Responders were predominantly females, age range 25-59 years, with a migraine history longer than 10 years in 82% of cases, and with at least 8 headache days per month in 57% of cases. Respondents reported limitations in social, working and personal life during both the ictal and interictal phase. The activities mostly impaired during the attacks were driving (55%), cooking or eating (42%), taking care of family/childcare (40%) and getting medicines at the phar</w:t>
      </w:r>
    </w:p>
    <w:p>
      <w:r>
        <w:t>POSSIBLE 2022: Analyzing the Macro-Economic and Employment Implications of Ambitious Mitigation Pathways and Carbon Pricing — https://doi.org/10.3389/fclim.2022.785136</w:t>
      </w:r>
    </w:p>
    <w:p>
      <w:r>
        <w:t>Shared claim-specific concepts: analyzing, pathways, high, achieve, decarbonization; EU scope visible. This is a provisional connection, not an outcome finding.</w:t>
      </w:r>
    </w:p>
    <w:p>
      <w:r>
        <w:t>Available abstract (not full text): The recent EU Green Deal puts forward ambition climate targets aiming to make the EU the first climate neutral continent by mid-century while ensuring a just transition. This requires a large-scale transformation of the EU and global energy and economic systems induced by both regulatory and market-based policies, in particular carbon pricing. Macro-economic models currently used for the analysis of climate policy impacts need improvements to consistently capture the transition dynamics and challenges. The study presents the methodological enhancements realized in general equilibrium model GEM-E3-FIT (including enhanced energy system representation, low-carbon innovation, clean energy markets, technology progress, policy instruments) to improve the simulation of the impacts of ambitious climate policies. The model-based analysis shows that high carbon pricing has limited negative impacts on the EU GDP and consumption, while leading to an economy transformation toward a capital-intensive structure triggered by increased investment in low-carbon technologies and energy efficient equipment. Global decarbonization to achieve the well-below 2°C goal of the Paris Agreement will modestly impact total employment, but its effects are pronounced on specific sectors which are impacted either negatively (e.g., supply of fossil fuels, energy intensive industries) or positively by creating a</w:t>
      </w:r>
    </w:p>
    <w:p>
      <w:pPr>
        <w:pStyle w:val="Heading2"/>
      </w:pPr>
      <w:r>
        <w:t>European carbon storage resource requirements of climate change mitigation targets</w:t>
      </w:r>
    </w:p>
    <w:p>
      <w:r>
        <w:t>Original source (2021): https://doi.org/10.1016/j.ijggc.2021.103568</w:t>
      </w:r>
    </w:p>
    <w:p>
      <w:r>
        <w:t>Original wording (abstract; indexed_source_text_not_full_document_verified): As a part of climate change mitigation plans in Europe, CO2 storage scenarios have been reported for the United Kingdom and the European Union with injection rates reaching 75 – 330 MtCO2 yr-1 by 2050. We further demonstrate the use of the models to define 2050 rate targets within conservative bounds of both growth rate and storage resource needs.</w:t>
      </w:r>
    </w:p>
    <w:p>
      <w:r>
        <w:t>POSSIBLE 2025: LOW-CARBON SOLUTIONS INTRODUCED IN EUROPEAN CITIES AS PART OF CLIMATE CHANGE ADAPTATION — https://doi.org/10.5604/01.3001.0055.5451</w:t>
      </w:r>
    </w:p>
    <w:p>
      <w:r>
        <w:t>Shared claim-specific concepts: part, climate; EU scope visible. This is a provisional connection, not an outcome finding.</w:t>
      </w:r>
    </w:p>
    <w:p>
      <w:r>
        <w:t>Available abstract (not full text): Contemporary societies are facing progressive climate change due to economic development. Forthis reason, the authorities of leading European cities are implementing policies and strategies toprepare urban organisms for climate change and to counteract it. Given the topicality of the issue,this article presents and evaluates low-carbon measures taken in selected European cities in thecontext of climate change adaptation. The analysis covers publications/strategies on climate changeadaptation adopted in Berlin, Copenhagen, Oslo, Prague and Wrocław, and explores air qualitytrends in selected cities. The results indicate a systematic improvement in air quality in all the citiesanalysed, particularly in terms of the reduction of particulate matter and nitrogen oxides. Thegreatest progress has been made in Copenhagen and Oslo, which are consistently pursuing climateneutrality goals, while Wrocław and Prague still have higher emission levels, although positivedownward trends are observed. The analysis confirms that the effectiveness of low-carbon policiesdepends on their integrated nature, covering the energy, transport and spatial sectors, as well as onthe active involvement of local communities. The results of the study emphasise the importance ofcooperation between cities in implementing the objectives of the European Green Deal and strivingto achieve climate neutrality by 2050.</w:t>
      </w:r>
    </w:p>
    <w:p>
      <w:r>
        <w:t>POSSIBLE 2025: Modeling of Hydrodynamic Processes of the Estuaries of the European Part of the Russian Arctic under Possible Climate Changes — https://doi.org/10.1134/s0097807824701434</w:t>
      </w:r>
    </w:p>
    <w:p>
      <w:r>
        <w:t>Shared claim-specific concepts: part, climate, use; EU scope visible. This is a provisional connection, not an outcome finding.</w:t>
      </w:r>
    </w:p>
    <w:p>
      <w:r>
        <w:t>Available abstract (not full text): Abstract Possible scenarios of climate change impact on hydrodynamic processes in the estuaries of the Northern Dvina, Onega, and Pechora are considered. For this purpose, hydrodynamic models of estuarine areas previously developed by the authors in the STREAM 2D, HEC-RAS, and Delft3D software packages were used, for which various variants of sea level changes obtained from the global climate models GFDL-ESM2M, IPSL-CM5A-LR, HadGEM2-ES, MIROC-ESM-CHEM were set as the lower boundary condition. As the upper boundary conditions, water discharges in the outlet sections of river basins, calculated using the ECOMAG runoff formation model for conditions of changed climate, based on the data of the same climate models were set. Based on ensemble simulations, two main trends in changes in estuarine hydrodynamic factors were identified and analyzed: the sea level rise and the river runoff decrease. Scenarios of spring floods and summer–autumn low water seasons corresponding to different combinations of boundary conditions for the historical period are modeled, as well as for the most probable and most unfavorable hydrometeorological conditions of the mid-21st century. Possible changes in the flow characteristics and their impact on various aspects of hydroecological safety and the use of water resources in the estuarial areas under the study have been analyzed.</w:t>
      </w:r>
    </w:p>
    <w:p>
      <w:r>
        <w:t>POSSIBLE 2025: Climate Change 2022: Impacts, Adaptation and Vulnerability — https://doi.org/10.1163/9789004322714_cclc_2022-0258-0930</w:t>
      </w:r>
    </w:p>
    <w:p>
      <w:r>
        <w:t>Shared claim-specific concepts: part, climate; EU scope visible. This is a provisional connection, not an outcome finding.</w:t>
      </w:r>
    </w:p>
    <w:p>
      <w:r>
        <w:t>Available abstract (not full text): Summary for policymakers Technical summary Part I. Setting the Stage for Impact, Adaptation, and Vulnerability Assessment: 1. Overview 2. Methods and tools 3. Development and application of scenarios in Climate Change Impact, Adaptation, and Vulnerability Assessment Part II. Sectors and Systems: Impacts, Adaptation, and Vulnerability: 4. Hydrology and water resources 5. Natural and managed ecosystems 6. Coastal zones and marine ecosystems 7. Energy, industry, and settlements 8. Financial services 9. Human health Part III. Regional Analyses: Impacts, Adaptation, and Vulnerability: 10. Africa 11. Asia 12. Australasia 13. Europe 14. Latin America 15. North America 16. Polar regions (Arctic and Antarctic) 17. Small island states Part IV. Global Issues and Synthesis: 18. Adaptation to climate change in the context of sustainable development and equity 19. Synthesis and integration of impacts, adaptation, and vulnerability Index.</w:t>
      </w:r>
    </w:p>
    <w:p>
      <w:r>
        <w:t>POSSIBLE 2024: Changes in climate indicators of degradation of UNESCO cultural heritage sites in the European part of Russia — https://doi.org/10.21638/spbu07.2024.306</w:t>
      </w:r>
    </w:p>
    <w:p>
      <w:r>
        <w:t>Shared claim-specific concepts: part, climate; EU scope visible. This is a provisional connection, not an outcome finding.</w:t>
      </w:r>
    </w:p>
    <w:p>
      <w:r>
        <w:t xml:space="preserve">Available abstract (not full text): Cultural heritage sites are under threat of destruction due to the impact of climate change and related hazards such as rainstorms, floods, droughts. High vulnerability to natural disasters and important historical and socio-cultural value require special attention to World Heritage properties. The goal of the work is to assess the impact of climate on the destruction of building materials of UNESCO cultural heritage sites for four cities in the European part of Russia (Derbent, Kazan, Petrozavodsk and Pskov). The work uses daily data on air temperature and precipitation for the period 1961–2020. Five indices were used to assess the impact of frost (days with air temperatures below 0°C and minus 5°C, freeze-thaw cycles, Wet-frost index and frost decay exposure index) and two indices of extreme air temperatures and precipitation (percentage of days with maximum air temperature higher 90th percentile and number of days with precipitation above 99th percentile). In addition, changes in the indices between two climatic periods, 1961–1990 and 1991–2020, were estimated. The results showed a reduction in the risk of damage to cultural heritage sites by low air temperatures, while the frequency of freeze-thaw cycles increased in the northern regions against the backdrop of rising surface air temperatures. The change in extreme temperatures and precipitation has a positive trend, which </w:t>
      </w:r>
    </w:p>
    <w:p>
      <w:r>
        <w:t>POSSIBLE 2024: Predicting the effect of climate change and management on net carbon sequestration in the forest ecosystems of the European part of Russia with the complex of models — https://doi.org/10.1016/j.ecolmodel.2024.110835</w:t>
      </w:r>
    </w:p>
    <w:p>
      <w:r>
        <w:t>Shared claim-specific concepts: part, climate; EU scope visible. This is a provisional connection, not an outcome finding.</w:t>
      </w:r>
    </w:p>
    <w:p>
      <w:r>
        <w:t>Available abstract (not full text): Unavailable</w:t>
      </w:r>
    </w:p>
    <w:p>
      <w:r>
        <w:t>POSSIBLE 2024: The future of the Portuguese (SW Europe) most vulnerable coastal areas under climate change – Part I: Performance evaluation and shoreline evolution from a downscaled bias corrected wave climate ensemble — https://doi.org/10.1016/j.oceaneng.2024.117661</w:t>
      </w:r>
    </w:p>
    <w:p>
      <w:r>
        <w:t>Shared claim-specific concepts: part, climate, plans; EU scope visible. This is a provisional connection, not an outcome finding.</w:t>
      </w:r>
    </w:p>
    <w:p>
      <w:r>
        <w:t>Available abstract (not full text): Some of the most disruptive effects of climate change are projected to be felt along the coastlines. The combined effects of future changes in water levels and wave climate along coastal areas constitute one of the most serious threats to their sustainable evolution, compromising critical infrastructures, resources, ecosystems, and communities. Understanding long-term changes in coastal areas remains challenging, however, due to their multivariate and multi-time-and-space-scale nature. In this study, we propose an innovative methodology for a complete vulnerability assessment of sandy low-lying coastal areas, based on dynamic, ensemble-based projections from the Coupled Model Intercomparison Project phase 5 (CMIP5). In the current Part I study, the effects of sea level rise (SLR) and nearshore wave climate changes on future shoreline evolution are assessed at five key-locations along the Portuguese coastline. Longshore sediment transport (LST) projections are computed, and sedimentary imbalances are quantified. Overall, robust shoreline retreat of up to 300 m is projected, especially along the Portuguese northern and central coastal areas, with continued erosion driven mainly by sediment imbalance and SLR. The projected decrease in future nearshore wave energy is responsible for a slight alleviation in erosion trends, up to 6.33%, whereas the increase of northerly incoming wave</w:t>
      </w:r>
    </w:p>
    <w:p>
      <w:r>
        <w:t>POSSIBLE 2024: The future of the Portuguese (SW Europe) most vulnerable coastal areas under climate change – Part II: Future extreme coastal flooding from downscaled bias corrected wave climate projections — https://doi.org/10.1016/j.oceaneng.2024.118448</w:t>
      </w:r>
    </w:p>
    <w:p>
      <w:r>
        <w:t>Shared claim-specific concepts: part, climate, plans; EU scope visible. This is a provisional connection, not an outcome finding.</w:t>
      </w:r>
    </w:p>
    <w:p>
      <w:r>
        <w:t>Available abstract (not full text): Episodic extreme coastal flooding is considered one of the most serious threats to the global coastlines, endangering infrastructure, ecosystems, and communities. The synchronized effects of extreme wave events, storm surges and astronomical tides are particularly worrying in the context of sea level rise (SLR), and a comprehensive understanding of their future dynamics remains challenging. In this study, an innovative approach for a vulnerability assessment of sandy low-lying coastal areas, based on dynamic ensemble projections is proposed. In the current Part II study, the combined effects of future projected SLR, tides, storm surges and wave action are investigated at five key-locations along the Portuguese coastline, considering projected digital terrain models, built upon the shoreline projections obtained in Part I. Future extreme total water levels are obtained through a probabilistic approach, and extreme wave events are defined considering high wave energy thresholds in a changing climate. Overall, extreme coastal flooding is projected across several urbanized sections along the Portuguese coastline, especially in areas without artificial protection infrastructures. Dune erosion is expected along the sandy stretches, reducing the natural protection against extreme coastal events up to 13.3%, and promoting widespread overtopping, leaving populations more exposed. Future</w:t>
      </w:r>
    </w:p>
    <w:p>
      <w:r>
        <w:t>POSSIBLE 2024: Contribution of climate change to the spatial expansion of West Nile virus in Europe — https://doi.org/10.1038/s41467-024-45290-3</w:t>
      </w:r>
    </w:p>
    <w:p>
      <w:r>
        <w:t>Shared claim-specific concepts: climate, demonstrate; EU scope visible. This is a provisional connection, not an outcome finding.</w:t>
      </w:r>
    </w:p>
    <w:p>
      <w:r>
        <w:t>Available abstract (not full text):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r>
        <w:t>POSSIBLE 2023: Climate Change Impact on the Cultural Heritage Sites in the European Part of Russia over the Past 60 Years — https://doi.org/10.3390/cli11030050</w:t>
      </w:r>
    </w:p>
    <w:p>
      <w:r>
        <w:t>Shared claim-specific concepts: part, climate; EU scope visible. This is a provisional connection, not an outcome finding.</w:t>
      </w:r>
    </w:p>
    <w:p>
      <w:r>
        <w:t>Available abstract (not full text): Climate change is causing damage to infrastructure, ecosystems, and social systems, including cultural heritage sites. In the European part of Russia, there are 20 UNESCO-listed cultural heritage sites situated in different climatic conditions. This study assesses the impact of climate change on these sites by using ERA5 re-analysis data to calculate two frost damage indices and two salt weathering indices for the period 1960–2020. The findings indicate a rise in frost damage and salt weathering at cultural heritage sites in northern Europe, primarily due to changes in air temperature and water in the atmosphere, which are the main parameters responsible for the destruction of stone and brick structures. Given the observed and predicted trends in the main meteorological parameters, the detrimental destructive impact of climate change on cultural heritage sites will only increase. In view of the significant length of Russia from north to south and the difference in climatic conditions, measures for the adaptation and protection of cultural heritage sites must be adapted to local conditions and consider the material from which the object is made.</w:t>
      </w:r>
    </w:p>
    <w:p>
      <w:r>
        <w:t>POSSIBLE 2023: A multi-disciplinary analysis of the exceptional flood event of July 2021 in central Europe – Part 2: Historical context and relation to climate change — https://doi.org/10.5194/nhess-23-1287-2023</w:t>
      </w:r>
    </w:p>
    <w:p>
      <w:r>
        <w:t>Shared claim-specific concepts: part, climate, within; EU scope visible. This is a provisional connection, not an outcome finding.</w:t>
      </w:r>
    </w:p>
    <w:p>
      <w:r>
        <w:t>Available abstract (not full text): Abstract. Heavy precipitation over western Germany and neighboring countries in July 2021 led to widespread floods, with the Ahr and Erft river catchments being particularly affected. Following the event characterization and process analysis in Part 1, here we put the 2021 event in the historical context regarding precipitation and discharge records, and in terms of the temporal transformation of the valley morphology. Furthermore, we evaluated the role of ongoing and future climate change on the modification of rainfall totals and associated flood hazards as well as implications for flood management. The event was among the five heaviest precipitation events of the past 70 years in Germany. However, considering the large LAERTES-EU regional climate model (RCM) ensemble revealed a substantial underestimation of return values and periods based on extreme value statistics using only observations. An analysis of homogeneous hydrological data of the last 70 years demonstrated that the event discharges exceeded by far the statistical 100-year return values. Nevertheless, the flood peaks at the Ahr River were comparable to the reconstructed major historical events of 1804 and 1910, which were not included in the hazard assessment of flood risk so far. A comparison between the 2021 and past events showed differences in terms of the observed hydro-morphodynamic processes which enhanced</w:t>
      </w:r>
    </w:p>
    <w:p>
      <w:r>
        <w:t>POSSIBLE 2023: Climate Change in the Mediterranean Basin (Part II): A Review of Challenges and Uncertainties in Climate Change Modeling and Impact Analyses — https://doi.org/10.1007/s11269-023-03444-w</w:t>
      </w:r>
    </w:p>
    <w:p>
      <w:r>
        <w:t>Shared claim-specific concepts: part, climate; EU scope not established. This is a provisional connection, not an outcome finding.</w:t>
      </w:r>
    </w:p>
    <w:p>
      <w:r>
        <w:t>Available abstract (not full text): The Mediterranean basin is particularly prone to climate change and vulnerable to its impacts. One of the most relevant consequences of climate change, especially for the southern Mediterranean regions, is certainly water scarcity as result of a reduction of surface runoff and groundwater levels. Despite the progress achieved in recent years in the field of climate change and its impact on water resources, results and outcomes should be treated with due caution since any future climate projection and derived implications are inevitably affected by a certain degree of uncertainty arising from each different stage of the entire modeling chain. This work offers a comprehensive overview of recent works on climate change in the Mediterranean basin, mainly focusing on the last ten years of research. Past and future trends on different components of the hydrological balance are discussed in a companion paper (Noto et al. 2022), while the present paper focuses on the problem of water availability and water scarcity. In addition, the work aims to discuss the most relevant sources of uncertainty related to climate change with the aim to gain awareness of climate change impact studies interpretation and reliability.</w:t>
      </w:r>
    </w:p>
    <w:p>
      <w:r>
        <w:t>POSSIBLE 2022: Demographic Structure of Cypripedium calceolus L. Populations in the European Part of Russia under Climate Change — https://doi.org/10.1134/s1995425522040047</w:t>
      </w:r>
    </w:p>
    <w:p>
      <w:r>
        <w:t>Shared claim-specific concepts: part, climate; EU scope visible. This is a provisional connection, not an outcome finding.</w:t>
      </w:r>
    </w:p>
    <w:p>
      <w:r>
        <w:t>Available abstract (not full text): Abstract The paper presents recent data on the demographic structure and population size of C. calceolus in European Russia. The assessment of the species distribution and population size is based on the global classification of terrestrial ecoregions. The long-term dynamics of the number and age structure (150 populations) of C. calceolus were revealed for the 20-year research period, 1997–2020. It has been reliably determined that the number of reproductive plants is positively related to temperature indicators, while the number of pre-reproductive individuals depends on humidity factors and negatively on temperature. Three types of basic age spectra were identified: (1) centered 3:10:47:40 (juvenile (j): immature (im): virginal (v): reproductive (g)), the most common in the European part of the Russian Federation (RF); (2) bimodal 15:26:33:26 (j:im:v:g), mainly found in the western regions; (3) right-hand 0:3:13:82:2 (j:im:v:g:s), which steadily appears in the continental climate of eastern regions of European Russia. The current baseline spectra of C. calceolus populations differ from the baseline spectrum of the species given in the 20th century. The base spectra significantly depends on ecological-phytocoenotic plant community structure and abiotic features of habitats, it shown using the ecological indicator values.</w:t>
      </w:r>
    </w:p>
    <w:p>
      <w:pPr>
        <w:pStyle w:val="Heading2"/>
      </w:pPr>
      <w:r>
        <w:t>European cephalopods distribution under climate-change scenarios</w:t>
      </w:r>
    </w:p>
    <w:p>
      <w:r>
        <w:t>Original source (2021): https://doi.org/10.1038/s41598-021-83457-w</w:t>
      </w:r>
    </w:p>
    <w:p>
      <w:r>
        <w:t>Original wording (abstract; indexed_source_text_not_full_document_verified): Conversely, we projected a rapidly increasing environmental suitability in the North, Norwegian and Baltic Seas for all species. Despite their major economical (i.e. important fisheries) and ecological (i.e. central position in food-webs) importance, cephalopods literature rarely addresses an explicit understanding of their current distribution and the potential effect that climate change may induce in the following decades.</w:t>
      </w:r>
    </w:p>
    <w:p>
      <w:r>
        <w:t>POSSIBLE 2025: Arterial hypertension–attributable mortality in Europe: implications for the Americas — https://doi.org/10.1097/hjh.0000000000004190</w:t>
      </w:r>
    </w:p>
    <w:p>
      <w:r>
        <w:t>Shared claim-specific concepts: conversely, increasing, all, despite, importance; EU scope visible. This is a provisional connection, not an outcome finding.</w:t>
      </w:r>
    </w:p>
    <w:p>
      <w:r>
        <w:t>Available abstract (not full text): Hypertension remains the leading modifiable risk factor for cardiovascular morbidity and mortality worldwide, accounting for over 10 million deaths annually [1]. In this issue, Zuin et al. present a population-level analysis of 30 European countries between 2012 and 2021, reporting more than 1.6 million hypertension-attributable deaths. During this period, the age-adjusted mortality rate (AAMR) increased by 1.6% per year. Lest one think this might be driven solely by a change in population demographics, especially ageing, Zuin et al. conducted a stratified analysis showing the steady increase in all strata, albeit with steeper rises among adults aged ≥70 years. There were no dramatic differences by sex either, with parallel increases in both groups. Some regional differences are notable, with mortality increased in Northern and particularly Eastern Europe, whereas trends plateaued in Western and Southern countries, underscoring persistent heterogeneity across the continent. While the tremendous global efforts to reduce hypertension are commendable, these findings are nonetheless deeply concerning and disheartening, given that hypertension is straightforward to diagnose and that effective, accessible therapies are widely available. The field has progressed quite steadily through the years, with the widespread advent of home blood pressure (BP) devices and the guidance provided b</w:t>
      </w:r>
    </w:p>
    <w:p>
      <w:r>
        <w:t>POSSIBLE 2024: Risks posed by invasive species to the provision of ecosystem services in Europe — https://doi.org/10.1038/s41467-024-46818-3</w:t>
      </w:r>
    </w:p>
    <w:p>
      <w:r>
        <w:t>Shared claim-specific concepts: suitability, species, important, importance, addresses; EU scope visible. This is a provisional connection, not an outcome finding.</w:t>
      </w:r>
    </w:p>
    <w:p>
      <w:r>
        <w:t>Available abstract (not full text): Invasive species significantly impact biodiversity and ecosystem services, yet understanding these effects at large spatial scales remains a challenge. Our study addresses this gap by assessing the current and potential future risks posed by 94 invasive species to seven key ecosystem services in Europe. We demonstrate widespread potential impacts, particularly on outdoor recreation, habitat maintenance, crop provisioning, and soil and nitrogen retention. Exposure to invasive species was higher in areas with lower provision of ecosystem services, particularly for regulating and cultural services. Exposure was also high in areas where ecosystem contributions to crop provision and nitrogen retention were at their highest. Notably, regions vital for ecosystem services currently have low invasion suitability, but face an average 77% increase in potential invasion area. Here we show that, while high-value ecosystem service areas at the highest risk represent a small fraction of Europe (0-13%), they are disproportionally important for service conservation. Our study underscores the importance of monitoring and protecting these hotspots to align management strategies with international biodiversity targets, considering both invasion vulnerability and ecosystem service sustainability.</w:t>
      </w:r>
    </w:p>
    <w:p>
      <w:r>
        <w:t>POSSIBLE 2024: Understanding and addressing shortfalls in European wild bee data — https://doi.org/10.1016/j.biocon.2024.110455</w:t>
      </w:r>
    </w:p>
    <w:p>
      <w:r>
        <w:t>Shared claim-specific concepts: species, despite, major, important, addresses; EU scope visible. This is a provisional connection, not an outcome finding.</w:t>
      </w:r>
    </w:p>
    <w:p>
      <w:r>
        <w:t>Available abstract (not full text): Understanding and reversing biodiversity decline in the Anthropocene requires robust data on species taxonomic identity, distribution, ecology, and population trends. Data deficits hinder biodiversity assessments and conservation, and despite major advances over the past few decades, our understanding of bee diversity, decline and distribution in Europe is still hampered by such data shortfalls. Using a unique digital dataset of wild bee occurrence and ecology, we identify seven critical shortfalls which are an absence of knowledge on geographic distributions, (functional) trait variation, population dynamics, evolutionary relationships, biotic interactions, species identity, and tolerance to abiotic conditions. We describe “BeeFall,” an interactive online Shiny app tool, which visualizes these shortfalls and highlights missing data. We also define a new impediment, the Keartonian Impediment, which addresses an absence of high-quality in situ photos and illustrations with diagnostic characteristics and directly affects the outlined shortfalls. Shortfalls are highly correlated at both the provincial and national scales, identifying key areas in Europe where knowledge gaps can be filled. This work provides an important first step towards the long-term goal to mobilize and aggregate European wild bee data into a multi-scale, easy access, shareable, and updatable database which can</w:t>
      </w:r>
    </w:p>
    <w:p>
      <w:r>
        <w:t>POSSIBLE 2023: Birds in Europe 4: the fourth assessment of Species of European Conservation Concern — https://doi.org/10.1017/s0959270923000187</w:t>
      </w:r>
    </w:p>
    <w:p>
      <w:r>
        <w:t>Shared claim-specific concepts: conversely, all, species, importance; EU scope visible. This is a provisional connection, not an outcome finding.</w:t>
      </w:r>
    </w:p>
    <w:p>
      <w:r>
        <w:t>Available abstract (not full text):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r>
        <w:t>POSSIBLE 2023: Fertility Control for Wildlife: A European Perspective — https://doi.org/10.3390/ani13030428</w:t>
      </w:r>
    </w:p>
    <w:p>
      <w:r>
        <w:t>Shared claim-specific concepts: increasing, environmental, species; EU scope visible. This is a provisional connection, not an outcome finding.</w:t>
      </w:r>
    </w:p>
    <w:p>
      <w:r>
        <w:t>Available abstract (not full text): Trends of human population growth and landscape development in Europe show that wildlife impacts are escalating. Lethal methods, traditionally employed to mitigate these impacts, are often ineffective, environmentally hazardous and face increasing public opposition. Fertility control is advocated as a humane tool to mitigate these impacts. This review describes mammalian and avian wildlife contraceptives' effect on reproduction of individuals and populations, delivery methods, potential costs and feasibility of using fertility control in European contexts. These contexts include small, isolated wildlife populations and situations in which lethal control is either illegal or socially unacceptable, such as urban settings, national parks and areas where rewilding occurs. The review highlights knowledge gaps, such as impact of fertility control on recruitment, social and spatial behaviour and on target and non-target species, provides a decision framework to assist decisions about the potential use of wildlife fertility control, and suggests eight reasons for Europe to invest in this area. Although developing and registering contraceptives in Europe will have substantial costs, these are relatively small when compared to wildlife's economic and environmental impact. Developing safe and effective contraceptives will be essential if European countries want to meet public demand for m</w:t>
      </w:r>
    </w:p>
    <w:p>
      <w:r>
        <w:t>POSSIBLE 2023: Conservation easements – project selection criteria for quarries in Europe — https://doi.org/10.3389/fcosc.2023.1304712</w:t>
      </w:r>
    </w:p>
    <w:p>
      <w:r>
        <w:t>Shared claim-specific concepts: conversely, environmental, all, species, ecological; EU scope visible. This is a provisional connection, not an outcome finding.</w:t>
      </w:r>
    </w:p>
    <w:p>
      <w:r>
        <w:t>Available abstract (not full text): Private sector support is essential to achieve the EU Green Deal's biodiversity goals, given that a significant portion of Natura 2000 and potential restoration sites are privately owned (European Commission, kein Datum).The extractive industry is a prime example of how private business impacts biodiversity policy implementation.Historically, European land has often been altered or degraded by agriculture, forestry, and other land uses. While resource extraction can lead to further destruction, well-managed former quarries and reclamation sites can provide vital habitats for endangered species, including those adjacent to Natura 2000 sites. This presents an opportunity to rehabilitate habitats that have suffered significant loss (European Commission, 2019).New, enhanced reporting requirements will intensify public scrutiny of private firms' biodiversity impact, demanding inventive and proactive approaches to harmonise resource extraction with nature preservation. Conversely, voluntary efforts to maximise long-term biodiversity value in quarries could spawn new business models by leveraging current and future fiscal incentives linked to nature restoration and promoting biodiversity-friendly land use.It's relevant to explore how the extractive industry can proactively surpass legal norms for net biodiversity gains. A dual case-both communicative and financial-is essential to pers</w:t>
      </w:r>
    </w:p>
    <w:p>
      <w:r>
        <w:t>POSSIBLE 2022: Socioeconomic inequalities in cancer mortality between and within countries in Europe: a population-based study — https://doi.org/10.1016/j.lanepe.2022.100551</w:t>
      </w:r>
    </w:p>
    <w:p>
      <w:r>
        <w:t>Shared claim-specific concepts: baltic, all, central, position; EU scope visible. This is a provisional connection, not an outcome finding.</w:t>
      </w:r>
    </w:p>
    <w:p>
      <w:r>
        <w:t>Available abstract (not full text):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Five transition pathways to renewable energy futures—scenarios from a Delphi study on key drivers and policy options</w:t>
      </w:r>
    </w:p>
    <w:p>
      <w:r>
        <w:t>Original source (2021): https://doi.org/10.1186/s40309-021-00185-0</w:t>
      </w:r>
    </w:p>
    <w:p>
      <w:r>
        <w:t>Original wording (abstract; indexed_source_text_not_full_document_verified): In this article, five energy scenarios are presented for Finland until 2030. It is therefore important to anticipate probable, preferable, or avoidable future paths that will contribute to the discussion of the direction and conditions of such futures.</w:t>
      </w:r>
    </w:p>
    <w:p>
      <w:r>
        <w:t>POSSIBLE 2025: Five models and ten predictors for energy costs on farms in the European Union — https://doi.org/10.1515/opag-2025-0441</w:t>
      </w:r>
    </w:p>
    <w:p>
      <w:r>
        <w:t>Shared claim-specific concepts: five, energy, important; EU scope visible. This is a provisional connection, not an outcome finding.</w:t>
      </w:r>
    </w:p>
    <w:p>
      <w:r>
        <w:t>Available abstract (not full text): Abstract Energy costs are the main concerns of the agricultural stakeholders, because of their economic, environmental, and social impacts on the farms and the development of interrelated activities. In fact, it is important to save costs with the energy use to improve the profitability of the farms, but the level of these costs is often interlinked with the options to manage the energy consumption and the respective implications on sustainability. This framework highlights the importance of good management and planning for energy utilisation in the farming sector, namely to promote a balanced and integrated rural development. Considering these perspectives, this research intends to identify which factor, and how, impacted the energy costs in the European Union farms over the last decades. To achieve these objectives data from the Farm Accountancy Data Network database were considered for the European Union agricultural regions and the period 2013–2021. This statistical information was analysed through machine learning approaches following the procedures proposed by the software IBM SPSS Modeler. The linear support vector machine, regression, random forest, random trees, and the classification and regression tree are the most accurate models. On the contrary, the level of production, the size of farms, the economic and financial structure, and policy measures are the most impor</w:t>
      </w:r>
    </w:p>
    <w:p>
      <w:r>
        <w:t>POSSIBLE 2025: Assessing stringency: A survey experiment of energy saving policies across five EU countries — https://doi.org/10.1177/09520767251359126</w:t>
      </w:r>
    </w:p>
    <w:p>
      <w:r>
        <w:t>Shared claim-specific concepts: article, five, energy; EU scope visible. This is a provisional connection, not an outcome finding.</w:t>
      </w:r>
    </w:p>
    <w:p>
      <w:r>
        <w:t>Available abstract (not full text): This article explores the public acceptance of European energy saving policies during the 2022 energy crisis. Drawing upon a survey experiment conducted with nationally representative quota samples of 7678 respondents across five European countries (France, Italy, Germany, the Netherlands, and Spain), this article explores public acceptance of European energy-saving policies during the 2022 energy crisis. We examine public preferences between coercive (mandates) and non-coercive (information campaigns) policy approaches. Additionally, we investigate how individual-level factors – including age, household income, environmental attitudes, perceived urgency of climate action, and trust in government – moderate citizens’ support for these policies. Our findings highlight significant heterogeneity: while non-coercive policies generally garner higher public approval, this preference is notably weaker or reversed among younger and lower-income respondents. By exploring the underlying factors driving this preference, this research sheds light on the considerations that European policymakers should consider when crafting future energy savings policies.</w:t>
      </w:r>
    </w:p>
    <w:p>
      <w:r>
        <w:t>POSSIBLE 2025: "Biomass crops for sustainable energy in Europe: contributions to bioenergy, environment, and energy security" — https://doi.org/10.1080/17429145.2025.2564839</w:t>
      </w:r>
    </w:p>
    <w:p>
      <w:r>
        <w:t>Shared claim-specific concepts: article, energy, contribute; EU scope visible. This is a provisional connection, not an outcome finding.</w:t>
      </w:r>
    </w:p>
    <w:p>
      <w:r>
        <w:t>Available abstract (not full text): By using marginal lands and enhancing biodiversity, biomass crops can significantly contribute to global energy security and climate change mitigation. European policies underscore the significance of renewable energy sources, positioning biomass crops as a focal point in achieving energy and environmental sustainability objectives. The increasing global population and excessive energy consumption have resulted in a significant energy crisis and climate change, prompting a transition towards sustainable, renewable energy sources. Biomass crops present a promising solution through the generation of bioenergy, the reduction of greenhouse gas emissions, and the enhancement of carbon sequestration. Perennial biomass crops, such as miscanthus, cup plants, and switchgrass, have gained popularity in Europe because of their high biomass yield and quality. These crops also provide ecosystem services, such as soil nutrient cycling. The utilization of biomass crops as raw materials for biofuels and phytochemicals further increases their attractiveness for both farmers and society, which are suitable for growing on marginal land with low inputs. Nonetheless, most of these crops encounter challenges from abiotic stresses, such as drought and heavy metal pollution, which can hinder their growth and productivity. Understanding the mechanisms by which biomass crops tolerate these stresses is e</w:t>
      </w:r>
    </w:p>
    <w:p>
      <w:r>
        <w:t>POSSIBLE 2025: Renewable Energy, Sustainable Business Models, and Decarbonization in the European Union: Comparative Analysis of Corporate Sustainability Reports — https://doi.org/10.3390/su17083646</w:t>
      </w:r>
    </w:p>
    <w:p>
      <w:r>
        <w:t>Shared claim-specific concepts: article, five, energy; EU scope visible. This is a provisional connection, not an outcome finding.</w:t>
      </w:r>
    </w:p>
    <w:p>
      <w:r>
        <w:t>Available abstract (not full text): The purpose of this article is to investigate the development of sustainable business models (SBMs) of renewable energy companies. To assess the degree of alignment with the European Union Taxonomy for sustainable activities (Regulation 2020/852), the European Green Deal, and the Sustainable Development Goals of five renewable energy companies—Ørsted, Engie, Vattenfall, Iberdrola, and Enel—we have used their sustainability reports from 2023. We have analyzed how each company contributes to the EU climate targets and strategy to achieve a 55% reduction in greenhouse gas emissions by 2030 and net zero by 2050. The results showed the challenges faced by each company in switching from traditional fossil fuel models to renewable models. Due to regulatory constraints and different organizational structures, each company has adopted a specific SBM with respect to power generation and the green transition. The advantages and disadvantages of these SBMs were identified and described comparatively to help regulators, policymakers, and industry associations improve sustainability reporting for the energy sector.</w:t>
      </w:r>
    </w:p>
    <w:p>
      <w:r>
        <w:t>POSSIBLE 2024: Climate, Energy and Security: The New Social Contract of Europe and Spain — https://doi.org/10.52783/pst.1914</w:t>
      </w:r>
    </w:p>
    <w:p>
      <w:r>
        <w:t>Shared claim-specific concepts: article, five, energy, presented; EU scope visible. This is a provisional connection, not an outcome finding.</w:t>
      </w:r>
    </w:p>
    <w:p>
      <w:r>
        <w:t>Available abstract (not full text): In the current context of growing climate instability and geopolitical tensions, the article addresses the critical nexus between climate change, energy security and governance as the basis for a new social contract in Europe and Spain. The approach is based on a central premise: the energy transition and the fight against climate change cannot be addressed in isolation, but must be integrated into a common strategic vision that combines sustainability, social resilience and political autonomy (Mazurier et al., 2020). The work is structured around five thematic axes. First, the conceptual framework of the link between climate and security is examined from the academic literature, highlighting the role of climate change as a risk multiplier (Barnett &amp; Adger, 2007) and the complexity of multilevel governance (Keohane &amp; Victor, 2011). Secondly, the European regulatory framework is analysed, especially the European Green Deal and the Strategic Compass, as pillars that redefine security in integrated terms: energy, climate and civil. Thirdly, the Spanish case is contextualised, emphasising its high energy dependence and climate vulnerability, but also its potential to lead a transition from the local level with renewable energies and decentralisation. Fourthly, the cooperation mechanisms between the EU and Spain are presented, such as electricity interconnections, green hydrogen all</w:t>
      </w:r>
    </w:p>
    <w:p>
      <w:r>
        <w:t>POSSIBLE 2024: Renewable energy transition in Europe in the context of renewable energy transition processes in the world. A review — https://doi.org/10.1016/j.heliyon.2024.e40997</w:t>
      </w:r>
    </w:p>
    <w:p>
      <w:r>
        <w:t>Shared claim-specific concepts: article, energy; EU scope visible. This is a provisional connection, not an outcome finding.</w:t>
      </w:r>
    </w:p>
    <w:p>
      <w:r>
        <w:t>Available abstract (not full text): Both the global and European energy sectors have been undergoing a deep transition for several years, associated with a reduction in the overall share of conventional coal-based energy in favor of new technologies, especially energy from renewable sources (RES). This transition is moving from centralized production towards distributed technologies and from providing only energy to end users towards combining innovative products and services with it. Electricity consumers are becoming prosumers connected to the grid and generating an increasing amount of energy. The original goal of decision-makers was to stop global warming and improve air quality. After Russia's aggression of Ukraine in 2022, the EU transition efforts accelerated, and concerns about the climate were joined by issues related to energy security. After the painful experiences of the last several months, Europe wants to become independent from energy raw materials and their unstable suppliers as soon as possible, securing markets against price fluctuations, blackmail and unfair practices of some sellers. The aim of the article is to describe the current situation of energy and heat production from RES in selected countries in the aspect of contemporary energy transition (ET) processes. The achievement of the goal made it possible to present the European RES market in 2022, discuss the actions taken by European cou</w:t>
      </w:r>
    </w:p>
    <w:p>
      <w:r>
        <w:t>POSSIBLE 2024: How have the European Union countries approached the Europe 2020 targets? — https://doi.org/10.1080/27684520.2024.2378171</w:t>
      </w:r>
    </w:p>
    <w:p>
      <w:r>
        <w:t>Shared claim-specific concepts: article, five, energy; EU scope visible. This is a provisional connection, not an outcome finding.</w:t>
      </w:r>
    </w:p>
    <w:p>
      <w:r>
        <w:t>Available abstract (not full text): .We consider the headline indicators of the Europe 2020 agenda for the European Union countries for several years of the period 2010–2019 and their own national targets for these indicators. The indicators belong to five thematic areas: employment; education; research, development, and innovation; poverty and social exclusion; climate change; and energy. The main objective of this article is to analyze the dynamics and evolution of the EU countries and the Agenda Europe 2020 indicators over the period, taking into account the relations between the indicators for the EU countries along the years. In order to analyze the different data tables, we have used a three-way data methodology, the STATIS methodology. The results obtained show that the countries of the European Union as a whole have made progress towards the global targets set for the different indicators, with some countries making more significant progress than others. The indicators related to research, development, and innovation, as well as climate change and energy, are the ones where the most improvement is needed. The targets set individually for each country, less demanding for some and more daring for others, were generally already achieved in 2019 or are very close to being achieved.</w:t>
      </w:r>
    </w:p>
    <w:p>
      <w:r>
        <w:t>POSSIBLE 2023: Energy Economic Development in Europe — https://doi.org/10.3390/books978-3-0365-7112-6</w:t>
      </w:r>
    </w:p>
    <w:p>
      <w:r>
        <w:t>Shared claim-specific concepts: energy;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Energy Transition and the Economy: A Review Article — https://doi.org/10.3390/en16072965</w:t>
      </w:r>
    </w:p>
    <w:p>
      <w:r>
        <w:t>Shared claim-specific concepts: article, energy, discussion, direction; EU scope not established. This is a provisional connection, not an outcome finding.</w:t>
      </w:r>
    </w:p>
    <w:p>
      <w:r>
        <w:t>Available abstract (not full text): The global energy sector is in a period of transition, during which time it is expected that renewable and low-carbon energy sources, such as wind and solar, will replace traditional fossil fuels, including oil, gas, and coal. The energy transition is happening not only to limit the environmental impact of fossil fuel production and consumption but also to ensure energy security, reliability, access, affordability, and sustainability. The importance of the energy transition has been amplified by recent events, notably the Russian-Ukraine conflict. Economic, financial, and trade sanctions against Russia, and in particular its oil and gas industry, have forced countries to find new suppliers in the short term, but also to investigate new and more sustainable sources to guarantee long-term energy security. Given the importance of energy, it is perhaps not unexpected that there is a considerable body of recent academic literature, particularly over the last 4–5 years, studying what industries, consumers, governments, and markets can do to help bring about a faster energy transition. In this paper, we provide a review of the literature that pertains to the economic aspects of the energy transition. While our initial search of the literature is targeted at uncovering all relevant articles on the subject, we focus most of our discussion on the most influential articles in prominent jo</w:t>
      </w:r>
    </w:p>
    <w:p>
      <w:r>
        <w:t>POSSIBLE 2023: A methodology to characterize energy consumption in small and medium-sized enterprises at national level in European countries — https://doi.org/10.1007/s10098-023-02606-z</w:t>
      </w:r>
    </w:p>
    <w:p>
      <w:r>
        <w:t>Shared claim-specific concepts: article, five, energy; EU scope visible. This is a provisional connection, not an outcome finding.</w:t>
      </w:r>
    </w:p>
    <w:p>
      <w:r>
        <w:t xml:space="preserve">Available abstract (not full text): Abstract The 25 million of European small and medium-sized enterprises (SMEs) represent 99% of businesses and account for the two thirds of total employment and a half of Gross Domestic Product. Thus, SMEs are considered as the backbone of European’ economy. The crucial importance of energy efficiency and its potential in SMEs is worldwide recognized. However, the energy use and consumption information of SMEs are very limited, and the disaggregated data between SMEs and large enterprises are often not available at national or European level. The aim of this work is to present a methodology for the energy consumption characterization of European SMEs at national level. The proposed methodology, based on the combination of official national energy statistics and energy consumption data according to the European Energy Efficiency Directive Article 8, has been developed and applied to Italy and Austria. Preliminary results show significant differences in the relative weight of SMEs’ energy consumption between the two countries mainly due to their specific productive structures. The application of this methodology to the available data on further five European countries provides useful insights on the impact of different national approaches to comply with Art.8. This methodology shows that harmonizing the different strategies to monitor energy audits obligation would significantly </w:t>
      </w:r>
    </w:p>
    <w:p>
      <w:r>
        <w:t>POSSIBLE 2023: Exploring pathways to 100% renewable energy in European industry — https://doi.org/10.1016/j.energy.2023.126687</w:t>
      </w:r>
    </w:p>
    <w:p>
      <w:r>
        <w:t>Shared claim-specific concepts: energy; EU scope visible. This is a provisional connection, not an outcome finding.</w:t>
      </w:r>
    </w:p>
    <w:p>
      <w:r>
        <w:t>Available abstract (not full text):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r>
        <w:t>POSSIBLE 2022: Energy and the Economy in Europe — https://doi.org/10.1007/978-3-030-86884-0_36</w:t>
      </w:r>
    </w:p>
    <w:p>
      <w:r>
        <w:t>Shared claim-specific concepts: five, energy, important; EU scope visible. This is a provisional connection, not an outcome finding.</w:t>
      </w:r>
    </w:p>
    <w:p>
      <w:r>
        <w:t>Available abstract (not full text): Abstract Europe’s energy landscape is characterized by a great heterogeneity due to differences in terms of population, economy, energy resources (availability of different energy sources) and differing policies in favor or against specific energy sources. Over the decades, the European energy mix has undergone important transformations. The EU set an energy policy framework based on three pillars (security of supply, competitiveness and sustainability) with the goal to address three different priorities: competitiveness (affordable prices), security (of energy supply) and sustainability (clean energy). These three pillars appear to pursue contradictory goals, especially in the short term, but they are seen as converging in the longer term. This chapter aims to analyze how these different objectives have been key drivers of the European energy policy and economics. To illustrate this, the authors also present five case studies: the United Kingdom, Italy, France, Germany and Poland. Lastly, the chapter presents the “European Green Deal”, whose ultimate goal is to reach carbon-neutrality by 2050. The chapter analyzes how a climate-neutrality goal requires a substantial transformation of the EU economy, which comes with some internal and external frictions.</w:t>
      </w:r>
    </w:p>
    <w:p>
      <w:pPr>
        <w:pStyle w:val="Heading2"/>
      </w:pPr>
      <w:r>
        <w:t>Future Low-Carbon Transport Scenarios: Practice Theory-Based Visioning for Backcasting Studies</w:t>
      </w:r>
    </w:p>
    <w:p>
      <w:r>
        <w:t>Original source (2021): https://doi.org/10.3390/su14010074</w:t>
      </w:r>
    </w:p>
    <w:p>
      <w:r>
        <w:t>Original wording (abstract; indexed_source_text_not_full_document_verified): The visioning exercise resulted in the development of four different scenarios: the business-as-usual scenario and three alternative scenarios for transport in 2050 in Malta; High-Tech Mobility (with a focus on clean technology); Local Mobility (with more local travel and reducing the need to travel over longer distances); and Green and Active Mobility (where active forms of travel are prioritised over motorised forms of transport). The visioning phase, which involves the construction of a set of scenarios describing alternative futures, is the first phase in backcasting, and engaging different stakeholders during the visioning phase is considered an important aspect in transport studies.</w:t>
      </w:r>
    </w:p>
    <w:p>
      <w:r>
        <w:t>POSSIBLE 2026: Imaginaries of European Technology Frontrunners : Towards the Silicon Valley Vision or the European Dream? — https://openalex.org/W7204372713</w:t>
      </w:r>
    </w:p>
    <w:p>
      <w:r>
        <w:t>Shared claim-specific concepts: exercise, different, three, alternative, technology, over; EU scope visible. This is a provisional connection, not an outcome finding.</w:t>
      </w:r>
    </w:p>
    <w:p>
      <w:r>
        <w:t>Available abstract (not full text): This dissertation examines the development of the platform society and explores how European technology and platform company leaders imagine society and democracy at the age of platformization. Platformization is a process akin to industrialization or electrification that refers to multifaceted transformation of globalized societies where everyday functions increasingly take place on digital platforms. Although the global platform infrastructure is largely operated by the American platforms, the European technology and platform leaders are important figures in operating sectoral platforms in the European continent. Also in recent years the debate about European technological sovereignty has been intensifying putting more emphasis on the role of European companies and their abilities to take up this challenge of building European platform infrastructure with values aligning with the EU. The research sheds light on this question by examining what are the social imaginaries of European platforms and technology leaders and influencers and whether they align with the European lawmakers' visions. The American technology companies have been dominating the construction of the platform society and they share certain assumptions and ideologies which are grounded to the ethos of the American society in the form of libertarianism, Second World War and Cold War laboratories and their ambiti</w:t>
      </w:r>
    </w:p>
    <w:p>
      <w:r>
        <w:t>POSSIBLE 2025: Envisioning nature-positive futures for Europe: inspiring transformative change at the biodiversity nexus — https://doi.org/10.1080/26395916.2025.2561107</w:t>
      </w:r>
    </w:p>
    <w:p>
      <w:r>
        <w:t>Shared claim-specific concepts: visioning, different, three; EU scope visible. This is a provisional connection, not an outcome finding.</w:t>
      </w:r>
    </w:p>
    <w:p>
      <w:r>
        <w:t>Available abstract (not full text): Transformative change is required to secure a liveable future for people and nature. The Nature Futures Framework (NFF) is a heuristic tool to facilitate the creation of plural visions of nature positive futures that help build shared motivation for transformative change. Integrating nexus approaches with the NFF leverages the foundational role of biodiversity in supporting desirable outcomes across sectors and scales (i.e., the biodiversity nexus). In this paper, we bring these areas of biodiversity research together by co-creating plural visions of nature futures for Europe that make positive synergies within the biodiversity nexus explicit and consider transformative changes to the state of indirect drivers that enable them. In doing so, we aim to reflect upon methodological insights for future applications of the NFF. Nature futures for Europe were co-created with 26 participants representing diverse sectors and regions in Europe, resulting in three visions underpinned by different value perspectives: Dòigh Nàdair: The way of nature (Nature as Culture), NaturAll (Nature for Nature), and Return to Nature (Nature for Society). Subsequent analyses and a webinar enriched the narratives with possibilities for more synergistic nexus interactions. The findings highlight how plural visioning processes can generate distinct visions with positive nexus synergies enabled by unique ind</w:t>
      </w:r>
    </w:p>
    <w:p>
      <w:r>
        <w:t>POSSIBLE 2025: Envisioning Health Data Space 2040. Insights and Outcomes from the First VELES Visioning Pilot Workshop — https://doi.org/10.5281/zenodo.17989653</w:t>
      </w:r>
    </w:p>
    <w:p>
      <w:r>
        <w:t>Shared claim-specific concepts: visioning, exercise; EU scope visible. This is a provisional connection, not an outcome finding.</w:t>
      </w:r>
    </w:p>
    <w:p>
      <w:r>
        <w:t>Available abstract (not full text): VELES T6.3 Workshop 1 Report - February 2025 Scope of the report This report presents the process and results of the visioning co-creation workshop for the Health Data Space (HDS), organized under the VELES Excellence Hub project on 12 February 2025. The workshop represented the first phase of a foresight-inspired backcasting process exploring how a mature and inclusive HDS could function by the year 2040.The report is structured in two main parts. The first section provides the context of the workshop, outlining its objectives, participant composition, and methodological approach. The second section presents the consolidated results, including the validated and enriched use cases for each stakeholder category and the emerging visions of the future Health Data Space derived from these discussions.The outcomes serve as qualitative input for the continuation of Task 6.3, supporting the formulation of the Joint R&amp;I and Investment Strategic Agenda and Action Plan (D6.3) and the development of a shared vision for a trusted, interoperable, and citizen-centered Health Data Space. Context This workshop was conducted within the framework of the VELES Excellence Hub project – Strengthening the South-East Europe Smart Health Regional Excellence and Boosting the Innovation Potential, funded by the European Union’s Horizon Europe programme. The activities form part of Task 6.3 – Long-term C</w:t>
      </w:r>
    </w:p>
    <w:p>
      <w:r>
        <w:t>POSSIBLE 2025: From Reaction to Foresight: EUPHA’s vision for health security in Europe — https://doi.org/10.1093/eurpub/ckaf071</w:t>
      </w:r>
    </w:p>
    <w:p>
      <w:r>
        <w:t>Shared claim-specific concepts: different, local, over; EU scope visible. This is a provisional connection, not an outcome finding.</w:t>
      </w:r>
    </w:p>
    <w:p>
      <w:r>
        <w:t>Available abstract (not full text):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r>
        <w:t>POSSIBLE 2025: Visioning for transport practitioners — https://doi.org/10.1016/j.trip.2025.101483</w:t>
      </w:r>
    </w:p>
    <w:p>
      <w:r>
        <w:t>Shared claim-specific concepts: visioning, three, transport, need; EU scope not established. This is a provisional connection, not an outcome finding.</w:t>
      </w:r>
    </w:p>
    <w:p>
      <w:r>
        <w:t>Available abstract (not full text): • There is increasing transport sector interest in vision-led planning. • Developing a vision (visioning) is non-trivial if it is to be meaningful and useful. • Addressing commonly asked questions helps guide the visioning approach. • Sharing experience of visioning in practice is a basis for supporting others. With increasing transport sector interest in vision-led rather than forecast-led planning, there is a growing need to think about what a good vision looks like, how a vision can be created, who should be involved in creating a vision, and, ultimately, what value a vision subsequently has. In the field of foresight and scenario planning, futures can be categorised as one of three types: probable, possible, and preferred. Preferred futures, or visions, characterise what we choose to work towards. They involve clarity around values, with the evident implication that values can be contested. The paper draws upon existing literature alongside the experience of the authors to examine considerations in the development of visions – as part of the vision-led approach to transport planning. It is framed by a set of ten guiding questions that, when taken in sequence, help to chart a course through the process of developing a vision (so-called ‘visioning’). The interdependent nature of the questions within the set is also highlighted.</w:t>
      </w:r>
    </w:p>
    <w:p>
      <w:r>
        <w:t>POSSIBLE 2023: Pre-Visions: First Results of the EDEN Fellows Survey on the Futures of Learning — https://doi.org/10.5334/uproc.103</w:t>
      </w:r>
    </w:p>
    <w:p>
      <w:r>
        <w:t>Shared claim-specific concepts: exercise, technology; EU scope visible. This is a provisional connection, not an outcome finding.</w:t>
      </w:r>
    </w:p>
    <w:p>
      <w:r>
        <w:t>Available abstract (not full text): Technology is pervasive and intertwined in many aspects of modern life and society. The digital revolution that is sweeping the world has shown its potential in education during the Covid-19 pandemic. It is rapidly transforming the way students learn, and as a result, technology is expected to improve the face of education by making it more inclusive and accessible. In the framework of the EDEN Pre-Visions project, the EDEN fellows conducted a prospective study on the future trends of open and digital education in Europe in the next decade. 40 EDEN Fellows took part in an online survey launched in January 2023. In this paper, we present and analyse the first results of this exercise, describing the views of the experts on six dimensions: the European context evolution and socio-economic dynamics; EdTech research and development; EdTech practices; institutional digital transformation; societal impacts and implications; policies and regulations.</w:t>
      </w:r>
    </w:p>
    <w:p>
      <w:r>
        <w:t>POSSIBLE 2023: An empirical study on the effect of outdoor illumination and exercise intervention on Children’s vision — https://doi.org/10.3389/fpubh.2023.1270826</w:t>
      </w:r>
    </w:p>
    <w:p>
      <w:r>
        <w:t>Shared claim-specific concepts: exercise, different, reducing; EU scope not established. This is a provisional connection, not an outcome finding.</w:t>
      </w:r>
    </w:p>
    <w:p>
      <w:r>
        <w:t>Available abstract (not full text): Objective To explore the relationship between outdoor lighting and sports and the development of myopia, and to analyze the effects of outdoor lighting and exercise on the diopter of children with normal vision and myopia, so as to provide guidance for the prevention and treatment of myopia in children and adolescents in the future. Methods A total of 201 children were divided into two groups according to myopia or not. Each group was randomly divided into 4 groups: outdoor exercise group, outdoor control group, indoor exercise group and indoor control group. Among them, the outdoor exercise group and indoor exercise group received moderate and high intensity aerobic exercise 3 times a week for 60 min each time for 12 months, while the outdoor control group and indoor control group had normal study and life during the corresponding period of time. No additional exercise intervention. At the end of the experiment, the diopter of each group was compared. Results The diopter of all groups with normal vision and myopia decreased significantly after the experiment ( p &lt; 0.01). There were significant differences in diopter between outdoor exercise group and indoor control group ( p &lt; 0.01), between outdoor exercise group and indoor control group ( p &lt; 0.05), and between indoor exercise group and indoor control group ( p &lt; 0.01). There were significant differences in diopter between i</w:t>
      </w:r>
    </w:p>
    <w:p>
      <w:r>
        <w:t>POSSIBLE 2022: A Review on Computer Vision Technology for Physical Exercise Monitoring — https://doi.org/10.3390/a15120444</w:t>
      </w:r>
    </w:p>
    <w:p>
      <w:r>
        <w:t>Shared claim-specific concepts: exercise, technology, over, active; EU scope not established. This is a provisional connection, not an outcome finding.</w:t>
      </w:r>
    </w:p>
    <w:p>
      <w:r>
        <w:t>Available abstract (not full text): Physical activity is movement of the body or part of the body to make muscles more active and to lose the energy from the body. Regular physical activity in the daily routine is very important to maintain good physical and mental health. It can be performed at home, a rehabilitation center, gym, etc., with a regular monitoring system. How long and which physical activity is essential for specific people is very important to know because it depends on age, sex, time, people that have specific diseases, etc. Therefore, it is essential to monitor physical activity either at a physical activity center or even at home. Physiological parameter monitoring using contact sensor technology has been practiced for a long time, however, it has a lot of limitations. In the last decades, a lot of inexpensive and accurate non-contact sensors became available on the market that can be used for vital sign monitoring. In this study, the existing research studies related to the non-contact and video-based technologies for various physiological parameters during exercise are reviewed. It covers mainly Heart Rate, Respiratory Rate, Heart Rate Variability, Blood Pressure, etc., using various technologies including PPG, Video analysis using deep learning, etc. This article covers all the technologies using non-contact methods to detect any of the physiological parameters and discusses how technology h</w:t>
      </w:r>
    </w:p>
    <w:p>
      <w:r>
        <w:t>POSSIBLE 2022: LONG-TERM VISION FOR RURAL DEVELOPMENT AND CRITICAL ENABLERS FOR ACHIEVING IT - CASE OF MAZOWIECKIE REGION (POLAND) — https://doi.org/10.15544/rd.2021.060</w:t>
      </w:r>
    </w:p>
    <w:p>
      <w:r>
        <w:t>Shared claim-specific concepts: visioning, exercise, local, green; EU scope visible. This is a provisional connection, not an outcome finding.</w:t>
      </w:r>
    </w:p>
    <w:p>
      <w:r>
        <w:t>Available abstract (not full text): Rural areas face significant challenges related to climate and demographic changes as well as green transformation of the economy. First step for such a transition is a long-term vision. Within the SHERPA projects multi-actor platforms were created and they discussed the vision for 2040 for their territories. This participatory process included representatives of science, society, and policy. The participants discussed development challenges, vision and enabling factors for achieving the desirable vision. The aim of the paper is to compare the results of the visioning exercise conducted by the Polish platform located in Mazowieckie region with the results of the other ones and the vision prepared by the European Commission. The results show that the characteristics of a desirable future vision are shared throughout the EU and call for vibrant rural communities and rural attractiveness. Improving availability and accessibility of public and private services as well as digitalization and diversification of rural economy accompanied by a sustainable use of natural resources are key elements of vibrance and attractiveness of rural areas. To achieve this vision not only financial support and more efficient public policies are needed but also greater empowerment of local communities is essential.</w:t>
      </w:r>
    </w:p>
    <w:p>
      <w:r>
        <w:t>POSSIBLE 2022: A Manifesto for exercise science – a vision for improving the health of the public and planet — https://doi.org/10.1080/02640414.2022.2049083</w:t>
      </w:r>
    </w:p>
    <w:p>
      <w:r>
        <w:t>Shared claim-specific concepts: exercise, three, need; EU scope not established. This is a provisional connection, not an outcome finding.</w:t>
      </w:r>
    </w:p>
    <w:p>
      <w:r>
        <w:t>Available abstract (not full text): In this manifesto, we make the case that Exercise Science can and must do more to improve the health of the public and the planet. Post pandemic, our vision for Exercise Science is one of a maturing scientific discipline reaching outwards from a base of strong empirical evidence to have a profound and sustained positive global impact on health. In each of the three main areas of the discipline - research, teaching, and professional practice - a new and distinctive approach is needed. We propose 12 points of action, in no particular order, for a). quality, rigour, and professional standing, and b). reach, relevance, and public engagement and make numerous suggestions for action and change. We encourage the teachers, researchers and practitioners of Exercise Science to consider and act on these recommendations. We hope that this manifesto can help create a shared sense of purpose amongst the global Exercise Science community and further the principles of equality, diversity and inclusion. To act on these principles, we need to cultivate a discipline that encourages more women, people who experience racism and other forms of discrimination, and people with a disability to become involved in the discipline.</w:t>
      </w:r>
    </w:p>
    <w:p>
      <w:pPr>
        <w:pStyle w:val="Heading2"/>
      </w:pPr>
      <w:r>
        <w:t>Future Projections of Heat Mortality Risk for Major European Cities</w:t>
      </w:r>
    </w:p>
    <w:p>
      <w:r>
        <w:t>Original source (2021): https://doi.org/10.1175/wcas-d-20-0142.1</w:t>
      </w:r>
    </w:p>
    <w:p>
      <w:r>
        <w:t>Original wording (abstract; indexed_source_text_not_full_document_verified): On average, our results indicate that the mortality risk trend is almost twice as high in all three countries for the RCP8.5 scenario compared to RCP2.6. Our results suggest a significant increase of heat mortality in the future, especially in Spain.</w:t>
      </w:r>
    </w:p>
    <w:p>
      <w:r>
        <w:t>POSSIBLE 2026: Trends in mortality and disability from ischaemic stroke in Europe, 1990-2023 — https://doi.org/10.1093/esj/aakag082</w:t>
      </w:r>
    </w:p>
    <w:p>
      <w:r>
        <w:t>Shared claim-specific concepts: average, mortality, all, countries; EU scope visible. This is a provisional connection, not an outcome finding.</w:t>
      </w:r>
    </w:p>
    <w:p>
      <w:r>
        <w:t>Available abstract (not full text): INTRODUCTION: The burden of ischaemic stroke in Europe has evolved over recent decades, shaped by changes in prevention, acute care and population ageing. Understanding long-term trends in mortality and disability is essential for guiding policy and service planning. PATIENTS AND METHODS: Using Global Burden of Disease (GBD) 2023 estimates, we analysed age-standardised disability-adjusted life years (DALYs), years of life lost (YLLs) and years lived with disability (YLDs) for ischaemic stroke across all European countries from 1990 to 2023. We estimated country-specific annual percentage changes (EAPCs), assessed non-linear trajectories, examined shifts in the fatal vs non-fatal composition of DALYs and synthesised trends using mixed-effects models and descriptive meta-analytic pooling. RESULTS: Disability-adjusted life year rates declined in every European country, with the steepest reductions in Central and Western Europe and more modest improvements in parts of Eastern and Southeastern Europe. Years of life lost declines closely paralleled DALY trends, indicating that falling premature mortality was the main driver of the overall reduction. Years lived with disability trends were smaller and more heterogeneous across countries. Mixed-effects modelling indicated average European EAPCs of -3.40% (95% CI, -3.74 to -3.05) for DALYs, -1.26% (-1.43 to -1.09) for YLLs and -3.86% (-</w:t>
      </w:r>
    </w:p>
    <w:p>
      <w:r>
        <w:t>POSSIBLE 2026: Drought tolerance and mortality risk of European beech — https://doi.org/10.1016/j.agrformet.2026.111541</w:t>
      </w:r>
    </w:p>
    <w:p>
      <w:r>
        <w:t>Shared claim-specific concepts: average, mortality, high, all, increase, heat; EU scope visible. This is a provisional connection, not an outcome finding.</w:t>
      </w:r>
    </w:p>
    <w:p>
      <w:r>
        <w:t xml:space="preserve">Available abstract (not full text): Little is known about the drought-induced mortality risk for most tree species. This makes it difficult to predict their future distribution. Here, we quantified the drought tolerance and mortality risk of the economically important European beech (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 soil ). At one site, the time series also included soil hydraulic conductivity (K), root water uptake (RWU), changes in stem radius, and dendrometer-derived leaf water potential (Ψ leaf ).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 soil was more important for beech decline than VPD, heat, and excessive radiation. An average Ψ soil of −0.8 MPa in the root zone was identified as the mortality threshold for all sites, as beyond this threshold, RWU ceased due to </w:t>
      </w:r>
    </w:p>
    <w:p>
      <w:r>
        <w:t>POSSIBLE 2026: Drought tolerance and mortality risk of European beech — https://doi.org/10.16904/envidat.805</w:t>
      </w:r>
    </w:p>
    <w:p>
      <w:r>
        <w:t>Shared claim-specific concepts: average, mortality, high, all, increase, heat; EU scope visible. This is a provisional connection, not an outcome finding.</w:t>
      </w:r>
    </w:p>
    <w:p>
      <w:r>
        <w:t>Available abstract (not full text): Little is known about the drought-induced mortality risk for most tree species. This makes it difficult to predict their future distribution. Here, we quantified the drought tolerance and mortality risk of the economically important European beech (Fagus sylvatica L.) by analysing its response to decreasing water potentials in the soil-plant-atmosphere continuum. From 2014 to 2023, we measured ecohydrological parameters at eight forest sites covering a large part of the species' ecological niche. The hourly time series at all sites included temperature, vapor pressure deficit (VPD), and soil water potential (Ψsoil). At one site, the time series also included soil hydraulic conductivity (K), root water uptake (RWU), changes in stem radius, and dendrometer-derived leaf water potential (Ψleaf). Additionally, we determined the annual mortality rate of beech trees at all sites. At sites with a positive climatic water balance, beech mortality only occurred in soils with a low water storage capacity. However, at sites with a negative climatic water balance, beech trees also died in soils with high storage capacities. Mortality dynamics indicated that Ψsoil was more important for beech decline than VPD, heat, and excessive radiation. An average Ψsoil of -0.8 MPa in the root zone was identified as the mortality threshold for all sites, as beyond this threshold, RWU ceased due to extreme</w:t>
      </w:r>
    </w:p>
    <w:p>
      <w:r>
        <w:t>POSSIBLE 2026: The impact of heat and cold on mortality and life expectancy in Europe, 2015–2024 — https://doi.org/10.1016/j.ehb.2026.101607</w:t>
      </w:r>
    </w:p>
    <w:p>
      <w:r>
        <w:t>Shared claim-specific concepts: average, indicate, mortality, countries, increase, heat; EU scope visible. This is a provisional connection, not an outcome finding.</w:t>
      </w:r>
    </w:p>
    <w:p>
      <w:r>
        <w:t>Available abstract (not full text): This paper analyzes the effects of temperatures on mortality and life expectancy using data on 40 million deaths in 28 European countries between 2015 and 2024. The findings indicate that both cold and hot temperatures increase mortality rates, with cold having a stronger overall effect. Heat-related mortality tends to be immediate, whereas cold-related effects are more delayed and prolonged. Climate and income are key moderators: cold-related mortality is higher in warmer regions, heat-related mortality is higher in colder regions, and the effects of cold are stronger at lower income levels. The study also shows that the number of deaths in 2015-2024 would have been higher under the climate conditions of 1950-1979. The shift in the temperature distribution increased mortality during the warmest months but reduced mortality during the colder months, yielding a net decrease of more than 900,000 deaths over the 2015-2024 period. This reduction corresponds to an average increase in life expectancy at birth of 0.195 years.</w:t>
      </w:r>
    </w:p>
    <w:p>
      <w:r>
        <w:t>POSSIBLE 2025: Association between Wealth and Mortality in the United States and Europe — https://doi.org/10.1056/nejmsa2408259</w:t>
      </w:r>
    </w:p>
    <w:p>
      <w:r>
        <w:t>Shared claim-specific concepts: mortality, all, countries; EU scope visible. This is a provisional connection, not an outcome finding.</w:t>
      </w:r>
    </w:p>
    <w:p>
      <w:r>
        <w:t>Available abstract (not full text): BACKGROUND: Amid growing wealth disparity, we have little information on how health among older Americans compares with that among older Europeans across the distribution of wealth. METHODS: We performed a longitudinal, retrospective cohort study involving adults 50 to 85 years of age who were included in the Health and Retirement Study and the Survey of Health, Ageing, and Retirement in Europe between 2010 and 2022. Wealth quartiles were defined according to age group and country, with quartile 1 comprising the poorest participants and quartile 4 the wealthiest. Mortality and Kaplan-Meier curves were estimated for each wealth quartile across the United States and 16 countries in northern and western, southern, and eastern Europe. We used Cox proportional-hazards models that included adjustment for baseline covariates (age group, sex, marital status [ever or never married], educational level [any or no college education], residence [rural or nonrural], current smoking status [smoking or nonsmoking], and absence or presence of a previously diagnosed long-term condition) to quantify the association between wealth quartile and all-cause mortality from 2010 through 2022 (the primary outcome). RESULTS: Among 73,838 adults (mean [±SD] age, 65±9.8 years), a total of 13,802 (18.7%) died during a median follow-up of 10 years. Across all participants, greater wealth was associated with l</w:t>
      </w:r>
    </w:p>
    <w:p>
      <w:r>
        <w:t>POSSIBLE 2024: Sex Disparities in Ischemic Heart Disease Mortality in Europe — https://doi.org/10.1016/j.jacadv.2024.101252</w:t>
      </w:r>
    </w:p>
    <w:p>
      <w:r>
        <w:t>Shared claim-specific concepts: average, mortality, countries, compared, significant; EU scope visible. This is a provisional connection, not an outcome finding.</w:t>
      </w:r>
    </w:p>
    <w:p>
      <w:r>
        <w:t>Available abstract (not full text): Background: Ischemic heart disease (IHD) is the leading cause of death in the European Union (EU). Understanding variations by sex, income, and countries can help in tailoring effective public health policies. Objectives: The purpose of the study was to examine trends in sex differences in IHD prevalence and prognosis within the EU. Methods: We conducted a cross-sectional analysis of IHD using the Global Burden of Disease Study Database to examine trends in sex-specific age-standardized mortality rate (ASMR)-to-age-standardized prevalence rate (ASPR) ratio (ASMR-to-ASPR index) per 100,000 inhabitants/year across the EU from 2005 to 2019. Results: Men showed higher ASMR than women. However, the ASMR-to-ASPR index was notably higher in women than in men indicating that women who develop IHD have a higher risk of dying from the disease compared with their male counterparts. Despite a significant decline in ASMR across EU from 2005 to 2019 both among women (from 1.752 to 1.662) and men (from 3.372 to 3.135), sex disparities in ASMR-to-ASPR index (EU average: 4.96% vs 4.34%) persisted (with a women-to-men ratio ranging from 1.05 to 1.44). No significant relationship was found between country-specific ASMR or country income status and ASMR-to-ASPR index. Examples include Romania, which displayed higher ASMR (men: 219.87, women: 143.54) compared with Germany (men: 107.22, women: 60.76</w:t>
      </w:r>
    </w:p>
    <w:p>
      <w:r>
        <w:t>POSSIBLE 2024: Exploring the paradoxical nature of cold temperature mortality in Europe — https://doi.org/10.1038/s41598-024-53675-z</w:t>
      </w:r>
    </w:p>
    <w:p>
      <w:r>
        <w:t>Shared claim-specific concepts: average, mortality, high, countries; EU scope visible. This is a provisional connection, not an outcome finding.</w:t>
      </w:r>
    </w:p>
    <w:p>
      <w:r>
        <w:t>Available abstract (not full text): Abstract While low winter temperatures are associated with increased mortality, this phenomenon has been suggested to be most severe in regions with seemingly mild winters. The study aimed to establish a temperature-based formula that could elucidate the previously ambiguous regional differences in vulnerability to low temperature. European weekly mortality data (2000–2019) were matched with meteorological data to determine for each region vulnerability to temperature decrease and the optimal temperature with lowest mortality. Regression models were developed to generalize and explain these findings considering regional temperature characteristics. Optimal temperature could be predicted based on local average summer temperature (R2 = 85.6%). Regional vulnerability to temperature decrease could be explained by combination of winter and summer temperatures (R2 = 86.1%). Regions with warm winters and cold summers showed the highest vulnerability to decrease of temperature during winter. Contrary to theories about economic disparities Eastern Europe exhibited resistance comparable to Scandinavia. The southern edges of Europe demonstrated serious low temperature vulnerability to decreased temperatures, even if temperature was relatively high around 20 °C. This suggests that the observed connection primarily reflects the modulation of the length of respiratory virus infection seasons</w:t>
      </w:r>
    </w:p>
    <w:p>
      <w:r>
        <w:t>POSSIBLE 2024: Burden of intracerebral haemorrhage in Europe: forecasting incidence and mortality between 2019 and 2050 — https://doi.org/10.1016/j.lanepe.2024.100842</w:t>
      </w:r>
    </w:p>
    <w:p>
      <w:r>
        <w:t>Shared claim-specific concepts: average, mortality, high, all, three, countries;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2024: Mortality trends in idiopathic pulmonary fibrosis in Europe between 2013 and 2018 — https://doi.org/10.1183/13993003.02080-2023</w:t>
      </w:r>
    </w:p>
    <w:p>
      <w:r>
        <w:t>Shared claim-specific concepts: average, mortality, countries, suggest; EU scope visible. This is a provisional connection, not an outcome finding.</w:t>
      </w:r>
    </w:p>
    <w:p>
      <w:r>
        <w:t>Available abstract (not full text): BACKGROUND: Previous research has suggested that the incidence of idiopathic pulmonary fibrosis (IPF) is increasing in the UK and elsewhere. The aim of this study is to provide contemporary estimates of IPF mortality rates across 24 European Union (EU) countries from 2013 to 2018, using death certificate data from the European Statistics Institution (EUROSTAT) database. METHODS: We extracted country data for IPF (International Classification of Diseases, 10th Revision: code J84.1) mortality from the EUROSTAT dataset. We calculated country-, age- and sex-specific death registration rates between 2013 and 2018. We used direct standardisation to compare rates between countries. We calculated annual trends in mortality rate ratios using a segmented regression model. RESULTS: The overall standardised mortality rate in 24 EU countries during this period was 3.90 (95% CI 3.80-3.90) per 100 000 person-years, with the rate rising from 3.70 in 2013 to 4.00 in 2018 (average annual percent change 1.74%, 95% CI 0.91-2.59%). We observed substantial inter-country differences, with the highest rates detected in Ireland, the UK and Finland, the lowest rate in Bulgaria, and middle rates in Germany, Greece, Italy, the Netherlands, Portugal and Slovenia. CONCLUSIONS: The IPF mortality rate is increasing across Europe. There are currently more than 17 000 deaths recorded from IPF each year in Europ</w:t>
      </w:r>
    </w:p>
    <w:p>
      <w:r>
        <w:t>POSSIBLE 2024: Care interruptions and mortality among adults in Europe and North America — https://doi.org/10.1097/qad.0000000000003924</w:t>
      </w:r>
    </w:p>
    <w:p>
      <w:r>
        <w:t>Shared claim-specific concepts: mortality, compared; EU scope visible. This is a provisional connection, not an outcome finding.</w:t>
      </w:r>
    </w:p>
    <w:p>
      <w:r>
        <w:t>Available abstract (not full text): OBJECTIVE: Interruptions in care of people with HIV (PWH) on antiretroviral therapy (ART) are associated with adverse outcomes, but most studies have relied on composite outcomes. We investigated whether mortality risk following care interruptions differed from mortality risk after first starting ART. DESIGN: Collaboration of 18 European and North American HIV observational cohort studies of adults with HIV starting ART between 2004 and 2019. METHODS: Care interruptions were defined as gaps in contact of ≥365 days, with a subsequent return to care (distinct from loss to follow-up), or ≥270 days and ≥545 days in sensitivity analyses. Follow-up time was allocated to no/preinterruption or postinterruption follow-up groups. We used Cox regression to compare hazards of mortality between care interruption groups, adjusting for time-updated demographic and clinical characteristics and biomarkers upon ART initiation or re-initiation of care. RESULTS: Of 89 197 PWH, 83.4% were male and median age at ART start was 39 years [interquartile range (IQR): 31-48)]. 8654 PWH (9.7%) had ≥1 care interruption; 10 913 episodes of follow-up following a care interruption were included. There were 6104 deaths in 536 334 person-years, a crude mortality rate of 11.4 [95% confidence interval (CI): 11.1-11.7] per 1000 person-years. The adjusted mortality hazard ratio (HR) for the postinterruption group wa</w:t>
      </w:r>
    </w:p>
    <w:p>
      <w:r>
        <w:t>POSSIBLE 2024: Inequalities in regional excess mortality and life expectancy during the COVID-19 pandemic in Europe — https://doi.org/10.1038/s41598-024-54366-5</w:t>
      </w:r>
    </w:p>
    <w:p>
      <w:r>
        <w:t>Shared claim-specific concepts: mortality, almost, all, three, increase; EU scope visible. This is a provisional connection, not an outcome finding.</w:t>
      </w:r>
    </w:p>
    <w:p>
      <w:r>
        <w:t>Available abstract (not full text): Using data for 201 regions (NUTS 2) in Europe, we examine the mortality burden of the COVID-19 pandemic and how the mortality inequalities between regions changed between 2020 and 2022. We show that over the three years of the pandemic, not only did the level of excess mortality rate change considerably, but also its geographical distribution. Focusing on life expectancy as a summary measure of mortality conditions, we find that the variance of regional life expectancy increased sharply in 2021 but returned to the pre-pandemic level in 2022. The 2021 increase was due to a much higher-than-average excess mortality in regions with lower pre-pandemic life expectancy. While the life expectancy inequality has returned to its pre-pandemic level in 2022, the observed life expectancy in almost all regions is far below that expected without the pandemic.</w:t>
      </w:r>
    </w:p>
    <w:p>
      <w:r>
        <w:t>POSSIBLE 2024: Solar Alpha Particle Radiation Increases Human Mortality – Examples from the Neoplasms Mortality in the Europe and Mediterranean — https://doi.org/10.34257/gjsfravol24is4pg21</w:t>
      </w:r>
    </w:p>
    <w:p>
      <w:r>
        <w:t>Shared claim-specific concepts: mortality, high, increase; EU scope visible. This is a provisional connection, not an outcome finding.</w:t>
      </w:r>
    </w:p>
    <w:p>
      <w:r>
        <w:t>Available abstract (not full text): A dangerous phenomenon for humanity is described. In the joint analysis of data from satellites in orbit around the Earth and from the health statistics source EUROSTAT, it became clear that, by some mechanism, flows of positively charged particles with high energy entering the Earth's orbit increase mortality on the planet's surface. The increase in mortality is in a band of maximum risk in the Northern Hemisphere, parallel to the Equator and bounded by the parallels of 30° and 50° north latitude. Examples are given for the European Union mortality from neoplasms, confirming the described phenomenon. A hypothetical mechanism based on observational evidence has been proposed, according to which this dangerous phenomenon is due to solar alpha particles of high energy sufficient to overcome the atmosphere's resistance and reach the Earth's surface in a limited area of maximum death impact.</w:t>
      </w:r>
    </w:p>
    <w:p>
      <w:pPr>
        <w:pStyle w:val="Heading2"/>
      </w:pPr>
      <w:r>
        <w:t>Future export markets of industrial wood construction – A qualitative backcasting study</w:t>
      </w:r>
    </w:p>
    <w:p>
      <w:r>
        <w:t>Original source (2021): https://doi.org/10.1016/j.forpol.2021.102480</w:t>
      </w:r>
    </w:p>
    <w:p>
      <w:r>
        <w:t>Original wording (abstract; indexed_source_text_not_full_document_verified):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w:t>
      </w:r>
    </w:p>
    <w:p>
      <w:r>
        <w:t>POSSIBLE 2026: Promising policy practices in PC-IC in LTC Person-Centred Integrated Long-Term Care for older adults in Europe — https://doi.org/10.5334/ijic.icic26505</w:t>
      </w:r>
    </w:p>
    <w:p>
      <w:r>
        <w:t>Shared claim-specific concepts: aim, identify, promising, pathways, current; EU scope visible. This is a provisional connection, not an outcome finding.</w:t>
      </w:r>
    </w:p>
    <w:p>
      <w:r>
        <w:t>Available abstract (not full text): Background: The demographic shift towards ageing populations across Europe has intensified the demand for person-centred, integrated long-term care (PC-I-LTC) for older adults with complex needs. Multimorbidity, frailty, and cognitive impairment contribute to care complexity, increasing the need for coordination between health and social services. PC-I-LTC initiatives have been developing in recent years across Europe and now constitute a diverse landscape of ecosystems that aim to implement common care principles within the specific constraints and affordances. To support improvements in PC-I-LTC, it is thus timely to inquire how do current initiatives perform on key dimensions of PC-I-LTC implementation, what promising policies and best practices can be transferred to new settings, and what areas can be identified as targets for improvement efforts? Within the European project BUILD, we are conducting a systematic mapping and evaluation of promising practices to support policymakers to enhance the quality of PC-I-LTC solutions, and their related governance and policies. Approach: We developed the BUILD self-assessment tool based on the SCIROCCO framework to evaluate PC-I-LTC initiatives. Informed by a comprehensive literature review of existing frameworks and evaluation tools, the tool assesses ecosystem performance The tool evaluates ecosystem performance across 13 key dimen</w:t>
      </w:r>
    </w:p>
    <w:p>
      <w:r>
        <w:t>POSSIBLE 2026: Identifying directions for improving the regulation of the circulation of high-technology innovations in the European Union — https://doi.org/10.15587/1729-4061.2026.362257</w:t>
      </w:r>
    </w:p>
    <w:p>
      <w:r>
        <w:t>Shared claim-specific concepts: promising, applied, well, current; EU scope visible. This is a provisional connection, not an outcome finding.</w:t>
      </w:r>
    </w:p>
    <w:p>
      <w:r>
        <w:t>Available abstract (not full text): This study examines a system of procedures and techniques for regulating relations that create, transfer, and implement high-tech innovations in the European Union, through the prism of the promising EUROPEAN INNOVATION ACT (EIA). The current means of identifying high-tech innovations in the European Union have been studied, as well as the prospects for their improvement when implementing the EIA. This work has found that the process of regulatory influence on innovation circulation in the EU is not uniform. It has been proven that the current model of regulatory influence in the EU is not focused on the proper identification of high-tech innovations. It also does not provide simplification or stimulation of their use but only has a general focus on the intensification of all innovations in the EU economy. It was determined that within the EU there is a need to improve the methods for regulating the circulation of high-tech innovations. A study of directions to reform the innovation ecosystem through the implementation of the EUROPEAN INNOVATION ACT has been conducted. The feasibility of forming a definition of high-tech innovation was substantiated. The necessity of registering the criteria for distinguishing high-tech innovation from its other varieties has been proven. The need for the formation of a holistic system of regulatory influence based on the life cycle (Innovation</w:t>
      </w:r>
    </w:p>
    <w:p>
      <w:r>
        <w:t>POSSIBLE 2026: Selecting Promising Soil Quality Indicators for Monitoring Soil Management Effects Based on 10 European Long‐Term Field Experiments — https://doi.org/10.1002/jpln.70068</w:t>
      </w:r>
    </w:p>
    <w:p>
      <w:r>
        <w:t>Shared claim-specific concepts: aim, identify, promising, well, current; EU scope visible. This is a provisional connection, not an outcome finding.</w:t>
      </w:r>
    </w:p>
    <w:p>
      <w:r>
        <w:t>Available abstract (not full text): ABSTRACT Background : Soil quality can be measured through soil quality indicators that reflect soil processes. Aim : The aim of this study was to (1) identify a limited set of soil quality indicators that are most sensitive to agricultural soil management and that are widely applicable regardless of pedo‐climatic conditions, and (2) link common analytical soil quality indicators to near‐infrared spectroscopy (NIRS) measurements as a potential high‐throughput approach to assess soil quality. Methods : We assessed the sensitivity of analytical, field, and visual soil quality indicators to tillage (conventional inversion vs. reduced) and organic matter addition (high vs. low) and their interaction with soil texture in 10 long term field experiment across pedo‐climatic zones in Europe. Results : Reduced tillage and high organic matter addition had a positive effect on soil quality parameters, consistent across different European pedo‐climatic zones. Total organic carbon, particulate organic carbon, plant available phosphorus and potassium, total nitrogen, microbial carbon and nitrogen, and penetration resistance were the most sensitive indicators and represent four soil functions: Organic matter cycling, nutrient cycling, habitat provisioning, soil structure maintenance. Total organic carbon and total nitrogen measured with NIRS were well correlated with their corresponding analyt</w:t>
      </w:r>
    </w:p>
    <w:p>
      <w:r>
        <w:t>POSSIBLE 2024: Beyond urban farm and community garden, a new typology of urban and peri‐urban agriculture in Europe — https://doi.org/10.1002/uar2.20056</w:t>
      </w:r>
    </w:p>
    <w:p>
      <w:r>
        <w:t>Shared claim-specific concepts: aim, promising, current; EU scope visible. This is a provisional connection, not an outcome finding.</w:t>
      </w:r>
    </w:p>
    <w:p>
      <w:r>
        <w:t>Available abstract (not full text): Abstract Today, many cites in Europe have rediscovered urban and peri‐urban agriculture (UA) as a contributor to a more healthy and sustainable urban environment. However, UA has not yet unfolded its potential due to gaps in knowledge, expertise, and advocacy. A clear typology is instrumental in identifying, understanding, and acknowledging the potential of UA at different levels of policy making. Although a number of typologies are used in practice and in literature, an overarching typology that steps beyond the local and national perspective, and that includes promising innovations like vertical farming, is lacking. The aim of this paper is to offer such a typology of urban agriculture in Europe. Based on interviews with experts in the field representing 11 European countries ( n = 16) and an online survey on characteristics and dimensions of UA initiatives ( n = 112; representing 18 countries), our typology exists of six different UA types: (1) urban farm, (2) community park, (3) do‐it‐yourself garden/farm, (4) zero acreage farm, (5) social farm, and (6) community garden. Although this paper presents these types as distinctive entities, we stress that a typology is inevitably a simplification of reality, as in real‐life there is an overlap in the proposed types. Moreover, seeing that the field of modern UA is highly dynamic, the typology is only a snapshot of current‐day UA.</w:t>
      </w:r>
    </w:p>
    <w:p>
      <w:r>
        <w:t>POSSIBLE 2024: A scoping review of human health co-benefits of forest-based climate change mitigation in Europe — https://doi.org/10.1016/j.envint.2024.108593</w:t>
      </w:r>
    </w:p>
    <w:p>
      <w:r>
        <w:t>Shared claim-specific concepts: identify, promising, pathways; EU scope visible. This is a provisional connection, not an outcome finding.</w:t>
      </w:r>
    </w:p>
    <w:p>
      <w:r>
        <w:t xml:space="preserve">Available abstract (not full text):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r>
        <w:t>POSSIBLE 2024: Review on the contribution of farming practices and technologies towards climate-smart agricultural outcomes in a European context — https://doi.org/10.1016/j.atech.2024.100413</w:t>
      </w:r>
    </w:p>
    <w:p>
      <w:r>
        <w:t>Shared claim-specific concepts: aim, promising, well; EU scope visible. This is a provisional connection, not an outcome finding.</w:t>
      </w:r>
    </w:p>
    <w:p>
      <w:r>
        <w:t>Available abstract (not full text): The aim of this review was to provide an overview of existing farming practices and technologies in Europe by assessing their contribution to climate-smart agricultural (CSA) outcomes. Following the PRISMA protocol, 110 final selected studies were scrutinized. Altogether 74 different practices and technologies were identified. Using an inductive approach, the identified practices and technologies were categorized, and their potential contribution towards contextualized CSA outcomes—productivity, resilience, GHG mitigation, biodiversity improvement, animal welfare support, water and energy use efficiency—was assessed. Among CSA farming practices, this review highlighted legume-based cover crops, crop rotation, intercropping, and crop diversification as having promising potential to achieve CSA outcomes. Among CSA technologies, precision fertilization, crop protection, and irrigation showed promising potential. Moreover, pasture grazing, legume-based feed additives, improved forage production and holistic husbandry management with precision technologies were identified as promising contributors to CSA outcomes. The review emphasizes that the utilization of smart farming technologies and practices in crop and livestock production systems could positively contribute to achieving one or more outcomes. Overall, the GHG mitigation and farm productivity improvement outcomes were relati</w:t>
      </w:r>
    </w:p>
    <w:p>
      <w:r>
        <w:t>POSSIBLE 2023: Use of existing gas infrastructure in European hydrogen economy — https://doi.org/10.1016/j.ijhydene.2023.04.283</w:t>
      </w:r>
    </w:p>
    <w:p>
      <w:r>
        <w:t>Shared claim-specific concepts: aim, identify, promising, finland; EU scope visible. This is a provisional connection, not an outcome finding.</w:t>
      </w:r>
    </w:p>
    <w:p>
      <w:r>
        <w:t>Available abstract (not full text): The rapidly increasing production volume of clean hydrogen creates challenges for transport infrastructure. This study improves understanding of hydrogen transport options in Europe and provides more detailed analysis on the prospects for hydrogen transport in Finland. Previous studies and ongoing pipeline projects were reviewed to identify potential and barriers to hydrogen transport. A fatigue life assessment tool was built because material challenges have been one of the main concerns of hydrogen transportation. Many European countries aim at utilizing existing gas infrastructure for hydrogen. Conducted studies and pilot facilities have provided promising results. Hydrogen reduces the fatigue life of the pipeline, but existing pipelines can be used for hydrogen if pressure variation is maintained at a reasonable level and the maximum operation pressure is limited. Moreover, the use of existing pipelines can reduce hydrogen transport costs, but the suitability of every pipeline for hydrogen must be analyzed, and several issues such as leakage, leakage detection, effects of hydrogen on pipeline assets and end users, corrosion, maintenance, and metering of gas flow must be considered. The development of hydrogen transport will vary within countries depending on the structure of the existing gas infrastructure, and on the future hydrogen use profile.</w:t>
      </w:r>
    </w:p>
    <w:p>
      <w:r>
        <w:t>POSSIBLE 2023: Identifying Promising Domains of Decarbonization Technologies: An Improved Methodology — https://doi.org/10.23919/splitech58164.2023.10193705</w:t>
      </w:r>
    </w:p>
    <w:p>
      <w:r>
        <w:t>Shared claim-specific concepts: identify, promising, applied; EU scope not established. This is a provisional connection, not an outcome finding.</w:t>
      </w:r>
    </w:p>
    <w:p>
      <w:r>
        <w:t>Available abstract (not full text): Humanity has sought ways to decarbonize the economies and mitigate the effects of global warming. The scientific community has been producing intensive research on decarbonizing technologies and strategies. This article introduces an improved methodology, based on two available text-mining software, to identify the most relevant domains of decarbonizing technologies presented in scientific papers, research projects and patents. The improvements include the definition of an approach to obtain a final rank of the technologies’ domains and an enhanced procedure to create the semantic dictionary, a critical component for the bibliometric analysis. Moreover, a more robust and comprehensive search string was defined, reconciling the particularities of the used text-mining software. The methodology was applied to the 2011 to 2021 period. The results evidence the twenty better-ranked domains, where energy efficiency/management, hydrogen, generic renewable energy, carbon capture, energy storage and biofuel occupy the six first positions. Hydrogen, carbon capture and energy storage are the domains with a more accelerated increase in the scientific community’s relative interest. In contrast, energy efficiency and management, biofuel, and low-carbon transportation have lost relative interest. Moreover, results show that electrification, hydrogen, and geothermal energy domains significantly</w:t>
      </w:r>
    </w:p>
    <w:p>
      <w:r>
        <w:t>POSSIBLE 2023: 2017-2023: state of the art of gene therapies in rare diseases in Europe: the dynamics of clinical R&amp;D, new approved treatments and expected therapies in the pipelines — https://doi.org/10.20517/rdodj.2023.29</w:t>
      </w:r>
    </w:p>
    <w:p>
      <w:r>
        <w:t>Shared claim-specific concepts: aim, promising, required, current; EU scope visible. This is a provisional connection, not an outcome finding.</w:t>
      </w:r>
    </w:p>
    <w:p>
      <w:r>
        <w:t>Available abstract (not full text): Aim: Gene therapies have been tested over the past three decades, and after a first market authorization in 2017, the field is starting to deliver. The study aims to analyze the current development dynamics of gene therapies for rare diseases using the GENOTRIAL database®, which gathers information on gene therapy clinical trials and studies conducted between 2017 and 2023 in Europe. Methods: The study involved extracting and filtering clinical trial data from the EudraCT database. Trials with the keyword "Gene Therapy" were selected and filtered using the "Rare disease" filter. Manual verification was conducted to ensure that the selected trial only concerned gene therapy treatments authorized in Europe for rare diseases in phases I to III. A total of 300 European country-related clinical investigations representing a total of 93 European-specific clinical studies were included in the GENOTRIAL database. The trials were classified by development phases, temporal status, sponsors and investigating countries, rare diseases with their related therapeutic area, and approval regulatory information of the identified gene therapies. Results: Analysis reveals that rare diseases present a promising area for gene therapy development. On average, eight rare disease gene therapy trials are launched each year in Europe. The main sponsors of European clinical trials of gene therapies for ra</w:t>
      </w:r>
    </w:p>
    <w:p>
      <w:r>
        <w:t>POSSIBLE 2022: Saline soils worldwide: Identifying the most promising areas for saline agriculture — https://doi.org/10.1016/j.jaridenv.2022.104775</w:t>
      </w:r>
    </w:p>
    <w:p>
      <w:r>
        <w:t>Shared claim-specific concepts: aim, identify, promising, well; EU scope not established. This is a provisional connection, not an outcome finding.</w:t>
      </w:r>
    </w:p>
    <w:p>
      <w:r>
        <w:t>Available abstract (not full text): Salinization poses a major challenge for modern agriculture with considerable areas being salt-affected worldwide. However, these lands can be cultivated by applying saline agriculture, involving soil, water and salt-tolerant crop management methods. The agricultural use of saline soils helps in addressing food security in times of population growth and climate change. Therefore, there is a need to map saline soils and examine conditions under which saline agriculture can be implemented. The aim of this study is to identify locations and surface area of saline soils. The potential areas for saline agricultural production are mapped using the QGIS software with a focus on the most promising lands for saline agriculture. To identify these most promising areas, we apply criteria of soil salinity, soil fertility, soil pH, water availability, presence of irrigation equipment, as well as depleted water basins. Our results show that the total area of salt-affected soils equals 17 million km2, but the largest potential for saline agriculture lays in saline soils above 4 dS/m ECe in non-depleted water basins totalling to 2 million km2. We conclude that further socio-economic analysis is needed to fully determine countries which should be prioritized in exploring the future potential for sustainable food production.</w:t>
      </w:r>
    </w:p>
    <w:p>
      <w:r>
        <w:t>POSSIBLE 2022: Stochastic Ex-Ante LCA under Multidimensional Uncertainty: Anticipating the Production of Undiscovered Microalgal Compounds in Europe — https://doi.org/10.1021/acs.est.2c04849</w:t>
      </w:r>
    </w:p>
    <w:p>
      <w:r>
        <w:t>Shared claim-specific concepts: identify, promising, sector, well, current; EU scope visible. This is a provisional connection, not an outcome finding.</w:t>
      </w:r>
    </w:p>
    <w:p>
      <w:r>
        <w:t>Available abstract (not full text):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pPr>
        <w:pStyle w:val="Heading2"/>
      </w:pPr>
      <w:r>
        <w:t>Hydrogen in the Strategies of the European Union Member States</w:t>
      </w:r>
    </w:p>
    <w:p>
      <w:r>
        <w:t>Original source (2021): https://doi.org/10.24425/gsm.2021.138660</w:t>
      </w:r>
    </w:p>
    <w:p>
      <w:r>
        <w:t>Original wording (abstract; indexed_source_text_not_full_document_verified): By 2030, some of the countries plan to become a leader not only in the field of hydrogen production or RES development aimed at this process but also in the areas of research and development (R&amp;D), sales of new technologies, and international cooperation. The analysis of the future of hydrogen energy, which is an essential component of transforming the economy into an environmentally neutral one, is an integral part of the strategies of the European Union (EU) Member States.</w:t>
      </w:r>
    </w:p>
    <w:p>
      <w:r>
        <w:t>POSSIBLE 2025: How Transit Countries Become Refugee Destinations: Insights From Central and Eastern Europe — https://doi.org/10.1111/imig.70066</w:t>
      </w:r>
    </w:p>
    <w:p>
      <w:r>
        <w:t>Shared claim-specific concepts: countries, become, only, also, international; EU scope visible. This is a provisional connection, not an outcome finding.</w:t>
      </w:r>
    </w:p>
    <w:p>
      <w:r>
        <w:t>Available abstract (not full text): ABSTRACT This study examines how refugees' destination preferences evolve during transit, focusing on three Central and Eastern European countries—Bulgaria, Romania, and Hungary—traditionally regarded as ‘transit only’ prior to the Ukraine refugee crisis. Using a mixed‐methods approach, we first analyse 2252 observations from the International Organisation for Migration's Flow Monitoring Surveys to identify the main factors influencing changes in destination choices. We then complement these findings with qualitative data from focus groups with 16 asylum seekers in Romania to explore these dynamics in depth. Our results show that prioritising safety significantly increases the likelihood of asylum seekers reconsidering a transit country as a potential destination. Other influential factors include asylum conditions, migration costs, and educational background, with more educated individuals more likely to revise initial plans. Although our primary focus is on asylum seekers, we find that high migration costs also affect decisions, suggesting a need to ‘recover’ investments through settlement in more stable or economically attractive countries. The qualitative findings support the quantitative results, highlighting the role of legal stability, social networks, and perceived opportunity in shifting preferences. Overall, the study suggests that under certain conditions, transit co</w:t>
      </w:r>
    </w:p>
    <w:p>
      <w:r>
        <w:t>POSSIBLE 2025: EUROPEAN GREEN PLAN – NEW DIRECTIONS OF ECONOMIC DEVELOPMENT OF THE EUROPEAN UNION — https://doi.org/10.46793/87143.26.5.021d</w:t>
      </w:r>
    </w:p>
    <w:p>
      <w:r>
        <w:t>Shared claim-specific concepts: countries, plan, become, production, international, cooperation; EU scope visible. This is a provisional connection, not an outcome finding.</w:t>
      </w:r>
    </w:p>
    <w:p>
      <w:r>
        <w:t>Available abstract (not full text): Disruptions in the system of international economic relations following the Covid-19 pandemic have put global supply chains and world capital markets at risk, affecting key sectors of industrial production, energy and services. Many countries have experienced a decrease in GDP and an increase in public debt as a result of the severe recessionary impact. The negative economic effects have become increasingly visible on the global social level, which has necessitated a stronger multilateral response based on clear and transparent rules and principles based on solidarity, unity and international cooperation. The European Union (EU), as the second largest global economy, has taken a leading role in addressing the global crisis, working closely with key international institutions. Given the dimensions of the disruption in the system of international economic relations, the EU is striving to adapt to the crisis situation by establishing new priorities for international cooperation and taking decisive measures to prevent and remedy the negative consequences of the economic crisis. Working on the adoption of strategic documents and action plans, the EU has adopted the European Green Deal as a set of strategically important documents that present a new approach to the transformation of the European economy in line with the global agenda for the world future.</w:t>
      </w:r>
    </w:p>
    <w:p>
      <w:r>
        <w:t>POSSIBLE 2025: Adaptation to Climate Change in Coastal Countries of the European Union—An Evaluation of Plans and Strategies — https://doi.org/10.3390/app15116281</w:t>
      </w:r>
    </w:p>
    <w:p>
      <w:r>
        <w:t>Shared claim-specific concepts: countries, areas, essential; EU scope visible. This is a provisional connection, not an outcome finding.</w:t>
      </w:r>
    </w:p>
    <w:p>
      <w:r>
        <w:t>Available abstract (not full text): A Climate change and its adverse effects are now the greatest threats faced by society. As a consequence, it is essential to adopt strategic instruments and adaptation measures – especially in the most vulnerable and susceptible areas, such as coastal zones. An analysis has been carried out on the instruments and adaptation measures designed to combat the effects of climate change in coastal countries of the European Union. A bibliographic search of technical and scientific documents has been carried out using various information platforms. Strategic planning instruments were subsequently studied and adaptation measures were classified. The results of this study indicate that, in relation to strategic instruments, there has been a significant and progressive increase in the adoption of adaptation plans and strategies that address problems faced by coastal areas. Physical-structural adaptation measures are the most widely used, especially ecosystem-based and engineering measures, even in specific projects implemented at different territorial scales of governance. One of the main conclusions drawn from the analysis is that, from an operational perspective, the local scale is the most suitable for implementing adaptation measures.</w:t>
      </w:r>
    </w:p>
    <w:p>
      <w:r>
        <w:t>POSSIBLE 2025: Profiling Land Use Planning: Legislative Structures in Five European Nations — https://doi.org/10.3390/land14061261</w:t>
      </w:r>
    </w:p>
    <w:p>
      <w:r>
        <w:t>Shared claim-specific concepts: countries, become; EU scope visible. This is a provisional connection, not an outcome finding.</w:t>
      </w:r>
    </w:p>
    <w:p>
      <w:r>
        <w:t>Available abstract (not full text): Land use transformation, the longest-standing human-driven environmental alteration, is a pressing and complex issue that significantly impacts European landscapes and contributes to global environmental change. The urgency to act is reinforced by the European Environment Agency (EEA), which identifies industrial, commercial, and residential development—particularly near major urban centers—as key contributors to land take. As the EU sets a vision for achieving zero net land take by 2050, assessing the readiness and coherence of national legislation becomes critical. This comprehensive study employs a comparative legal analysis across five European countries—Italy, Greece, Poland, France, and Ukraine—examining their laws, strategies, and commitments related to land degradation neutrality. Using a review of national legislation and policy documents, the research identifies systemic patterns, barriers, and opportunities within current legal frameworks. The present study aims to provide valuable insights for policymakers, planners, and academic institutions, fostering a comprehensive understanding of existing gaps, implementation, and inconsistencies in national land use legislation. Among the results, it has become evident that a typical “pathway” between the examined states in terms of the legislative framework on land use–land take is probably a utopia for the time being. The l</w:t>
      </w:r>
    </w:p>
    <w:p>
      <w:r>
        <w:t>POSSIBLE 2024: On the diversity of spatial planning instruments across Europe — https://doi.org/10.4337/9781839106255.00016</w:t>
      </w:r>
    </w:p>
    <w:p>
      <w:r>
        <w:t>Shared claim-specific concepts: countries, become, also; EU scope visible. This is a provisional connection, not an outcome finding.</w:t>
      </w:r>
    </w:p>
    <w:p>
      <w:r>
        <w:t>Available abstract (not full text): Spatial planning instruments are fundamental for the operation of spatial planning systems. In the ESPON COMPASS project over 250 spatial planning instruments at different policy levels in 32 European countries were identified. In this chapter we compare and review these planning instruments that are used to mediate competition over the use of land, to allocate rights of development, to regulate change and to promote preferred spatial and urban form. The comparative analysis highlights that there are various types of spatial planning instruments at different policy levels many of which have multiple characteristics, that is, they are expected to have multiple functions in relation to spatial development and territorial governance practices. However, there is a significant consistency in how planning systems are hierarchically structured around spatial planning instruments and how these systems are based on rational ideals. Furthermore, the results indicates that there is a clear direction towards more strategic forms of spatial planning, also among statuary planning instruments. In conclusion, our survey reveals that spatial planning instruments are expected to serve as multi-purpose tools that simultaneously provide strategic frameworks and regulate spatial development whilst they have become less visionary.</w:t>
      </w:r>
    </w:p>
    <w:p>
      <w:r>
        <w:t>POSSIBLE 2023: EUROPEAN EXPERIENCE OF STRATEGIC PLANNING FOR THE DEVELOPMENT OF TERRITORIAL COMMUNITIES — https://doi.org/10.37332/2309-1533.2023.1.8</w:t>
      </w:r>
    </w:p>
    <w:p>
      <w:r>
        <w:t>Shared claim-specific concepts: countries, become; EU scope visible. This is a provisional connection, not an outcome finding.</w:t>
      </w:r>
    </w:p>
    <w:p>
      <w:r>
        <w:t>Available abstract (not full text): Purpose. The aim of the article is to study of the best practices of the European experience of strategic planning to increase the competitiveness of domestic territorial communities. Methodology of research. The methodological basis of the study was scientific methods of cognition based on a systematic approach to solving the tasks. A number of general and special scientific research methods were used to achieve the set goal and obtain research results: dialectical; monographic (when processing scientific publications); system analysis (when studying the current state of development of territorial communities); abstract and logical (to substantiate the key characteristics of strategic planning for the development of territorial communities); complex analysis (when forming conclusions and proposals for solving tasks) and others. Findings. An analysis of the best practices of strategic planning of European countries was carried out. It was established that there is no universal model of development of territorial communities in European countries, the way of organizing decentralized power in each country is related to its history, political and managerial culture, economy and social experience. It has been established that the strategic approach in the management of European countries has recently become widespread and is used at all levels, from the national to the level of aut</w:t>
      </w:r>
    </w:p>
    <w:p>
      <w:r>
        <w:t>POSSIBLE 2023: FDI and Economic Growth – Perspective of Southeast European Countries — https://doi.org/10.2478/zireb-2023-0006</w:t>
      </w:r>
    </w:p>
    <w:p>
      <w:r>
        <w:t>Shared claim-specific concepts: countries, become, not, also; EU scope visible. This is a provisional connection, not an outcome finding.</w:t>
      </w:r>
    </w:p>
    <w:p>
      <w:r>
        <w:t>Available abstract (not full text): Abstract Emergence of new economic entities, through either integration or disintegration, always creates system inefficiencies resulting in temporary economic setbacks. At the macroeconomic level, this brings about slowdown in economic growth and delayed catching up with more advanced economies. In Europe, the turn of the century brought along political and economic disintegration, on one hand, and economic integration, on the other. Demise of planned economies across Eastern Europe caused serious economic turmoil due to market fragmentation. Meanwhile, creation of new economic architecture in the European Union (EU) has created additional challenges of economic restructuring. Therefore, achieving sustainable economic growth and high income has become the ultimate economic policy objective. Equity investment in form of foreign direct investment (FDI) has proven to be the right choice, because influx of fresh capital and know-how enabled strong economic growth and restructuring through increasing labor productivity and economic efficiency. Stronger competitive pressure through FDI contributed to dynamic restructuring, resembling in increasing exports and stronger integration into global economy. Yet, growth rates across countries were not always proportional to the volume of inward FDI, which indicates a certain level of underperformance for some countries. The aim of the paper</w:t>
      </w:r>
    </w:p>
    <w:p>
      <w:r>
        <w:t>POSSIBLE 2023: Determination of Country-Specific Criteria Weights for Long-Term Energy Planning in Europe — https://doi.org/10.3390/en16134920</w:t>
      </w:r>
    </w:p>
    <w:p>
      <w:r>
        <w:t>Shared claim-specific concepts: countries, production, energy; EU scope visible. This is a provisional connection, not an outcome finding.</w:t>
      </w:r>
    </w:p>
    <w:p>
      <w:r>
        <w:t>Available abstract (not full text):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r>
        <w:t>POSSIBLE 2023: Investigation of Plastic Waste with Environmental Kuznets Hypothesis: An Empirical Study on European Union Countries — https://doi.org/10.30794/pausbed.1214090</w:t>
      </w:r>
    </w:p>
    <w:p>
      <w:r>
        <w:t>Shared claim-specific concepts: countries, become, also; EU scope visible. This is a provisional connection, not an outcome finding.</w:t>
      </w:r>
    </w:p>
    <w:p>
      <w:r>
        <w:t>Available abstract (not full text): Plastics have become an indispensable part of modern life. Although plastics, which become waste after use, are recycled for the economy, they have become a critical problem because many cause environmental pollution and threaten life. It is known that the use of plastics has increased rapidly in parallel with the increase in income that has emerged from the increasing industrialization since the 1950s. According to the Environmental Kuznets Curve (EKC) hypothesis, there is an inverted U-shaped relationship between environmental pollution and economic growth. Considering the critical importance of the plastic waste problem, plastic waste should also be evaluated with the EKC approach. For this purpose, panel data analysis was applied to the plastic waste data of the European Union countries. Research findings show that the EKC validates plastic waste in EU countries from 2004 to 2019. This shows that environmental policies should be planned around the Plastic Waste EKC.</w:t>
      </w:r>
    </w:p>
    <w:p>
      <w:r>
        <w:t>POSSIBLE 2022: Russia’s War in Ukraine: Consequences for European Countries’ Businesses and Economies — https://doi.org/10.3390/jrfm15070295</w:t>
      </w:r>
    </w:p>
    <w:p>
      <w:r>
        <w:t>Shared claim-specific concepts: countries, plan, become, not, only, but; EU scope visible. This is a provisional connection, not an outcome finding.</w:t>
      </w:r>
    </w:p>
    <w:p>
      <w:r>
        <w:t>Available abstract (not full text): Companies and countries have needed to adapt their activities to the consequences of the Russian war in Ukraine. The analysis in this article shows that both the Russian war in Ukraine and the subsequent trade restrictions have become a powerful trigger, significantly increasing the level of inflation and exacerbating the existing issues of economies. As a result, the confrontation between the West and Russia has greatly escalated, which will have a long-term, large-scale negative impact on most European companies and economies. There could also be a lasting restructuring of world trade. The article notes that not only the end date of the war in Ukraine may be important for business and economies, but also which of the trade and financial restrictions can be lifted from Russia, and when. The article also makes recommendations that may help company leaders plan, in a timelier and more accurate fashion, the changes necessary to maintain company sustainability.</w:t>
      </w:r>
    </w:p>
    <w:p>
      <w:r>
        <w:t>POSSIBLE 2022: Perspectives for the Use of Hydrogen Energy in European Countries — https://doi.org/10.46488/nept.2022.v21i03.053</w:t>
      </w:r>
    </w:p>
    <w:p>
      <w:r>
        <w:t>Shared claim-specific concepts: countries, become, not, only, field, hydrogen; EU scope visible. This is a provisional connection, not an outcome finding.</w:t>
      </w:r>
    </w:p>
    <w:p>
      <w:r>
        <w:t>Available abstract (not full text): The most actual environmental problems in the XXI century are the following: global warming due to greenhouse gas emissions, energy production at coal, oil and power plants, air pollution, water pollution and waste recycling. Other environmental problems can be added to this short list, but the authors solve a specific task of promoting the idea of a promising “green” energy that will help humanity in conservation and development. European Union (EU) countries are planning to solve the main environmental challenges for the transition to low-carbon electricity by 2050. In many countries in the world every year there are more and more supporters of reducing emissions of carbon dioxide CO2, nitrogen oxides NO and NO2 and other greenhouse gases into the atmosphere. In recent years, EU has been consistently pursuing its own policy in the field of environmental protection, carrying out large-scale environmental measures. In Germany, United Kingdom (UK) and other European countries, a number of environmental initiatives are already gaining the status of state policy, which is being formalized in laws and regulations. Russian Federation acts on the world market as a leading country that produces and supplies significant energy resources not only to Europe, but also to many countries in the Asia-Pacific region. It is clear that the competitive stability of Russian energy companies signi</w:t>
      </w:r>
    </w:p>
    <w:p>
      <w:r>
        <w:t>POSSIBLE 2022: Socioeconomic inequalities in cancer mortality between and within countries in Europe: a population-based study — https://doi.org/10.1016/j.lanepe.2022.100551</w:t>
      </w:r>
    </w:p>
    <w:p>
      <w:r>
        <w:t>Shared claim-specific concepts: countries, not, but; EU scope visible. This is a provisional connection, not an outcome finding.</w:t>
      </w:r>
    </w:p>
    <w:p>
      <w:r>
        <w:t>Available abstract (not full text):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pPr>
        <w:pStyle w:val="Heading2"/>
      </w:pPr>
      <w:r>
        <w:t>Impact of Quasi‐Idealized Future Land Cover Scenarios at High Latitudes in Complex Terrain</w:t>
      </w:r>
    </w:p>
    <w:p>
      <w:r>
        <w:t>Original source (2021): https://doi.org/10.1029/2020ef001838</w:t>
      </w:r>
    </w:p>
    <w:p>
      <w:r>
        <w:t>Original wording (abstract; indexed_source_text_not_full_document_verified): This study uses the Weather Research and Forecasting model to investigate the biogeophysical impacts of different forestry scenarios on the local‐to‐regional climate of Norway. This suggests that implementing current afforestation policies for climate mitigation in Norway may adversely exacerbate some effects of global warming locally while mitigating others.</w:t>
      </w:r>
    </w:p>
    <w:p>
      <w:r>
        <w:t>POSSIBLE 2026: Spatiotemporal variability and uncertainty in wood decay estimates across Europe and Scandinavia using a data-driven moisture content model with multi-scale weather datasets — https://doi.org/10.1016/j.rineng.2026.108983</w:t>
      </w:r>
    </w:p>
    <w:p>
      <w:r>
        <w:t>Shared claim-specific concepts: weather, impacts, climate; EU scope visible. This is a provisional connection, not an outcome finding.</w:t>
      </w:r>
    </w:p>
    <w:p>
      <w:r>
        <w:t>Available abstract (not full text): • Reanalysis data driven moisture content model enabled high-resolution wood decay analyses • Point to grid comparing of decay indicated biases variable by micro to macro climate conditions • High-resolution decay hazard maps reveal significant spatiotemporal variability • Vertical boards show higher spatial uncertainty due to wind-driven rain exposure • Uncertainty mapping enables uncertainty propagation for service life assessment The use of remote sensing and reanalysis weather data has not been adequately acknowledged for large-scale built environment applications, primarily regarding engineering analyses that traditionally rely on computationally expensive numerical models. This study employs a parsimonious data-driven approach concerning service life assessment of rain-exposed wooden components, enabling mapping and assessment of related risks across Europe and Scandinavia from gridded data. Wood moisture content is the primary vector for fungal decay and accurate modeling is essential for the design of wooden commodities. Numerical models of moisture flow within woody material provide accuracy but are impractically slow for large-scale applications. We explore high-resolution decay risk assessments using a neural network (NN) trained on existing numerical predictions of moisture content. Specifically, the model used time-lagged gridded weather data as inputs to calculate</w:t>
      </w:r>
    </w:p>
    <w:p>
      <w:r>
        <w:t>POSSIBLE 2026: Human West Nile Virus infections in Europe: weather or climate? — https://doi.org/10.5194/egusphere-egu26-18547</w:t>
      </w:r>
    </w:p>
    <w:p>
      <w:r>
        <w:t>Shared claim-specific concepts: weather, local, climate; EU scope visible. This is a provisional connection, not an outcome finding.</w:t>
      </w:r>
    </w:p>
    <w:p>
      <w:r>
        <w:t>Available abstract (not full text): Climate change is increasing Europe’s vulnerability to vector-borne diseases. One example are the increasing number of outbreaks caused by the West Nile Virus. Whereas in the early 2010s, the virus was only found in south-eastern Europe, local infections are now also detected in more northern and western countries. To inform health care institutions as well as citizens it is necessary to be able to predict where and when the next outbreak will happen. There have been studies that show that land use, climate and weather influence the risk of human West Nile Virus infections, but it is less clear what the relative contributions of land use, climate change and weather are. In particular, it is not determined yet if the northward expansion of WNV can be better explained by the gradual change in climate, or by the occurrence of specific weather conditions that increase the risk of WNV infections. In this study, a random forest model is used to determine what is the best predictor of WNV infections: weather or climate. It shows that on a spatial scale of NUTS3-regions, the climate mean seasonal cycle of the 2m temperature is the best predictor for human WNV outbreaks, and that including the weather in the model does not improve its performance. Moreover, results indicate that WNV risk is higher in areas in which the climate mean seasonal cycle of temperature is in between 20-26 °C fo</w:t>
      </w:r>
    </w:p>
    <w:p>
      <w:r>
        <w:t>POSSIBLE 2025: Skill Validation of High-Impact Rainfall Forecasts over Vietnam Using the European Centre for Medium-Range Weather Forecasts (ECMWF) Integrated Forecasting System (IFS) and Dynamical Downscaling with the Weather Research and Forecasting Model — https://doi.org/10.3390/atmos16020224</w:t>
      </w:r>
    </w:p>
    <w:p>
      <w:r>
        <w:t>Shared claim-specific concepts: weather, local; EU scope visible. This is a provisional connection, not an outcome finding.</w:t>
      </w:r>
    </w:p>
    <w:p>
      <w:r>
        <w:t>Available abstract (not full text): This research evaluates the quality of high-impact rainfall forecasts across Vietnam and its sub-climate regions. The 3-day rainfall forecast products evaluated include the European Centre for Medium-Range Weather Forecasts (ECMWF) High-Resolution Integrated Forecasting System (IFS) and its downscaled outputs using the Weather Research and Forecasting (WRF) model with the Advanced Research WRF core (WRF-ARW): direct downscaling and downscaling with data assimilation. A full 5-year validation period from 2019 to 2025 was processed. The validation focused on basic rainfall thresholds and also considered the distribution of skill scores for intense events and extreme events. The validations revealed systematic errors (bias) in the models at low rainfall thresholds. The forecast skill was the lowest for northern regions, while the central regions exhibited the highest. For regions strongly affected by terrain, high-resolution downscaling with local observation data assimilation is necessary to improve the detectability of extreme events.</w:t>
      </w:r>
    </w:p>
    <w:p>
      <w:r>
        <w:t>POSSIBLE 2024: Using Numerical Weather Prediction Models for Climate Modeling — https://doi.org/10.1134/s0001433824700610</w:t>
      </w:r>
    </w:p>
    <w:p>
      <w:r>
        <w:t>Shared claim-specific concepts: weather, climate; EU scope visible. This is a provisional connection, not an outcome finding.</w:t>
      </w:r>
    </w:p>
    <w:p>
      <w:r>
        <w:t xml:space="preserve">Available abstract (not full text): Abstract The concept of seamless prediction atmospheric models designed both for numerical weather forecasting and climate change modeling is considered. It consists of the fact that there are no artificial time boundaries in the atmosphere that separate synoptic, seasonal, and interannual scales. Due to the nonlinearity of the atmosphere, the processes of all spatial and time scales interact with each other. Thus, an atmospheric model focused on reproducing any phenomena must adequately reproduce phenomena of all time scales. It is wrong to talk about seamless atmosphere models as universal models that function at any possible mesh sizes. The same model cannot be used at the horizontal resolution of about 1–2 and 50–80 km, since the processes of convective precipitation formation are mainly described explicitly in the first case, while the deep convection is a subgrid scale process that has to be parametrized in the second case. This article provides an overview of the implementations of multiscale models with the example of some foreign (the unified model (UM) of the UK MetOffice and the European model EC Earth 3) and Russian SL-AV (Semi-Lagrangian, based on the Absolute Vorticity equation) atmosphere general circulation model. An example of a modification to the deep convection parameterization developed for the climate version of the SL-AV model is given that significantly </w:t>
      </w:r>
    </w:p>
    <w:p>
      <w:r>
        <w:t>POSSIBLE 2024: The fire weather in Europe: large-scale trends towards higher danger — https://doi.org/10.1088/1748-9326/ad5b09</w:t>
      </w:r>
    </w:p>
    <w:p>
      <w:r>
        <w:t>Shared claim-specific concepts: weather, regional, climate, warming; EU scope visible. This is a provisional connection, not an outcome finding.</w:t>
      </w:r>
    </w:p>
    <w:p>
      <w:r>
        <w:t>Available abstract (not full text): Abstract The climate over Europe has been recorded to be hotter, drier, and more fire-prone over the last decade than ever before, leading to concerns about how climate change will alter fire weather in the future. A typical measure to estimate fire weather severity based on climate is the Canadian fire weather index (FWI). In this study, we used high-resolution, bias-corrected climate model output (∼9 km) from six CMIP6 climate models and four shared socio-economic pathway projections (SSPs) to calculate consistent and comparable daily FWI datasets for Europe from 1950 to 2080. Our study aims to identify regional and large-scale shifts in fire weather severity and its predictability over time to support adaptive planning. We show that irrespective of the future SSP, fire weather will become more severe, but the increase is much stronger under high greenhouse gas emissions. This leads to new areas being exposed to severe fire weather, such as central Europe and rapidly warming mountainous areas. Already fire-prone regions in southern Europe will experience more extreme conditions. We conclude that only the low-emission SSP1-2.6 pathway can prevent strong increases in fire weather beyond the 2050s. Fire surveillance and management will become more important, even in areas and in seasons where they have not been in the focus so far.</w:t>
      </w:r>
    </w:p>
    <w:p>
      <w:r>
        <w:t>POSSIBLE 2023: Evaluating neural network models in site-specific solar PV forecasting using numerical weather prediction data and weather observations — https://doi.org/10.1016/j.renene.2023.02.130</w:t>
      </w:r>
    </w:p>
    <w:p>
      <w:r>
        <w:t>Shared claim-specific concepts: weather, investigate; EU scope visible. This is a provisional connection, not an outcome finding.</w:t>
      </w:r>
    </w:p>
    <w:p>
      <w:r>
        <w:t>Available abstract (not full text): The effective use of solar photovoltaic (PV) installations implies the integration of solar PV output into overall energy consumption planning, optimization, and control. Moreover, day-ahead trading of electricity in Europe makes day-ahead solar PV forecasting utterly important, and thus its accuracy becomes of particular interest. Data-driven PV forecasting models are typically trained using numerical weather prediction (NWP) data, the availability of which represents one of the main obstacles in modeling. In this study, we investigate an alternative scenario, in which an artificial neural network (ANN) is trained on weather observations and then tested on NWP data to simulate the model's use in operational PV forecasting. In the experiments, solar PV output data, historical weather observations, and historical NWP data were collected from three sites in eastern Finland. The results showed that, although training ANN on observational data leads to a slight decrease in its performance compared to ANN trained on NWP data, it still outperforms a physical model. In practice, this alternative scenario means that if historical NWP data are not available for model training, observational data allow effective model selection and parameter tuning, and then generalization error estimates are gradually updated using online NWP data.</w:t>
      </w:r>
    </w:p>
    <w:p>
      <w:r>
        <w:t>POSSIBLE 2023: EURO1k: A high-resolution European weather model developed by Meteomatics — https://doi.org/10.5194/egusphere-egu23-16670</w:t>
      </w:r>
    </w:p>
    <w:p>
      <w:r>
        <w:t>Shared claim-specific concepts: uses, weather, local, regional, current; EU scope visible. This is a provisional connection, not an outcome finding.</w:t>
      </w:r>
    </w:p>
    <w:p>
      <w:r>
        <w:t>Available abstract (not full text): Accurate and precise weather forecasting is essential for a wide range of applications and industries, from agriculture to transportation to renewable energy. However, current weather models often struggle to represent the weather accurately due to limitations in spatial resolution. Global models with broad resolution are unable to represent small-scale weather features, such as convective thunderstorms or local wind patterns, while regional high resolution models are highly dependent on boundary conditions and typically provide forecasts for a small domain. To fill this gap, Meteomatics has developed the EURO1k model, the first pan-European weather model with a 1km2 resolution. The EURO1k model consists of approximately 20 million grid points and is run 24 times per day, with a forecast horizon of 24 hours. It is based on the WRF (Weather Research and Forecasting) model and uses global ECMWF-IFS model data for boundary conditions. In addition to standard data sources such as weather stations, radar and satellite data, and radiosondes, the EURO1k model also ingests data from a network of Meteodrones, small unmanned aircraft systems (UAS) developed by Meteomatics which collect vertical atmospheric profiles up to 6000m in altitude. The high resolution of the EURO1k model allows it to accurately represent small-scale weather patterns, resulting in highly accurate and precise forec</w:t>
      </w:r>
    </w:p>
    <w:p>
      <w:r>
        <w:t>POSSIBLE 2023: EURO1k: A high-resolution European weather model developed by Meteomatics — https://doi.org/10.5194/ems2023-486</w:t>
      </w:r>
    </w:p>
    <w:p>
      <w:r>
        <w:t>Shared claim-specific concepts: uses, weather, regional, current; EU scope visible. This is a provisional connection, not an outcome finding.</w:t>
      </w:r>
    </w:p>
    <w:p>
      <w:r>
        <w:t xml:space="preserve">Available abstract (not full text): Accurate and precise weather forecasting is essential for a wide range of applications and industries, from agriculture to transportation to renewable energy. However, current weather models often struggle to represent atmospheric processes accurately due to limitations in spatial resolution. To fill this gap, Meteomatics has developed the EURO1k model, the first pan-European weather model with a spatial resolution of 1 km. The EURO1k model grid covers 4250 x 4580 km and is run in a rapid-update setup with 24 initializations per day, each run with a lead time of 24 hours. It is based on the Weather Research and Forecasting (WRF) model and uses global ECMWF-IFS model data for boundary conditions. In addition to standard data sources such as weather stations, radar and satellite data, and radiosondes, the EURO1k model also assimilates data from a network of Meteodrones, unmanned aircraft systems (UAS) developed by Meteomatics which collect vertical atmospheric profiles up to 6000m in altitude. The high spatial and temporal resolution of the EURO1k model allows to accurately represent small-scale weather patterns, resulting in highly accurate and precise forecasts. Indeed, statistical analyses of EURO1k model output against observations from 5000 weather stations in Europe demonstrate increased accuracy compared to other global and regional models. This has important implications </w:t>
      </w:r>
    </w:p>
    <w:p>
      <w:r>
        <w:t>POSSIBLE 2023: Gaussian copula modeling of extreme cold and weak-wind events over Europe conditioned on winter weather regimes — https://doi.org/10.1088/1748-9326/acb6aa</w:t>
      </w:r>
    </w:p>
    <w:p>
      <w:r>
        <w:t>Shared claim-specific concepts: weather, climate; EU scope visible. This is a provisional connection, not an outcome finding.</w:t>
      </w:r>
    </w:p>
    <w:p>
      <w:r>
        <w:t>Available abstract (not full text): Abstract A transition to renewable energy is needed to mitigate climate change. In Europe, this transition has been led by wind energy, which is one of the fastest growing energy sources. However, energy demand and production are sensitive to meteorological conditions and atmospheric variability at multiple time scales. To accomplish the required balance between these two variables, critical conditions of high demand and low wind energy supply must be considered in the design of energy systems. We describe a methodology for modeling joint distributions of meteorological variables without making any assumptions about their marginal distributions. In this context, Gaussian copulas are used to model the correlated nature of cold and weak-wind events. The marginal distributions are modeled with logistic regressions defining two sets of binary variables as predictors: four large-scale weather regimes (WRs) and the months of the extended winter season. By applying this framework to ERA5 data, we can compute the joint probabilities of co-occurrence of cold and weak-wind events on a high-resolution grid ( 0.2 ∘ ) .Our results show that (a) WRs must be considered when modeling cold and weak-wind events, (b) it is essential to account for the correlations between these events when modeling their joint distribution, (c) we need to analyze each month separately, and (d) the highest estimat</w:t>
      </w:r>
    </w:p>
    <w:p>
      <w:r>
        <w:t>POSSIBLE 2023: A ML approach for Post-processing of NWP model on the European Weather Cloud — https://doi.org/10.5194/ems2023-489</w:t>
      </w:r>
    </w:p>
    <w:p>
      <w:r>
        <w:t>Shared claim-specific concepts: weather, different; EU scope visible. This is a provisional connection, not an outcome finding.</w:t>
      </w:r>
    </w:p>
    <w:p>
      <w:r>
        <w:t>Available abstract (not full text): In the present study, the research activities aiming at investigating the use of modern Machine Learning algorithms for the early detection of convective systems are shown.The study conceived and carried out at the Italian Air-Force Meteorological Centre, co-funded in the framework of the EUMETNET-SRNWP-EPS Project, focuses on the post-processing of NWP model output to provide to the forecasters an improved Decision Support System specifically designed for aviation hazards and severe weather phenomena, such as thunderstorms. In detail, the NWP fields generated from operational Limited Area Models (COSMO-IT, 2.2 km horizontal resolution) running at CNMCA (Centro Nazionale Meteorologia e Climatologia Aerospaziale, Italian AirForce Met Service) and ECMWF, were processed and fed, as input features, to a properly designed decision tree. Different targets were defined to train the ML model, starting from independent observation datasets, which include radar, lightning and satellite-derived observations. The products mentioned above and the input features were co-located in space and time to assess the correlation between the signal (the information content of NWP products) and the weather phenomenon (e.g., convective instability). The ML tool operates in near real-time mode for the prediction/test phase and offline mode for the training/validation phase. It runs on the European Weath</w:t>
      </w:r>
    </w:p>
    <w:p>
      <w:r>
        <w:t>POSSIBLE 2023: Intersecting near-optimal spaces: European power systems with more resilience to weather variability — https://doi.org/10.1016/j.eneco.2022.106496</w:t>
      </w:r>
    </w:p>
    <w:p>
      <w:r>
        <w:t>Shared claim-specific concepts: weather, investigate; EU scope visible. This is a provisional connection, not an outcome finding.</w:t>
      </w:r>
    </w:p>
    <w:p>
      <w:r>
        <w:t>Available abstract (not full text): We suggest a new methodology for designing robust energy systems. For this, we investigate so-called near-optimal solutions to energy system optimisation models; solutions whose objective values deviate only marginally from the optimum. Using a refined method for obtaining explicit geometric descriptions of these near-optimal feasible spaces, we find designs that are as robust as possible to perturbations. This contributes to the ongoing debate on how to define and work with robustness in energy systems modelling. We apply our methods in an investigation using multiple decades of weather data. For the first time, we run a capacity expansion model of the European power system (one node per country) with a three-hourly temporal resolution and 41 years of weather data. While an optimisation with 41 weather years is at the limits of computational feasibility, we use the near-optimal feasible spaces of single years to gain an understanding of the design space over the full time period. Specifically, we intersect all near-optimal feasible spaces for the individual years in order to get designs that are likely to be feasible over the entire time period. We find significant potential for investment flexibility, and verify the feasibility of these designs by simulating the resulting dispatch problem with four decades of weather data. They are characterised by a shift towards more onshor</w:t>
      </w:r>
    </w:p>
    <w:p>
      <w:r>
        <w:t>POSSIBLE 2023: ClimaX: A foundation model for weather and climate — https://doi.org/10.48550/arxiv.2301.10343</w:t>
      </w:r>
    </w:p>
    <w:p>
      <w:r>
        <w:t>Shared claim-specific concepts: weather, different, climate; EU scope not established. This is a provisional connection, not an outcome finding.</w:t>
      </w:r>
    </w:p>
    <w:p>
      <w:r>
        <w:t xml:space="preserve">Available abstract (not full text): Most state-of-the-art approaches for weather and climate modeling are based on physics-informed numerical models of the atmosphere. These approaches aim to model the non-linear dynamics and complex interactions between multiple variables, which are challenging to approximate. Additionally, many such numerical models are computationally intensive, especially when modeling the atmospheric phenomenon at a fine-grained spatial and temporal resolution. Recent data-driven approaches based on machine learning instead aim to directly solve a downstream forecasting or projection task by learning a data-driven functional mapping using deep neural networks. However, these networks are trained using curated and homogeneous climate datasets for specific spatiotemporal tasks, and thus lack the generality of numerical models. We develop and demonstrate ClimaX, a flexible and generalizable deep learning model for weather and climate science that can be trained using heterogeneous datasets spanning different variables, spatio-temporal coverage, and physical groundings. ClimaX extends the Transformer architecture with novel encoding and aggregation blocks that allow effective use of available compute while maintaining general utility. ClimaX is pre-trained with a self-supervised learning objective on climate datasets derived from CMIP6. The pre-trained ClimaX can then be fine-tuned to address a </w:t>
      </w:r>
    </w:p>
    <w:p>
      <w:pPr>
        <w:pStyle w:val="Heading2"/>
      </w:pPr>
      <w:r>
        <w:t>Implementation of the 2030 sustainable development goals - affordable and clean energy in the European Union</w:t>
      </w:r>
    </w:p>
    <w:p>
      <w:r>
        <w:t>Original source (2021): https://doi.org/10.1088/1755-1315/906/1/012017</w:t>
      </w:r>
    </w:p>
    <w:p>
      <w:r>
        <w:t>Original wording (abstract; indexed_source_text_not_full_document_verified): In order to be able to predict how the analysed phenomena will develop until 2030, the authors built forecasts. They also allowed the designation of scenarios for the potential development of the analysed indicators.</w:t>
      </w:r>
    </w:p>
    <w:p>
      <w:r>
        <w:t>POSSIBLE 2024: The European protection order: the question of a predictive toolkit for the protection of victims of criminal offences — https://doi.org/10.24144/2788-6018.2024.02.109</w:t>
      </w:r>
    </w:p>
    <w:p>
      <w:r>
        <w:t>Shared claim-specific concepts: order, able, also; EU scope visible. This is a provisional connection, not an outcome finding.</w:t>
      </w:r>
    </w:p>
    <w:p>
      <w:r>
        <w:t>Available abstract (not full text): The article examines the European protection order (hereinafter - EPO) in the context of crime victim protection. The following aspects were considered: general issues of the essence and purpose of the EPO; its correlation with measures under the national law of the EU country; conditions of issuance; issuing and execution procedure; protection of the rights of persons causing danger; the specifications of the execution. The correlation of measures under the EPO with security measures and restrictive measures and restrictive prescriptions under Ukrainian legislation is considered. It is indicated that European researchers identify a number of defects in the regulation of the European protection order, which affects the effectiveness of this tool; this indicates that the provisions of Directive 2011/99/EU may be transformed in the future. As conclusions, it is also stated that: 1) the EPO will not be applicable for to security measures, which are regulated "On ensuring the security of persons participating in criminal proceedings”, taking into account the list of measures in Art. 5 of Directive 2011/99/EU and the provision that the person causing danger must be heard; 2) The EPO will generally be able to be used to interact with restrictive prescription under the Civil Procedure Code of Ukraine and restrictive measures under the Criminal Code and the Criminal Procedure Code of U</w:t>
      </w:r>
    </w:p>
    <w:p>
      <w:r>
        <w:t>POSSIBLE 2024: Projecting traffic flows for road-based passenger transport in Europe for the analysis of climate impact — https://doi.org/10.1186/s12544-024-00652-2</w:t>
      </w:r>
    </w:p>
    <w:p>
      <w:r>
        <w:t>Shared claim-specific concepts: order, able, predict, develop, forecasts; EU scope visible. This is a provisional connection, not an outcome finding.</w:t>
      </w:r>
    </w:p>
    <w:p>
      <w:r>
        <w:t>Available abstract (not full text): Abstract Road-based transport is a significant contributor to global transport emissions of greenhouse gases and local pollutants, thus contributing to the environmental impact of the mobility of people and goods. In order to develop strategies to mitigate this impact, it is necessary to build reliable emission inventories that include sector-specific emissions. Furthermore, the methods for creating these inventories should be applicable for forecasts and scenario calculations to facilitate the evaluation of pathways towards a more sustainable transport system. The study at hand proposes a model-based framework to predict travel demand and its spatial distribution for a bottom-up calculation of road transport emissions in Europe. With this framework, it is possible to calculate emissions based on the road network structure, traffic flows and vehicle types. In order to demonstrate the applicability of the framework for scenario calculations, it is applied to three exemplary scenarios where population data is modified. With the developed methodology, a tool for the large-scale assessment of emissions from road transport is provided, which is able to simulate the impact of socio-economic and economic changes on these emissions.</w:t>
      </w:r>
    </w:p>
    <w:p>
      <w:r>
        <w:t>POSSIBLE 2023: Stochastic weather generator and deep learning approach for predicting and sampling extreme European heatwaves — https://doi.org/10.5194/egusphere-egu23-6131</w:t>
      </w:r>
    </w:p>
    <w:p>
      <w:r>
        <w:t>Shared claim-specific concepts: order, able, predict, forecasts, also; EU scope visible. This is a provisional connection, not an outcome finding.</w:t>
      </w:r>
    </w:p>
    <w:p>
      <w:r>
        <w:t>Available abstract (not full text): Sampling rare events such as extreme heatwaves whose return period is larger than the length of available observations requires developing and benchmarking new simulation methods. There is growing interest in applying deep learning alongside already existing statistical approaches to better generate and predict rare events. Our goal is to benchmark Stochastic Weather Generator (SWG) [1] based on analogs of circulation, soil moisture and temperature as a tool for sampling tails of distribution as well as forecasting heatwaves in France and Scandinavia using data from General Circulation Model (GCM). Analog method has been successfully implemented in rare event algorithms for low dimensional climate models [2]. SWG is implemented using a Markov chain with hidden states (.e.g. geopotential height at 500 hPa) with Euclidean metric. When applying such methods to climate data two challenges emerge: a large number of degrees of freedom and the difficulty of including slow drivers such as soil moisture alongside circulation patterns. Consequently, we are going to discuss ways of adjusting the distance metric of the analog Markov chain and dimensionality reduction techniques such as EOFs and variational auto encoder. By choosing the correct combination of weighted variables in the Euclidean metric and using analogs of only 100 years and generating long synthetic sequences we are able to</w:t>
      </w:r>
    </w:p>
    <w:p>
      <w:r>
        <w:t>POSSIBLE 2022: NeuroAI - A strategic opportunity for Norway and Europe — https://doi.org/10.5617/nmi.9950</w:t>
      </w:r>
    </w:p>
    <w:p>
      <w:r>
        <w:t>Shared claim-specific concepts: order, able, predict; EU scope visible. This is a provisional connection, not an outcome finding.</w:t>
      </w:r>
    </w:p>
    <w:p>
      <w:r>
        <w:t>Available abstract (not full text): At an energy consumption of merely 20 watts, the brain is able to learn, perceive its surroundings, analyze solutions, predict the future and choose actions in a much more general way than any computer algorithm and infrastructure. NeuroAI, an emerging field at the intersection of brain sciences and artificial intelligence, is expected to become a large research field in the years to come. The main promise of NeuroAI is that by understanding how the brain and biological neural networks compute, it will be possible to identify the key components of human intelligence in order to drive the development of a more energy-efficient and flexible artificial intelligence (AI) that will match, perhaps even surpass, human intelligence. NeuroAI is a truly multidisciplinary effort, spanning across several disciplines such as computer science, neuroscience, psychology, philosophy, linguistics, law and ethics. Norway has unique world-class expertise in brain sciences, and a fast growing, well-organized AI community at the highest international level. In this opinion article, we argue that Norway has competitive advantages within NeuroAI, and that Norway has the ideal ecosystem to take a leading role in NeuroAI initiatives in Europe. Norwegian investments in NeuroAI may be a strategic initiative to position Norway in the forefront of AI research worldwide.</w:t>
      </w:r>
    </w:p>
    <w:p>
      <w:r>
        <w:t>POSSIBLE 2022: Predicting potential wildfire severity across Southern Europe with global data sources — https://doi.org/10.1016/j.scitotenv.2022.154729</w:t>
      </w:r>
    </w:p>
    <w:p>
      <w:r>
        <w:t>Shared claim-specific concepts: able, predict, develop, they, potential; EU scope visible. This is a provisional connection, not an outcome finding.</w:t>
      </w:r>
    </w:p>
    <w:p>
      <w:r>
        <w:t>Available abstract (not full text): The large environmental and socioeconomic impacts of wildfires in Southern Europe require the development of efficient generalizable tools for fire danger analysis and proactive environmental management. With this premise, we aimed to study the influence of different environmental variables on burn severity, as well as to develop accurate and generalizable models to predict burn severity. To address these objectives, we selected 23 wildfires (131,490 ha) across Southern Europe. Using satellite imagery and geospatial data available at the planetary scale, we spatialized burn severity as well as 20 pre-burn environmental variables, which were grouped into climatic, topographic, fuel load-type, fuel load-moisture and fuel continuity predictors. We sampled all variables and divided the data into three independent datasets: a training dataset, used to perform univariant regression models, random forest (RF) models by groups of variables, and RF models including all predictors (full and parsimonious models); a second dataset to analyze interpolation capacity within the training wildfires; and a third dataset to study extrapolation capacity to independent wildfires. Results showed that all environmental variables determined burn severity, which increased towards the mildest climatic conditions, sloping terrain, high fuel loads, and coniferous vegetation. In general, the highest predic</w:t>
      </w:r>
    </w:p>
    <w:p>
      <w:pPr>
        <w:pStyle w:val="Heading2"/>
      </w:pPr>
      <w:r>
        <w:t>Integrated assessment of the role of bioenergy within the EU energy transition targets to 2050</w:t>
      </w:r>
    </w:p>
    <w:p>
      <w:r>
        <w:t>Original source (2021): https://doi.org/10.1111/gcbb.12908</w:t>
      </w:r>
    </w:p>
    <w:p>
      <w:r>
        <w:t>Original wording (abstract; indexed_source_text_not_full_document_verified): Bioenergy could provide up to 1GtCO2 or 40% of the overall mitigation needed by the EU in 2050. We use the global integrated assessment model IMAGE 3.2 to project bioenergy demand, sectoral deployment, feedstock, and inter‐regional import for Europe to 2050.</w:t>
      </w:r>
    </w:p>
    <w:p>
      <w:r>
        <w:t>POSSIBLE 2026: Energy Transition in Brazil and the Role of Bioenergy with Carbon Capture and Storage — https://doi.org/10.4236/lce.2026.173005</w:t>
      </w:r>
    </w:p>
    <w:p>
      <w:r>
        <w:t>Shared claim-specific concepts: bioenergy, provide, use, deployment; EU scope not established. This is a provisional connection, not an outcome finding.</w:t>
      </w:r>
    </w:p>
    <w:p>
      <w:r>
        <w:t xml:space="preserve">Available abstract (not full text): Climate change demands robust measures to mitigate greenhouse gas (GHG) emissions. Among carbon dioxide removal approaches assessed in the literature, Bioenergy with Carbon Capture and Storage (BECCS) has received particular attention. This study conducted a narrative literature review of an exploratory and descriptive nature, based on 16 unique articles selected from the ScienceDirect database. The objective was to analyze the role attributed to BECCS technology in the scientific literature within the context of Brazil’s energy transition. The results indicate that Brazil has favorable conditions for BECCS deployment, including extensive bioenergy production, especially ethanol, and geological storage potential. However, the literature also identifies high costs, regulatory barriers, infrastructure constraints, and ecological risks associated with biomass cultivation. Scenario studies reviewed here indicate that BECCS may provide negative emissions that compensate for residual emissions in hard-to-abate sectors and, in some modeled pathways, permit continued partial fossil-fuel use. Accordingly, the possibility that BECCS could be invoked to support continued oil and gas production is treated in this article as a governance risk rather than as an inevitable outcome. Net-negative performance remains conditional on sustainable biomass supply, lifecycle emissions, capture-energy </w:t>
      </w:r>
    </w:p>
    <w:p>
      <w:r>
        <w:t>POSSIBLE 2025: The biodiversity-climate-food nexus: Illustrating challenges and solutions using the Green Shoots framework — https://doi.org/10.1016/j.oneear.2025.101455</w:t>
      </w:r>
    </w:p>
    <w:p>
      <w:r>
        <w:t>Shared claim-specific concepts: bioenergy, provide, needed, integrated; EU scope not established. This is a provisional connection, not an outcome finding.</w:t>
      </w:r>
    </w:p>
    <w:p>
      <w:r>
        <w:t>Available abstract (not full text): Responding to the twin challenges of climate change and biodiversity loss is critical but so is avoiding any unintended consequences of these responses for other sustainability goals such as food security. Here, we explore synergies and trade-offs across the biodiversity-climate-food nexus through the recently developed Green Shoots framework. This approach highlights how different response options (dietary change, sustainable food production and fisheries, afforestation/reforestation, and bioenergy) can have multiple co-benefits, although some can also pose risks to biodiversity, climate change, or food security. Integrated responses are needed, but ultimately, success depends on how effectively they are implemented, and not on the type of response option per se. Society is at a critical juncture for the sustainability of most natural and food systems with today's choices affecting tomorrow's outcomes, and the Green Shoots provide an approach to inform these choices.</w:t>
      </w:r>
    </w:p>
    <w:p>
      <w:r>
        <w:t>POSSIBLE 2025: Deep uncertainty in carbon dioxide removal portfolios — https://doi.org/10.1088/1748-9326/adc613</w:t>
      </w:r>
    </w:p>
    <w:p>
      <w:r>
        <w:t>Shared claim-specific concepts: bioenergy, provide, gtco2, mitigation, deployment; EU scope not established. This is a provisional connection, not an outcome finding.</w:t>
      </w:r>
    </w:p>
    <w:p>
      <w:r>
        <w:t>Available abstract (not full text): Abstract Deep uncertainty about the costs and resource limits of carbon dioxide removal (CDR) options challenges the design of robust portfolios. To address this, we here introduce the CDR sustainable portfolios with endogenous cost model, a mixed-integer linear optimization model for cost-optimal and time-dependent CDR portfolios including endogenous treatment of technology cost dynamics. We explore future uncertainty in three key dimensions: realisable mitigation potentials, cost dynamics, and resource constraints. Our results demonstrate that afforestation and reforestation, and soil carbon sequestration appear as robust options, deployed regardless of the removals required. Direct air carbon capture and storage emerges as the most deployed technology in 2100 at median value (6.7 GtCO2 yr−1), but with the widest range of possible outcomes (interquartile range from 4 to 8.7 GtCO2 yr−1) depending largely on future renewable energy capacity and annual geological storage injection rates. Bioenergy with CCS deployment remains severely constrained by available land, as the median falls from 1.8 to 0.3 GtCO2 yr−1 in land-constrained scenarios, but gains portfolio share when future energy availability is bounded. Our simulations also reveal that ocean alkalinisation could become a dominant solution in high removal scenarios. Evaluating the performance of portfolios beyond economic c</w:t>
      </w:r>
    </w:p>
    <w:p>
      <w:r>
        <w:t>POSSIBLE 2024: Water use in a sustainable net zero energy system: what are the implications of employing bioenergy with carbon capture and storage? — https://doi.org/10.54337/ijsepm.8159</w:t>
      </w:r>
    </w:p>
    <w:p>
      <w:r>
        <w:t>Shared claim-specific concepts: bioenergy, mitigation, needed, use, integrated, assessment; EU scope not established. This is a provisional connection, not an outcome finding.</w:t>
      </w:r>
    </w:p>
    <w:p>
      <w:r>
        <w:t>Available abstract (not full text): Net zero emissions of the global energy and land systems are needed to keep the temperature increase to the 1.5 degrees limit by 2100 as per the Paris Agreement (PA). Furthermore, updated Nationally Determined Contributions (NDCs) now include a net zero target by 2050 or until 2070. These climate policies require rapid technological development towards renewable energy and low carbon emission technologies like nuclear and carbon capture and storage. However, this transition is water intensive as water is needed in power plants cooling, gasification, carbon capture, hydroelectricity, or emission control. In this study, the focus is done on the first three by using an integrated assessment model TIAM-FR. It is based on techno-economic linear optimization and includes a water allocation module. Under two climate scenarios, the energy mixes of the world energy system are scrutinized. The results show that achieving net zero requires renewable energy mainly but would use bioenergy with carbon capture and storage. For the 2018-2100 period, water consumption increases by 100.5% for a 1.5-degree pathway whereas an NDC pathway increases it by 135%. The comparative analysis asses the choice of mitigation solutions with respect to regional water scarcity. At the end, a discussion on the relevant sustainable development goals (2, 6, 7, 13, 15) is presented.</w:t>
      </w:r>
    </w:p>
    <w:p>
      <w:r>
        <w:t>POSSIBLE 2024: Expert insights into future trajectories: assessing cost reductions and scalability of carbon dioxide removal technologies — https://doi.org/10.3389/fclim.2024.1331901</w:t>
      </w:r>
    </w:p>
    <w:p>
      <w:r>
        <w:t>Shared claim-specific concepts: bioenergy, gtco2, deployment; EU scope visible. This is a provisional connection, not an outcome finding.</w:t>
      </w:r>
    </w:p>
    <w:p>
      <w:r>
        <w:t>Available abstract (not full text): Introduction To achieve net-zero targets, it is essential to evaluate and model the costs and scalability of emerging carbon dioxide removal technologies like direct air capture with CO2 storage (DACCS) and bioenergy with carbon capture and storage (BECCS). Yet such efforts are often impeded by varying assessments of the climate impact and potential contributions of these technologies. This study explores the future costs and scalability of DACCS and BECCS to advance net-zero goals. Methods We analyze expert opinions on these technologies’ potential costs and deployment scales for 2030, 2040, and 2050. Data was collected from 34 experts, comprising 21 DACCS and 13 BECCS specialists. They provided 90% confidence interval estimates and ‘best estimates’ for future costs and deployment under two International Energy Agency (IEA) policy scenarios—Stated Policies (STEPS) and Net Zero Emissions by 2050 (NZE). Results We find that BECCS costs start at a lower level but decrease more slowly, whereas DACCS costs decline more steeply from a higher initial cost. However, DACCS estimates varied significantly among experts, showing no convergence over time. Regarding potential scalability, both technologies are associated with substantially higher deployment under the NZE scenario. Yet the combined estimated capacity of DACCS and BECCS by 2050 is only about a quarter of the CO2 removals proj</w:t>
      </w:r>
    </w:p>
    <w:p>
      <w:r>
        <w:t>POSSIBLE 2023: Potential of land-based climate change mitigation strategies on abandoned cropland — https://doi.org/10.1038/s43247-023-00696-7</w:t>
      </w:r>
    </w:p>
    <w:p>
      <w:r>
        <w:t>Shared claim-specific concepts: bioenergy, overall, mitigation, deployment; EU scope not established. This is a provisional connection, not an outcome finding.</w:t>
      </w:r>
    </w:p>
    <w:p>
      <w:r>
        <w:t>Available abstract (not full text): Abstract Natural revegetation, afforestation, and lignocellulosic crops for bioenergy, possibly coupled with a developing technology like carbon capture and storage, are the most common land-based climate change mitigation options. However, they can compete for land and threaten food security or nature conservation. Using abandoned cropland for their deployment can minimize these risks, but associated potentials are unclear. Here, we compare alternative land-based mitigation options by integrating historical and future (up to 2050) abandoned cropland with site-specific biomass yields and life-cycle emissions. Considering natural revegetation in biodiversity priority areas and different measures in the remaining land can achieve a mitigation potential of 0.8–4.0 GtCO2-equivalents yr−1 (2–11% of 2021 global CO2 emissions). Afforestation generally provides larger climate benefits than bioenergy, but bioenergy with carbon capture and storage delivers the highest mitigation in most locations. Overall, these results offer refined estimates of mitigation potentials from abandoned cropland and highlight opportunities for context-specific mitigation measures.</w:t>
      </w:r>
    </w:p>
    <w:p>
      <w:r>
        <w:t>POSSIBLE 2023: Capacity gaps in land-based mitigation technologies and practices: A first stock take — https://doi.org/10.1016/j.landusepol.2023.106888</w:t>
      </w:r>
    </w:p>
    <w:p>
      <w:r>
        <w:t>Shared claim-specific concepts: bioenergy, mitigation, use, regional; EU scope visible. This is a provisional connection, not an outcome finding.</w:t>
      </w:r>
    </w:p>
    <w:p>
      <w:r>
        <w:t>Available abstract (not full text): Land-based mitigation technologies and practices (LMTs) reduce GHG emissions associated with land use and/or enhance terrestrial GHG sinks. This article investigates capacity gaps to successfully facilitate LMT adoption and/or scaling in the regions of Latin America, Europe, North America, sub-Saharan Africa and Southeast Asia. We look at LMTs such as agricultural land management, agroforestry, bioenergy with carbon capture and storage (BECCS), biochar, forest management, and peat/wetland management. We used a triangulation method based on literature review, an online survey, and semi-structured interviews with experts from Academia, Industry, NGOs, Local Communities and Government, to capture and analyze the most prominent capacity gaps by LMT and according to regional contexts. This approach identified ‘understanding’, ‘awareness’ and ‘economic/finance’ as the most important capacity gaps when it comes to LMT adoption and scaling across the aforementioned regions. A recommended first step for increased LMT adoption would be to address the knowledge and understanding capacity gaps, which, in turn, could help make LMTs more attractive to stakeholders. Policymakers in cooperation with other stakeholders might reflect on dedicated support policies and regulatory frameworks that level the playing field for LMTs (as compared to mitigation technologies and practices in energy and ot</w:t>
      </w:r>
    </w:p>
    <w:p>
      <w:r>
        <w:t>POSSIBLE 2023: How replacing fossil fuels with electrofuels could influence the demand for renewable energy and land area — https://doi.org/10.1016/j.segy.2023.100107</w:t>
      </w:r>
    </w:p>
    <w:p>
      <w:r>
        <w:t>Shared claim-specific concepts: bioenergy, needed; EU scope not established. This is a provisional connection, not an outcome finding.</w:t>
      </w:r>
    </w:p>
    <w:p>
      <w:r>
        <w:t>Available abstract (not full text): During recent years, electrofuels (fuels from electricity, water, and carbon) have gained increased interest as substitute for fossil fuels in all energy and chemical sectors. The feasibility of electrofuels has been assessed from a range of aspects but no study has assessed the land area needed if scaling up the production based on renewables. The amount of land on Earth is limited and the competition for land, in a long-term perspective, imposes a risk of, e.g., increased food prices and biodiversity losses. The aim of this paper is to assess how much land area it would require if all fossil fuels were substituted by electrofuels (‘All electrofuel’-scenario) and compare this with the area needed if all fossil fuels were substituted by bioenergy (‘All biomass’-scenario) or by electricity (‘All electric’-scenario). Each scenario represents extreme cases towards fully renewable energy systems to outline the theoretical area needed. Main conclusions are (1) the electricity demand, if substituting all fossil fuels with electrofuels, is huge (1540 EJ) but technically obtainable, demanding 1.1% of the Earth's surface, for solar panels, in the most optimistic case, and (2) the sustainable technical potential for biomass cannot alone substitute all fossil fuels, unless radical energy demand reductions.</w:t>
      </w:r>
    </w:p>
    <w:p>
      <w:r>
        <w:t>POSSIBLE 2022: EU Bioenergy Supply-Chain Projections to 2050 Using a Multi-Model Framework -Combining Macro-Regional Bioenergy Demand and Supply Projections from a Global Iam with a Detailed Regional (Eu27 &amp; UK) Least-Cost Bioenergy Allocation Model – — https://doi.org/10.2139/ssrn.4223426</w:t>
      </w:r>
    </w:p>
    <w:p>
      <w:r>
        <w:t>Shared claim-specific concepts: bioenergy, regional; EU scope visible. This is a provisional connection, not an outcome finding.</w:t>
      </w:r>
    </w:p>
    <w:p>
      <w:r>
        <w:t>Available abstract (not full text): Unavailable</w:t>
      </w:r>
    </w:p>
    <w:p>
      <w:r>
        <w:t>POSSIBLE 2022: Global pathways &amp; EU response: A 2nd European Regional, National and Sectoral assessment — https://doi.org/10.5281/zenodo.7590826</w:t>
      </w:r>
    </w:p>
    <w:p>
      <w:r>
        <w:t>Shared claim-specific concepts: mitigation, assessment, sectoral, regional; EU scope visible. This is a provisional connection, not an outcome finding.</w:t>
      </w:r>
    </w:p>
    <w:p>
      <w:r>
        <w:t>Available abstract (not full text): With the EU policy context fast evolving in the light of recent challenges, such as COVID-19, there is a need to guide and scientifically underpin key policymaking decisions to ensure that ambitious targets are realised. In this context, this deliverable presents a set of EU scenarios that achieve the 55% emission reduction target by 2030 and net zero by 2050, on top of a realistic current policies baseline, essentially ensuring that EU effectively manages its contribution towards achieving the Paris Agreement target. Produced by a diverse set of models in a multi-model setup, the scenarios are assessed in terms of their implications on key climate, economy, and energy indicators, as well as their impact on the member-state and sectoral level. Key results including the role of key mitigation options su h as renewables, electrification, carbon capture and storage, negative emissions technologies, and hydrogen are validated from the l ns of stakeholder input, as elicited in a series of national stakeholder workshops in Europe. Finally, the analysis further delves into niche modelling areas, including updates on the current policies baseline scenario in the light of COVID-19 and the “Fit for 55” package, long term strategies for the Agriculture Forestry and Land-Use sector, and the evaluation of a Carbon Border Adjustment Mechanism.</w:t>
      </w:r>
    </w:p>
    <w:p>
      <w:r>
        <w:t>POSSIBLE 2022: Economic and biophysical limits to seaweed-based climate solutions — https://doi.org/10.31223/x5pg9v</w:t>
      </w:r>
    </w:p>
    <w:p>
      <w:r>
        <w:t>Shared claim-specific concepts: bioenergy, needed, use; EU scope not established. This is a provisional connection, not an outcome finding.</w:t>
      </w:r>
    </w:p>
    <w:p>
      <w:r>
        <w:t>Available abstract (not full text): Net-zero greenhouse gas emissions targets are driving interest in opportunities for biomass-based negative emissions and bioenergy, including from marine sources such as seaweed. Yet the biophysical and economic limits to farming seaweed at scales relevant to the global carbon budget have not been assessed in detail. We use coupled seaweed growth and technoeconomic models to estimate the costs of global seaweed production and related climate benefits, systematically testing the relative importance of model parameters. Under our most optimistic assumptions, sinking farmed seaweed to the deep sea to sequester a gigaton of CO2 per year costs as little as $560/tCO2 on average, while using farmed seaweed for products that avoid a gigaton of CO2-equivalent greenhouse gas (GHG) emissions annually could return a profit of $30/tCO2-eq. However, these costs depend on low farming costs, high seaweed yields, and assumptions that almost all carbon in seaweed is removed from the atmosphere and seaweed products can displace products with substantial embodied non-CO2 GHG emissions. Moreover, the gigaton-scale climate benefits we model would require farming vary large areas (&gt;100,000 km2)—a &gt;40-fold increase in the area currently farmed. Our results therefore suggest that seaweed-based climate benefits may be feasible, but targeted research and demonstrations are needed to further reduce econom</w:t>
      </w:r>
    </w:p>
    <w:p>
      <w:r>
        <w:t>POSSIBLE 2022: Energy requirements and carbon emissions for a low-carbon energy transition — https://doi.org/10.1038/s41467-022-33976-5</w:t>
      </w:r>
    </w:p>
    <w:p>
      <w:r>
        <w:t>Shared claim-specific concepts: gtco2, mitigation, deployment; EU scope not established. This is a provisional connection, not an outcome finding.</w:t>
      </w:r>
    </w:p>
    <w:p>
      <w:r>
        <w:t>Available abstract (not full text): Abstract Achieving the Paris Agreement will require massive deployment of low-carbon energy. However, constructing, operating, and maintaining a low-carbon energy system will itself require energy, with much of it derived from fossil fuels. This raises the concern that the transition may consume much of the energy available to society, and be a source of considerable emissions. Here we calculate the energy requirements and emissions associated with the global energy system in fourteen mitigation pathways compatible with 1.5 °C of warming. We find that the initial push for a transition is likely to cause a 10–34% decline in net energy available to society. Moreover, we find that the carbon emissions associated with the transition to a low-carbon energy system are substantial, ranging from 70 to 395 GtCO2 (with a cross-scenario average of 195 GtCO2). The share of carbon emissions for the energy system will increase from 10% today to 27% in 2050, and in some cases may take up all remaining emissions available to society under 1.5 °C pathways.</w:t>
      </w:r>
    </w:p>
    <w:p>
      <w:pPr>
        <w:pStyle w:val="Heading2"/>
      </w:pPr>
      <w:r>
        <w:t>Legume dreams: The contested futures of sustainable plant-based food systems in Europe</w:t>
      </w:r>
    </w:p>
    <w:p>
      <w:r>
        <w:t>Original source (2021): https://doi.org/10.1016/j.gloenvcha.2021.102321</w:t>
      </w:r>
    </w:p>
    <w:p>
      <w:r>
        <w:t>Original wording (abstract; indexed_source_text_not_full_document_verified): It identifies six food futures, each of which is made possible through the greater use of legumes in various production, processing, marketing and consumption contexts. But as the environmental consequences of agriculture (biodiversity loss, high greenhouse gas emissions, water pollution) and the health outcomes of modern diets (heart disease, cancer, diabetes, obesity) become better known, so great and varied hopes are being expressed about the future role of legumes in the food system.</w:t>
      </w:r>
    </w:p>
    <w:p>
      <w:r>
        <w:t>POSSIBLE 2025: European consumers' involvement with date labels and implications for household food waste — https://doi.org/10.1016/j.foodqual.2025.105522</w:t>
      </w:r>
    </w:p>
    <w:p>
      <w:r>
        <w:t>Shared claim-specific concepts: identifies, six, food, use, but; EU scope visible. This is a provisional connection, not an outcome finding.</w:t>
      </w:r>
    </w:p>
    <w:p>
      <w:r>
        <w:t>Available abstract (not full text): Food waste (FW) in the European Union remains a significant challenge, with over 58 million tons generated annually. Consumer behavior, particularly in relation to food-date labels, is a key factor influencing FW. This study focuses on patterns of involvement with date labels, examining how understanding, attention, and behavioral responses to date labels vary across consumer segments. By clustering consumers based on these dimensions, the research aims to identify distinct involvement patterns toward date labels and the impact on FW decisions. The study involved 1507 consumers (54.6 % female, mean age = 44.9 years) from six EU countries (Belgium, France, Germany, Italy, Spain, Sweden). Participants completed an online questionnaire assessing their understanding, attention, and behavioral responses to date labels, alongside their reported domestic FW behaviors, sociodemographics, and FW management skills. Results indicate that 75.2 % of European consumers understand the difference between ‘use by’ and ‘best before’ dates, and over 80 % correctly identify the meanings of these terms. Increased understanding correlates with reduced household FW, but this factor alone is insufficient to significantly lower waste levels. Additionally, enhanced use of date labels plays a crucial role in minimizing FW. The study identifies distinct consumer segments toward date labels: “Higher involv</w:t>
      </w:r>
    </w:p>
    <w:p>
      <w:r>
        <w:t>POSSIBLE 2024: An Exploration of Food Sustainability Practices in the Food Industry across Europe — https://doi.org/10.3390/su16167119</w:t>
      </w:r>
    </w:p>
    <w:p>
      <w:r>
        <w:t>Shared claim-specific concepts: food, greater, environmental, emissions; EU scope visible. This is a provisional connection, not an outcome finding.</w:t>
      </w:r>
    </w:p>
    <w:p>
      <w:r>
        <w:t>Available abstract (not full text): Sustainability is becoming essential and actively debated in the food sector, influencing companies and stakeholders globally. Sustainability practices have been developed and integrated into food industry actions and policies to meet present needs without compromising future needs. The aim of this study was to explore the current sustainability practices across the food industry in Europe and how initiatives are developed, implemented and evaluated to achieve food sustainability targets. This study formed part of a larger European project (2022-1-IE01-KA220-VET-000087508 Digitalisation of Sustainable Health Education). In-depth semi-structured interviews were conducted with 21 food industry employees with expertise in sustainability across Ireland, Poland, Lithuania, and Cyprus. Interviews were transcribed and thematically analysed. Three themes were identified: sustainable practices challenges, facilitators of green practice, and thinking to the future, Complying with the Science-Based Targets initiative, and setting emissions targets such net zero by 2050 and reducing waste output, drove sustainable activities. Participants identified barriers to initiative development and implementation including cost, monitoring time, product quality, and employee engagement. Employee and stakeholder understanding were crucial to sustainability initiative success. Gaps in research were ide</w:t>
      </w:r>
    </w:p>
    <w:p>
      <w:r>
        <w:t>POSSIBLE 2024: Robustness of business models for insect production for feed and food in Europe — https://doi.org/10.1163/23524588-00001141</w:t>
      </w:r>
    </w:p>
    <w:p>
      <w:r>
        <w:t>Shared claim-specific concepts: six, food, use, production, processing, but; EU scope visible. This is a provisional connection, not an outcome finding.</w:t>
      </w:r>
    </w:p>
    <w:p>
      <w:r>
        <w:t>Available abstract (not full text): Abstract Insects and their derivatives are increasingly recognised as a (more) sustainable and circular protein source for feed and food. The European insect industry is growing, but upscaling remains a challenge due to multiple uncertainties. This study analysed the robustness of three different business models for insect production for feed and food in six future scenarios. Business models and scenarios were identified through literature review and refined through expert elicitation (n = 5). The three business models comprised: (1) full-liner black soldier fly production for pet food , (2) decentralised black soldier fly production for aquafeed , and (3) mealworm processing cooperative for food . The six scenarios addressed uncertainties around the use of side streams, insect welfare, energy, and sustainability. We used the Business Model Stress Test in four focus groups with experts (n = 23) from six European countries. Heat maps for three distinct business models were presented, detailing the impacts of scenarios on business model components. Experts regarded full-liner black soldier fly production for pet food and mealworm processing cooperative for food as more robust than decentralised black soldier fly production for aquafeed . These differences were mainly related to the customer segments , value proposition , revenue structure , and cost structure . In full-liner blac</w:t>
      </w:r>
    </w:p>
    <w:p>
      <w:r>
        <w:t>POSSIBLE 2024: Food allergy outside the eight big foods in Europe: A systematic review and meta‐analysis — https://doi.org/10.1002/clt2.12338</w:t>
      </w:r>
    </w:p>
    <w:p>
      <w:r>
        <w:t>Shared claim-specific concepts: six, food, each, but; EU scope visible. This is a provisional connection, not an outcome finding.</w:t>
      </w:r>
    </w:p>
    <w:p>
      <w:r>
        <w:t xml:space="preserve">Available abstract (not full text): BACKGROUND: The 2014 estimates of prevalence of food allergy (FA) in Europe published by the European Academy of Allergy and Clinical Immunology included only the eight so-called big foods (cow's milk/egg/wheat/soy/peanut/tree nuts/fish/shellfish). Those estimates have recently been updated. Complementing this, we sought to identify and estimate the prevalence of allergy to other foods that have been reported during the last decade. METHODS: Six databases were searched for studies published 2012-2021. Random-effects meta-analysis was performed to derive pooled prevalence of allergy to each food. RESULTS: Twenty-seven studies were included, containing a total of 66 FAs. Among the most frequently reported FAs, the lifetime and point prevalence range of self-reported kiwi allergy was 0.1%-1.0% and 0.2%-8.1%, respectively, while the food challenge (FC)-verified kiwi allergy point prevalence range was 0.01%-0.10%. The point prevalence range for self-reported peach allergy was 0.2%-3.2%, while the range for FC-verified peach allergy was 0.02%-0.05%. The lifetime and point prevalence range for self-reported tomato allergy was 0.01%-1.8% and 0.2%-2.1%, respectively. CONCLUSION: Allergy to some foods traditionally not considered important are now emerging as relevant FAs. The focus on FA in Europe should not be limited to the so-called eight big FA, but extended to other types of foods </w:t>
      </w:r>
    </w:p>
    <w:p>
      <w:r>
        <w:t>POSSIBLE 2024: Mapping lock-ins and enabling environments for agri-food sustainability transitions in Europe — https://doi.org/10.1007/s11625-024-01480-y</w:t>
      </w:r>
    </w:p>
    <w:p>
      <w:r>
        <w:t>Shared claim-specific concepts: food, each, production, consumption, agriculture, emissions; EU scope visible. This is a provisional connection, not an outcome finding.</w:t>
      </w:r>
    </w:p>
    <w:p>
      <w:r>
        <w:t>Available abstract (not full text): European agri-food systems must overcome structural lock-ins to achieve more sustainable modes of production and consumption. Yet European regions are highly diverse, and we lack understanding of how different regional characteristics may enable or inhibit sustainability transitions. This hinders the development of context-tailored governance strategies. In this paper, we identify and apply sets of spatial indicators to map the regional potentials for agri-food transitions. We first analyse the strength of lock-in to the incumbent agro-industrial paradigm. We then map the enabling environments for two alternative agri-food networks-multifunctional value chains and civic food networks-that each embed distinct social-ecological qualities of agriculture and food. Results demonstrate a large spatial diversity in transition potential, with stronger lock-ins throughout North and Western Europe and stronger enabling environments for agri-food transitions in Italy, France, Switzerland, and Southwest Germany. We find that lock-ins are strongest in livestock-dominated regions and are associated with higher GHG emissions and excess nitrogen levels. Our study demonstrates the need for coordinated public policies that (1) leverage region-specific transition potentials and (2) enable complementary innovations in market-based and community-led networks. Supplementary Information: The online v</w:t>
      </w:r>
    </w:p>
    <w:p>
      <w:r>
        <w:t>POSSIBLE 2024: Vulnerability of terrestrial vertebrate food webs to anthropogenic threats in Europe — https://doi.org/10.1111/gcb.17253</w:t>
      </w:r>
    </w:p>
    <w:p>
      <w:r>
        <w:t>Shared claim-specific concepts: six, food, various, consequences, biodiversity; EU scope visible. This is a provisional connection, not an outcome finding.</w:t>
      </w:r>
    </w:p>
    <w:p>
      <w:r>
        <w:t>Available abstract (not full text): Vertebrate species worldwide are currently facing significant declines in many populations. Although we have gained substantial knowledge about the direct threats that affect individual species, these threats only represent a fraction of the broader vertebrate threat profile, which is also shaped by species interactions. For example, threats faced by prey species can jeopardize the survival of their predators due to food resource scarcity. Yet, indirect threats arising from species interactions have received limited investigation thus far. In this study, we investigate the indirect consequences of anthropogenic threats on biodiversity in the context of European vertebrate food webs. We integrated data on trophic interactions among over 800 terrestrial vertebrates, along with their associated human-induced threats. We quantified and mapped the vulnerability of various components of the food web, including species, interactions, and trophic groups to six major threats: pollution, agricultural intensification, climate change, direct exploitation, urbanization, and invasive alien species and diseases. Direct exploitation and agricultural intensification were two major threats for terrestrial vertebrate food webs: affecting 34% and 31% of species, respectively, they threaten 85% and 69% of interactions in Europe. By integrating network ecology with threat impact assessments, our stu</w:t>
      </w:r>
    </w:p>
    <w:p>
      <w:r>
        <w:t>POSSIBLE 2024: Understanding the role of biodiversity in the climate, food, water, energy, transport and health nexus in Europe — https://doi.org/10.1016/j.scitotenv.2024.171692</w:t>
      </w:r>
    </w:p>
    <w:p>
      <w:r>
        <w:t>Shared claim-specific concepts: food, each, use, but, biodiversity, loss; EU scope visible. This is a provisional connection, not an outcome finding.</w:t>
      </w:r>
    </w:p>
    <w:p>
      <w:r>
        <w:t>Available abstract (not full text): Biodiversity underpins the functioning of ecosystems and the diverse benefits that nature provides to people, yet is being lost at an unprecedented rate. To halt or reverse biodiversity loss, it is critical to understand the complex interdependencies between biodiversity and key drivers and sectors to inform the development of holistic policies and actions. We conducted a literature review on the interlinkages between biodiversity and climate change, food, water, energy, transport and health ("the biodiversity nexus"). Evidence extracted from 194 peer-reviewed articles was analysed to assess how biodiversity is being influenced by and is influencing the other nexus elements. Out of the 354 interlinkages between biodiversity and the other nexus elements, 53 % were negative, 29 % were positive and 18 % contained both positive and negative influences. The majority of studies provide evidence of the negative influence of other nexus elements on biodiversity, highlighting the substantial damage being inflicted on nature from human activities. The main types of negative impacts were land or water use/change, land or water degradation, climate change, and direct species fatalities through collisions with infrastructure. Alternatively, evidence of biodiversity having a negative influence on the other nexus elements was limited to the effects of invasive alien species and vector-borne d</w:t>
      </w:r>
    </w:p>
    <w:p>
      <w:r>
        <w:t>POSSIBLE 2023: Perspective: Food and Nutrition Insecurity in Europe: Challenges and Opportunities for Dietitians — https://doi.org/10.1016/j.advnut.2023.07.008</w:t>
      </w:r>
    </w:p>
    <w:p>
      <w:r>
        <w:t>Shared claim-specific concepts: identifies, food, consequences; EU scope visible. This is a provisional connection, not an outcome finding.</w:t>
      </w:r>
    </w:p>
    <w:p>
      <w:r>
        <w:t xml:space="preserve">Available abstract (not full text): In recent years, the interest in food and nutrition insecurity in high-income countries has skyrocketed. However, its recognition in Europe is still developing. This perspective summarizes the evidence on food and nutrition insecurity across Europe in terms of prevalence, consequences, and current mitigation strategies, with the aim of outlining the challenges and opportunities for dietitians. Prevalence in the general population ranges between 5% and 20%, with higher rates identified in women, children, older adults, single-parent households, those with low educational attainment, and on low or unstable income and/or employment. In users of food aid, the prevalence of food insecurity is above 70%. Responses to food and nutrition insecurity include welfare policies and food assistance programs at regional and national levels. However, most current strategies are not successful in tackling the structural drivers of food and nutrition insecurity, nor do they guarantee diet quality. Despite limited involvement to-date, dietitians can play an important role in addressing food and nutrition insecurity across Europe. This narrative identifies 4 areas: 1) create awareness of the existence and severity of food and nutrition insecurity, 2) advocate for comprehensive, robust data on the determinants and prevalence, 3) partner with diverse stakeholders, social assistance providers, local </w:t>
      </w:r>
    </w:p>
    <w:p>
      <w:r>
        <w:t>POSSIBLE 2022: Identifying the Key Success Factors of Plant-Based Food Brands in Europe — https://doi.org/10.3390/su15010306</w:t>
      </w:r>
    </w:p>
    <w:p>
      <w:r>
        <w:t>Shared claim-specific concepts: six, food, each, marketing, but, high; EU scope visible. This is a provisional connection, not an outcome finding.</w:t>
      </w:r>
    </w:p>
    <w:p>
      <w:r>
        <w:t>Available abstract (not full text): Plant-based food (PBF) is on the rise as an alternative for animal-based food. Europe is leading in the market size compared with the global market. However, the high failure rate for new food products is challenging the success of new PBF in the market. This paper aims to unravel the key success factors (KSFs) from existing brands, contributing to the knowledge on how to achieve success in PBF market. Two subsequent studies employing online surveys were included, which targeted food expert participants. Study 1 focused on the collection of KSFs related to PBF brands utilizing the card sorting approach. Study 2 employed cluster analysis to further investigate the KSFs among different PBF brands. The findings identified six clusters of KSFs under the external and internal factors supporting the success of the PBF brands. Two (‘Consumer’ and ‘Trend’) and four (‘Ideology’, ‘Marketing strategy’, ‘Innovation management’, and ‘Management structure’) clusters were assigned into external and internal factors, respectively. Furthermore, cluster analysis identified four brand clusters: ‘Mature’, ‘Targeted’, ‘Newcomer’, and ‘Established but diversifying’ clusters. Each brand cluster utilized different KSFs into their strategies; however, both external and internal factors were applied, suggesting that there is no one-size-fits-all KSF to succeed in the market.</w:t>
      </w:r>
    </w:p>
    <w:p>
      <w:r>
        <w:t>POSSIBLE 2022: Review of food safety hazards in circular food systems in Europe — https://doi.org/10.1016/j.foodres.2022.111505</w:t>
      </w:r>
    </w:p>
    <w:p>
      <w:r>
        <w:t>Shared claim-specific concepts: food, production, processing, but, high; EU scope visible. This is a provisional connection, not an outcome finding.</w:t>
      </w:r>
    </w:p>
    <w:p>
      <w:r>
        <w:t>Available abstract (not full text): European food production systems have become very efficient in terms of high yield, quality and safety. However, these production systems are not sustainable since, amongst other reasons, a significant proportion of the production is wasted or lost in the supply chain. One of the strategies of the European Union is to achieve climate neutrality by moving towards a circular economy with better waste management. This includes, reducing food waste and losses, and reusing or recycling by-products of the food and feed production systems. A circular economy would greatly improve the sustainability of the European food systems, but attention must be paid to the emergence of (new) food safety hazards. New or not well-known hazards can occur because by-products are reintroduced into the system or new processing steps are used for recycling, and/or known hazards can accumulate in the food production chain due to the reuse of (by-)products. This review addresses food safety hazards in the circular biobased economy, covering the domains of plant production, animal production, aquaculture, and packaging. Instead of an exhaustive list of all potential hazards, example cases of circular food production systems are given, highlighting the known and potential emerging food safety hazards. Current literature covering emerging food safety hazards in the circular economy shows to be limited. There</w:t>
      </w:r>
    </w:p>
    <w:p>
      <w:r>
        <w:t>POSSIBLE 2022: Food labeling in the European Union: a review of existing approaches — https://doi.org/10.1108/ijhg-07-2022-0072</w:t>
      </w:r>
    </w:p>
    <w:p>
      <w:r>
        <w:t>Shared claim-specific concepts: identifies, six, food, each, use; EU scope visible. This is a provisional connection, not an outcome finding.</w:t>
      </w:r>
    </w:p>
    <w:p>
      <w:r>
        <w:t>Available abstract (not full text): Purpose This review explores the phenomenon of front-of-pack nutrition labels (FoPNLs) in the European Union (EU). FoPNLs highlight the nutritional quality of food and non-alcoholic beverages and help consumers to make healthier choices. The review explores different types of FoPNLs and evaluates their effectiveness. Design/methodology/approach A policy analysis was conducted, relying on extant academic literature, grey literature and policy documents. The use of current FoPNLs is interpreted in light of national and economic interests. Findings Our review identifies and describes seven government endorsed FoPNLs that are currently used in the EU. Five are positive endorsement labels (Croatia, Czech Republic, Denmark, Lithuania, Slovenia and Sweden), which only provide a positive indication on more healthy products. The Keyhole is used in three EU countries (Denmark, Lithuania and Sweden), while the others are used in one country each. The Nutri-Score represents a summary label, which provides an overall grade of how healthy a product is. It is used in six countries (Belgium, France, Germany, Netherlands, Spain and Luxembourg). Finally, the Nutrinform battery is a nutrient-specific non-interpretive scheme, indicating the content of nutrients in a portion of a food product. All identified labels are only used on a voluntary basis, encouraging selective use. Originality/value Thi</w:t>
      </w:r>
    </w:p>
    <w:p>
      <w:r>
        <w:t>POSSIBLE 2022: Experiences and perceptions of nutritional health and wellbeing amongst food insecure women in Europe: A qualitative meta-ethnography — https://doi.org/10.1016/j.socscimed.2022.115313</w:t>
      </w:r>
    </w:p>
    <w:p>
      <w:r>
        <w:t>Shared claim-specific concepts: six, food, greater; EU scope visible. This is a provisional connection, not an outcome finding.</w:t>
      </w:r>
    </w:p>
    <w:p>
      <w:r>
        <w:t>Available abstract (not full text): Since the 2008 global financial crisis, there has been a rise in the number of people experiencing food insecurity. Particularly vulnerable are mothers with young children, pregnant women, and lone parents (the majority of whom are women). This systematic review and meta-ethnography of qualitative studies focused on women's experiences of food insecurity and how it affects their nutritional health and wellbeing. Six electronic databases (Medline, Scopus, Web of Science, EMBASE, CINAHL and ASSIA), were searched from January 1, 2008-July 10, 2021, and supplemented by searches of grey literature databases, relevant websites, examination of reference lists and citation searches. We adhered to PRISMA and eMERGe guidelines to improve the completeness and clarity of meta-ethnographic reporting. Methodological quality of the studies was assessed using the Critical Appraisal Skills Programme qualitative checklist. We identified 11,589 unique records; we included 23 publications reporting data from 22 unique studies involving 647 women. Data were synthesised according to Noblit &amp; Hare's seven phases of meta-ethnography. We identified two key themes - accessing sufficient food and embodying food insecurity - comprising seven sub-themes. Our meta-ethnography provides a progressive 'storyline' of women's experiences of food insecurity. This includes the ways in which women attempt to access</w:t>
      </w:r>
    </w:p>
    <w:p>
      <w:pPr>
        <w:pStyle w:val="Heading2"/>
      </w:pPr>
      <w:r>
        <w:t>Macro Study of Global Electric Vehicle Expansion</w:t>
      </w:r>
    </w:p>
    <w:p>
      <w:r>
        <w:t>Original source (2021): https://doi.org/10.17323/2500-2597.2021.1.67.73</w:t>
      </w:r>
    </w:p>
    <w:p>
      <w:r>
        <w:t>Original wording (abstract; indexed_source_text_not_full_document_verified): Results suggest that the adoption of BEVs demonstrates a better fit on the Bass model where the global BEV market is estimated to grow from 5,3 millions in 2019 to near 40 millions units by 2030, and with the reference of the EU countries’ adoption scenario, the global charging stations will be increased from near 2 millions in 2019 to near 10 millions units by 2030.</w:t>
      </w:r>
    </w:p>
    <w:p>
      <w:r>
        <w:t>POSSIBLE 2026: A BIBLIOMETRIC-ASSISTED LITERATURE REVIEW AND PROPOSED CONCEPTUAL FRAMEWORK OF CONSUMER BEV ADOPTION — https://doi.org/10.5281/zenodo.21900162</w:t>
      </w:r>
    </w:p>
    <w:p>
      <w:r>
        <w:t>Shared claim-specific concepts: adoption, bevs, bev; EU scope not established. This is a provisional connection, not an outcome finding.</w:t>
      </w:r>
    </w:p>
    <w:p>
      <w:r>
        <w:t>Available abstract (not full text): This study reviews and synthesizes the literature on consumer adoption of battery electric vehicles (BEVs) to construct a proposed comprehensive conceptual framework. Although previous research has identified multiple determinants of BEV adoption, findings remain fragmented across psychological, economic, technological, policy, and social domains, limiting a comprehensive understanding. To address this gap, this study employs a bibliometric-assisted systematic literature review, following PRISMA-2020 and SPAR-4-SLR guidelines, covering Scopus-indexed publications from 2015 to 2025. A total of 198 studies were analyzed. The findings show that most studies on BEV still focus on adoption intentions and factor-based approaches, while studies on actual adoption behavior and post-adoption phases remain limited. Bibliometric mapping identifies strong thematic clusters, but the relationships between domains are still weak, indicating the need for a more process-oriented explanatory approach. Therefore, this study developed a proposed conceptual framework that conceptualizes BEV adoption as a gradual decision-making process. The framework integrates perceived technological attributes, value and risk evaluations, attitudes, intentions, and actual adoption, with policy and social contexts acting as moderating factors. Overall, this research contributes by shifting the focus from intention</w:t>
      </w:r>
    </w:p>
    <w:p>
      <w:r>
        <w:t>POSSIBLE 2026: Remaining Capacity of LFP and NMC Batteries—Extensive Analysis of Commercially Available BEV Models in European Union — https://doi.org/10.3390/app16157756</w:t>
      </w:r>
    </w:p>
    <w:p>
      <w:r>
        <w:t>Shared claim-specific concepts: bevs, bev; EU scope visible. This is a provisional connection, not an outcome finding.</w:t>
      </w:r>
    </w:p>
    <w:p>
      <w:r>
        <w:t>Available abstract (not full text): The increasing number of new battery electric vehicle (BEV) registrations worldwide and the development of advanced batteries with higher energy density and pack capacity have contributed to large volumes of batteries approaching the end of their first service life. The retired batteries may be repurposed in second-life applications or recycled. The degradation profile of BEVs is a critical determinant in second-life potential of the retired batteries. This study presents a comprehensive analysis of calendar and cycle mechanisms in lithium iron phosphate (LFP) and nickel manganese cobalt oxide (NMC) batteries across 37 commercially available BEV models in the European Union (EU) market. Three scenarios are considered, based on the operational temperature—Scenario I with a 273.15 K, Scenario II with a 298.15 K, and Scenario III with a 318.15 K operational temperature—and two degradation metrics are determined for each analyzed BEV: state-of-health (SoH) and remaining capacity at end-of-life (EoL). The results show that the SoH of both chemistries is highly dependent on the state-of-charge (SoC), temperature, depth of discharge (DoD), and real usable capacity. Moreover, the Tesla Model 3–Premium RWD, Volkswagen ID.3, ID.4, and ID5–GTX, and the Tesla Model Y–Premium AWD all exhibit a remaining capacity between 40 and 77 kWh at EoL, depending on degradation profile, making them a v</w:t>
      </w:r>
    </w:p>
    <w:p>
      <w:r>
        <w:t>POSSIBLE 2026: Analysis of travel activity patterns and charging choices of BEV users in Japan — https://doi.org/10.1007/s11116-026-10787-x</w:t>
      </w:r>
    </w:p>
    <w:p>
      <w:r>
        <w:t>Shared claim-specific concepts: suggest, bev, estimated, charging; EU scope not established. This is a provisional connection, not an outcome finding.</w:t>
      </w:r>
    </w:p>
    <w:p>
      <w:r>
        <w:t>Available abstract (not full text): Battery electric vehicle (BEV) users must integrate charging into their daily travel routines in ways unlike conventional refueling, requiring a deliberate coordination of trip purposes, time constraints, and charging accessibility. Understanding these behavioral charging decisions is critical for supporting the long-term sustainability and usability of EV systems. Yet most prior studies focus on infrastructure placement or isolated aspects of charging decisions, without systematically integrating activity-based travel routines into behavioral models. This study addresses that gap by investigating how BEV users in Japan choose between home charging and fast charging, focusing on trip purposes, acceptable waiting time, and socio-demographic characteristics. Using survey data from 441 BEV users across the Chubu and Kanto regions of Japan, three structural equation models (SEMs) are estimated to examine the behavioral pathways underlying charging decisions. Model 1 captures the baseline effects of socio-demographics and time sensitivity. Model 2 introduces total trip frequency as a mediator, and Model 3 disaggregates trip purposes—commuting, shopping, and leisure—to examine their effects on charging behavior. The results indicate that trip activity patterns are significant determinants of charging behavior. Commuting trips are most consistently associated with home charging, refle</w:t>
      </w:r>
    </w:p>
    <w:p>
      <w:r>
        <w:t>POSSIBLE 2025: What has driven the adoption of BEV and PHEV in the EU? — https://doi.org/10.1016/j.rtbm.2025.101331</w:t>
      </w:r>
    </w:p>
    <w:p>
      <w:r>
        <w:t>Shared claim-specific concepts: adoption, bev, countries, charging, stations; EU scope visible. This is a provisional connection, not an outcome finding.</w:t>
      </w:r>
    </w:p>
    <w:p>
      <w:r>
        <w:t>Available abstract (not full text): Moving towards greater electric mobility in Europe is fundamental for energy transition and reducing fossil fuel dependence. This paper analyses the role of socioeconomic, environmental, and technical factors on the diffusion of battery electric vehicles (BEV) and plug-in electric vehicles (PHEV) into the market. Annual panel data from 2010 to 2020 for 25 European countries were used by recurring to the Driscoll-Kraay estimator. BEV and PHEV sales market share was employed to measure both vehicles' diffusion. The main findings indicate that the fast public charging stations drive the adoption of both BEV and PHEV. The normal charging stations block the adoption of BEV and have no significant impact on PHEV sales. This paper provides empirical evidence suggesting that higher income levels do not lead to substituting traditional vehicles for EV. Particular attention should be paid to the negative role of environmental tax revenues in adopting both BEV and PHEV. Our findings indicate that those paying additional taxes for polluting activities do not have the financial capacity to buy an EV. To address this situation, policymakers could incentivise the use of EV instead of encouraging purchases, providing, for instance, special prices at tolls.</w:t>
      </w:r>
    </w:p>
    <w:p>
      <w:r>
        <w:t>POSSIBLE 2025: Global trends in electric vehicle adoption and the impact of environmental awareness, user attributes, and barriers — https://doi.org/10.1016/j.egyr.2024.12.054</w:t>
      </w:r>
    </w:p>
    <w:p>
      <w:r>
        <w:t>Shared claim-specific concepts: adoption, bevs, countries; EU scope visible. This is a provisional connection, not an outcome finding.</w:t>
      </w:r>
    </w:p>
    <w:p>
      <w:r>
        <w:t xml:space="preserve">Available abstract (not full text): Electric vehicles, powered by one or more electric motors, offer numerous advantages, such as reduced noise pollution, a cleaner environment, and lower operating costs. The selection of electric cars could be influenced by various drivers including environmental awareness, user attributes, barriers, incentives, and user awareness. Accordingly, this paper aimed to explore the impacts of those influential drivers on adopting kinds of electric vehicles by considering spatiotemporal patterns. In this paper, the meta-regression approach was run to combine the findings of 38 primary articles from 1990 to 2023. In this context, the effects of main drivers on adopting electric vehicles were assessed in Battery Electric Vehicles (BEVs), Plug-in Hybrid Electric Vehicles (PHEVs), and Hybrid Electric Vehicles (HEVs). The findings indicate that the main drivers influence the selection of electric cars. The meta-regression results showed that achieving electric vehicle adoption can be globally influenced by environmental awareness ( β = 0.23), user attributes ( β = 0.17), barriers ( β = −0.07), and user awareness ( β = 0.12). The highest spatial effect is related to the adoption of BEVs ( β = 0.17) by European countries. Accordingly, the use of electric cars is recommended, especially in large countries that emit greenhouse gases such as China and India . The expansion of electric vehicles, </w:t>
      </w:r>
    </w:p>
    <w:p>
      <w:r>
        <w:t>POSSIBLE 2025: Analysis of Antecedent Factors Influencing the Adoption and Conversion of Two-Wheeled Battery Electric Vehicles (BEVs) in East Kalimantan Province — https://doi.org/10.12928/si.v23i2.467</w:t>
      </w:r>
    </w:p>
    <w:p>
      <w:r>
        <w:t>Shared claim-specific concepts: adoption, bevs, bev, increased; EU scope not established. This is a provisional connection, not an outcome finding.</w:t>
      </w:r>
    </w:p>
    <w:p>
      <w:r>
        <w:t>Available abstract (not full text): The rise in motorcycle ownership in Indonesia has increased energy consumption and greenhouse gas emissions, challenging the country's net-zero target by 2060. To mitigate this, the government is promoting the adoption and conversion of two-wheeled Battery Electric Vehicles (BEVs), but implementation remains below target, implying behavioral factors as a major barrier. This study analyzes the determinants influencing consumer and potential consumer behavior in adopting two-wheeled BEVs in East Kalimantan, a strategic region supporting the Indonesian Capital City. Using the Field Theory framework, the model integrates the Theory of Planned Behavior (TPB), which represents personal factors (Attitude, Subjective Norm, Perceived Behavioral Control, and Intention), and the Electric Vehicle Ecosystem (EVE), which represents environmental factors (Performance, Infrastructure, Price, and Features). Data from 400 respondents were analyzed using SEM-PLS, which explained 65.8% of the variance in adoption intention. The results show that Subjective Norms, Perceived Behavioral Control, Performance, Price, and Features significantly influence intention, while Attitude and Infrastructure do not. These findings reveal that consumers view two-wheeled BEVs primarily as functional alternatives to conventional motorcycles, rather than as environmentally friendly innovations. The contributes of thi</w:t>
      </w:r>
    </w:p>
    <w:p>
      <w:r>
        <w:t>POSSIBLE 2025: Factors Influencing the Purchase of Battery Electric Vehicles (BEVs) — https://doi.org/10.31803/tg-2024052312222</w:t>
      </w:r>
    </w:p>
    <w:p>
      <w:r>
        <w:t>Shared claim-specific concepts: bevs, better, bev, charging; EU scope visible. This is a provisional connection, not an outcome finding.</w:t>
      </w:r>
    </w:p>
    <w:p>
      <w:r>
        <w:t>Available abstract (not full text): This research aims to identify the key factors influencing the new registrations of battery electric vehicles (BEVs) in Germany. Focusing the topics economy, mobility change and climate sustainability a mixed-methods approach was used combining a regression analysis based on public databases and qualitative interviews with experts, represented by vehicle testing organizations, BEV leasing companies, car dealerships and automotive magazines. The study revealed similarities as well as discrepancies between expert opinions and the regression analysis results in the fields of real GDP, education rate, the average range of BEVs, the real estate price index, charging infrastructure and political conviction. Regarding practical implications, the results of this study help BEV manufacturers to enhance their marketing and product strategies. The findings of this study could help decision-makers to better understand the mind set of BEV customers.</w:t>
      </w:r>
    </w:p>
    <w:p>
      <w:r>
        <w:t>POSSIBLE 2025: E-Private Mobility Index: A Novel Tool for Assessing BEV Transition Feasibility — https://doi.org/10.3390/su17093983</w:t>
      </w:r>
    </w:p>
    <w:p>
      <w:r>
        <w:t>Shared claim-specific concepts: bevs, bev, charging; EU scope visible. This is a provisional connection, not an outcome finding.</w:t>
      </w:r>
    </w:p>
    <w:p>
      <w:r>
        <w:t>Available abstract (not full text): While the speed of the transition to battery electric vehicles (BEVs) depends on real-world driving behaviors and socioeconomic conditions, relevant predictions are often not based on real trip data. This study analyzes over 200,000 private car trips, tracked via onboard telematics across Italy, in order to assess the feasibility of replacing internal combustion engine vehicles (ICEVs) with BEVs. Given that drivers are resistant to changing their habits, we introduce the E-Private Mobility Index, which quantifies the percentage of traditional cars at present that are functionally compatible with a medium BEV, assuming home charging. Nationwide, this index reaches 30%, but only 15% of car owners would also see financial benefits. By quantifying both the potential to replace traditional cars with electric ones and the associated economic impacts, our analysis supports sustainable mobility by offering insights into the rate of penetration of sustainable and green mobility, in line with the objectives of the European Green Deal. With its unprecedented statistical significance, the study not only provides a data-driven upper threshold of BEV penetration but also offers a flexible framework for shaping future policies, allowing the adaptation of parameters and assumptions to guide a scalable transition to electric private mobility.</w:t>
      </w:r>
    </w:p>
    <w:p>
      <w:r>
        <w:t>POSSIBLE 2024: Investigating the Moderating Role of Government Incentive Policy on Consumer Adoption of Battery Electric Vehicles (BEV) in Malaysia — https://doi.org/10.6007/ijarbss/v14-i3/20992</w:t>
      </w:r>
    </w:p>
    <w:p>
      <w:r>
        <w:t>Shared claim-specific concepts: adoption, bevs, better, bev; EU scope not established. This is a provisional connection, not an outcome finding.</w:t>
      </w:r>
    </w:p>
    <w:p>
      <w:r>
        <w:t>Available abstract (not full text): As concerns about climate change, global warming, and environmental degradation continue to escalate, the adoption of electric vehicles, particularly Battery Electric Vehicles (BEVs), has emerged as a promising solution for a more sustainable future. This study delves into the willingness of Malaysian consumers to embrace BEVs, with a specific focus on the moderating role of government incentives and policies. Drawing upon the Theory of Planned Behaviour (TPB) as the theoretical framework, this study extends the TPB model by incorporating four additional external variables to better understand the factors influencing adoption intention. Employing a quantitative research approach, this investigation utilizes a cross-sectional survey method to collect empirical data from car consumers across Malaysia. The survey instrument, adapted from previous studies, comprehensively assesses nine constructs relevant to this research. Data analysis will be conducted using Structural Equation Modelling (SEM), specifically employing the Partial Least Squares SEM (PLS-SEM) approach, to examine the formulated hypotheses. The findings of this study aim to shed light on the determinants of BEV adoption intention among Malaysian consumers, with implications for policymakers, automotive industry players, and researchers. Further research avenues are also proposed to deepen our understanding of the com</w:t>
      </w:r>
    </w:p>
    <w:p>
      <w:r>
        <w:t>POSSIBLE 2024: Automated Parking Planning with Vision-Based BEV Approach — https://doi.org/10.48550/arxiv.2406.15430</w:t>
      </w:r>
    </w:p>
    <w:p>
      <w:r>
        <w:t>Shared claim-specific concepts: demonstrates, bev; EU scope not established. This is a provisional connection, not an outcome finding.</w:t>
      </w:r>
    </w:p>
    <w:p>
      <w:r>
        <w:t>Available abstract (not full text): Automated Valet Parking (AVP) is a crucial component of advanced autonomous driving systems, focusing on the endpoint task within the "human-vehicle interaction" process to tackle the challenges of the "last mile".The perception module of the automated parking algorithm has evolved from local perception using ultrasonic radar and global scenario precise map matching for localization to a high-level map-free Birds Eye View (BEV) perception solution.The BEV scene places higher demands on the real-time performance and safety of automated parking planning tasks. This paper proposes an improved automated parking algorithm based on the A* algorithm, integrating vehicle kinematic models, heuristic function optimization, bidirectional search, and Bezier curve optimization to enhance the computational speed and real-time capabilities of the planning algorithm.Numerical optimization methods are employed to generate the final parking trajectory, ensuring the safety of the parking path. The proposed approach is experimentally validated in the commonly used industrial CARLA-ROS joint simulation environment. Compared to traditional algorithms, this approach demonstrates reduced computation time with more challenging collision-risk test cases and improved performance in comfort metrics.</w:t>
      </w:r>
    </w:p>
    <w:p>
      <w:r>
        <w:t>POSSIBLE 2023: Exponential adoption of battery electric cars — https://doi.org/10.1371/journal.pone.0295692</w:t>
      </w:r>
    </w:p>
    <w:p>
      <w:r>
        <w:t>Shared claim-specific concepts: suggest, adoption, bevs, bev, near, countries; EU scope visible. This is a provisional connection, not an outcome finding.</w:t>
      </w:r>
    </w:p>
    <w:p>
      <w:r>
        <w:t>Available abstract (not full text): The adoption of battery electric vehicles (BEVs) may significantly reduce greenhouse gas emissions caused by road transport. However, there is wide disagreement as to how soon battery electric vehicles will play a major role in overall transportation. Focusing on battery electric passenger cars, we analyze BEV adoption across 17 individual countries, Europe, and the World, and consistently find exponential growth trends. Modeling-based estimates of future adoption given past trends suggest system-wide adoption substantially faster than typical economic analyses have proposed so far. For instance, we estimate the majority of passenger cars in Europe to be electric by about 2031. Within regions, the predicted times of mass adoption are largely insensitive to model details. Despite significant differences in current electric fleet sizes across regions, their growth rates consistently indicate fast doubling times of approximately 15 months, hinting at radical economic and infrastructural consequences in the near future.</w:t>
      </w:r>
    </w:p>
    <w:p>
      <w:r>
        <w:t>POSSIBLE 2023: Impacts of charging behavior on BEV charging infrastructure needs and energy use — https://doi.org/10.1016/j.trd.2023.103645</w:t>
      </w:r>
    </w:p>
    <w:p>
      <w:r>
        <w:t>Shared claim-specific concepts: adoption, bevs, bev, charging, increased; EU scope visible. This is a provisional connection, not an outcome finding.</w:t>
      </w:r>
    </w:p>
    <w:p>
      <w:r>
        <w:t>Available abstract (not full text): Battery electric vehicles (BEVs) are vital in the sustainable future of transport systems. Increased BEV adoption makes the realistic assessment of charging infrastructure demand critical. The current literature on charging infrastructure often uses outdated charging behavior assumptions such as universal access to home chargers and the “Liquid-fuel” mental model. We simulate charging infrastructure needs using a large-scale agent-based simulation of Sweden with detailed individual characteristics, including dwelling types and activity patterns. The two state-of-art archetypes of charging behaviors, “Plan-ahead” and “Event-triggered”, mirror the current infrastructure built-up, suggesting 2.3–4.5 times more public chargers per BEV than the “Liquid-fuel” mental model. We also estimate roughly 30–150 BEVs served by a slow charger may be needed for non-home residential overnight charging.</w:t>
      </w:r>
    </w:p>
    <w:p>
      <w:pPr>
        <w:pStyle w:val="Heading2"/>
      </w:pPr>
      <w:r>
        <w:t>On European Green Deal and Sustainable Development Policy (the Case of Romania)</w:t>
      </w:r>
    </w:p>
    <w:p>
      <w:r>
        <w:t>Original source (2021): https://doi.org/10.3390/su132112233</w:t>
      </w:r>
    </w:p>
    <w:p>
      <w:r>
        <w:t>Original wording (abstract; indexed_source_text_not_full_document_verified): Reaching the EU climate-neutrality objective in 2050 is very ambitious, especially for the Member States from Central-Eastern Europe.</w:t>
      </w:r>
    </w:p>
    <w:p>
      <w:r>
        <w:t>POSSIBLE 2025: Cluster Analysis of the Transition to Climate Neutrality in the European Union — https://doi.org/10.1002/sd.70064</w:t>
      </w:r>
    </w:p>
    <w:p>
      <w:r>
        <w:t>Shared claim-specific concepts: objective, member, states; EU scope visible. This is a provisional connection, not an outcome finding.</w:t>
      </w:r>
    </w:p>
    <w:p>
      <w:r>
        <w:t>Available abstract (not full text):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r>
        <w:t>POSSIBLE 2024: Assessment of the Potential of European Union Member States to Achieve Climate Neutrality — https://doi.org/10.3390/su16031311</w:t>
      </w:r>
    </w:p>
    <w:p>
      <w:r>
        <w:t>Shared claim-specific concepts: ambitious, member, states; EU scope visible. This is a provisional connection, not an outcome finding.</w:t>
      </w:r>
    </w:p>
    <w:p>
      <w:r>
        <w:t>Available abstract (not full text): Climate neutrality is the main environmental goal set for the European Union Member States until 2050. EU economies can achieve this ambitious climate goal by reducing the emission intensity of economies, which has been achieved for many years by reducing pollution emitted by industry. The aim of the study is focused primarily on demonstrating the degree of relationship between the variables describing economic growth, GDP, and the level of CO2 emissions. In the first stage of the research, the potential of countries to achieve climate neutrality was assessed, which was achieved by estimating the correlation between GDP indices in relation to 2013 and the level of CO2 emissions. Research has shown that despite the countries’ differences in the structure of their energy balances, they can achieve independence of economic growth from the emission level of their economies. The research also concerns Poland’s special situation compared to other European Union countries according to energy balance based on coal. A model based on differential equations was used to simulate the impact of GDP, energy intensity, and the share of biofuels on temperature and CO2 concentration until 2030, using data for Poland as an example. The aim of this analysis is to answer the question of whether the energy transformation in the country will achieve the assumed emission reduction goals by 2030.</w:t>
      </w:r>
    </w:p>
    <w:p>
      <w:r>
        <w:t>POSSIBLE 2024: EUROPEAN LANDSCAPE OF CLIMATE LAW — https://doi.org/10.46299/979-8-89504-809-2.3</w:t>
      </w:r>
    </w:p>
    <w:p>
      <w:r>
        <w:t>Shared claim-specific concepts: reaching, objective, member, states; EU scope visible. This is a provisional connection, not an outcome finding.</w:t>
      </w:r>
    </w:p>
    <w:p>
      <w:r>
        <w:t>Available abstract (not full text):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r>
        <w:t>POSSIBLE 2022: The Analysis of Public Funds Utilization Efficiency for Climate Neutrality in the European Union Countries — https://doi.org/10.3390/en15020581</w:t>
      </w:r>
    </w:p>
    <w:p>
      <w:r>
        <w:t>Shared claim-specific concepts: reaching, objective, especially; EU scope visible. This is a provisional connection, not an outcome finding.</w:t>
      </w:r>
    </w:p>
    <w:p>
      <w:r>
        <w:t>Available abstract (not full text): The aim of this article was to assess the efficiency of the utilization of public funds for climate neutrality. It was concluded that the data gathered in public statistics are not adapted to current challenges and hinder the direct measurement of climate policy objective implementation progress. Due to that, an innovative approach to public intervention efficiency analysis was proposed for the sake of decreasing CO2 emission in 27 European Union (EU) countries, based on Data Envelopment Analysis (DEA) method and soft modeling. Statistical data are derived from the Eurostat database and pertain to the years 2005–2019. It was demonstrated that activity efficiency of the particular EU countries on climate neutrality varied and that together with the increase in public funds spent on environmental protection, the growth of effects in the field of reaching climate neutrality objectives was not observed. The greatest positive impact on achieving climate neutrality objectives was revealed for activities connected with building renewable sources of energy (RES) and there was no correlation detected for expenditures connected with transport infrastructure, which means that public funds used for their construction did not influence climate neutrality. It was established that, in the analyzed period, the decisions on allocating public funds were not taken on the basis of the expected amo</w:t>
      </w:r>
    </w:p>
    <w:p>
      <w:r>
        <w:t>POSSIBLE 2022: European Climate Law - New legal revolution towards climate neutrality in the EU. — https://doi.org/10.25167/osap.4510</w:t>
      </w:r>
    </w:p>
    <w:p>
      <w:r>
        <w:t>Shared claim-specific concepts: especially, member, states; EU scope visible. This is a provisional connection, not an outcome finding.</w:t>
      </w:r>
    </w:p>
    <w:p>
      <w:r>
        <w:t>Available abstract (not full text): European Climate Law (EU Climate Law) shall become a critical element of future EU regulations and law-making process based on the Green Deal (EU climate and energy strategy) which is the result of the COP21 and Paris Agreement undersigned during the conference of United Nations by its worldwide members. With the actual climate challenges, the EU wishes to keep the leader's role and trend in terms of radical decrease of GHG emissions. Especially for that reason, a new regulatory framework was prepared with a comprehensive overawe of various EU policies. As a result of those expectations, the European Commission has prepared EU Climate Law endorsed by a strong political signal from the European Parliament and Council with its declaratory conclusions. This new legal act with its formula refers to many legal acts and EU policies such as “Fit for 55%” package , and many other energy-and climate related laws. It developed into an essential signal towards the EU Member States to keep comprehensive policies and plans towards climate neutrality. It should be underlined that this act will be a new opener towards upcoming legislative packages and potential financial instruments to come. Occasionally, EU policymakers use a controversial nomenclature defining Regulation as a “Climate Treaty” to emphasize the act’s significance and special regulatory status. The aim of the article is to pre</w:t>
      </w:r>
    </w:p>
    <w:p>
      <w:pPr>
        <w:pStyle w:val="Heading2"/>
      </w:pPr>
      <w:r>
        <w:t>POPULATION FORECAST WITH THE DATA PROCESSING GROUP METHOD (GMDH) type NEURAL NETWORK FOR EUROPEAN UNION COUNTRIES</w:t>
      </w:r>
    </w:p>
    <w:p>
      <w:r>
        <w:t>Original source (2021): https://doi.org/10.46872/pj.323</w:t>
      </w:r>
    </w:p>
    <w:p>
      <w:r>
        <w:t>Original wording (abstract; indexed_source_text_not_full_document_verified): In addition, the analysis was compared with the 2021 - 2032 forecast values in the World Bank Database. According to the findings and comparison results, it has been concluded that the GMDH type Neural Network is a very good approach for the annual population estimation of 27 EU countries, it has almost exactly the same results with the real values in the past years, therefore it is consistent and successful in its predictions for the future years.</w:t>
      </w:r>
    </w:p>
    <w:p>
      <w:r>
        <w:t>POSSIBLE 2025: Plural Values of Culture in Europe — https://openalex.org/W7137507789</w:t>
      </w:r>
    </w:p>
    <w:p>
      <w:r>
        <w:t>Shared claim-specific concepts: values, approach, countries; EU scope visible. This is a provisional connection, not an outcome finding.</w:t>
      </w:r>
    </w:p>
    <w:p>
      <w:r>
        <w:t>Available abstract (not full text): In recent years, the plurality of values of culture has been increasingly recognized in practical, academic, and policymaking contexts. Beyond its traditional intrinsic values—linked to aesthetics, authenticity, and excellence—its capacity to contribute to well-being, to promote identity and belonging and tolerance and inclusiveness, to stimulate creativity, and to foster innovation are ever more acknowledged by a great variety of social actors. However, an economy- and market-oriented perspective has come to dominate the administrative and managerial discourse on cultural valuation for a few decades. This has resulted in a predominance of an approach to valuing culture that is expressed exclusively in terms of its economic impact, obscuring other values of culture. The European research project UNCHARTED has tried to counteract this predominance by providing a broader vision of the societal value of culture in the European context and by applying this alternative view to some of the most relevant areas in which cultural valuation impinges on cultural management and cultural policy today. This book presents its main results. Based on a pragmatist perspective, we have carried out an extensive multiple case study (65 cases in seven countries) that considers the multiplicity of agents who participate in cultural valuation processes (citizens, professionals of creation and preserva</w:t>
      </w:r>
    </w:p>
    <w:p>
      <w:r>
        <w:t>POSSIBLE 2025: An Analytical Approach to Comparing Actual Vs. Fundamental “Enterprise Value-to-EBITDA” Ratios on the US and European Stock Markets — https://doi.org/10.37075/faba.2025.2.08</w:t>
      </w:r>
    </w:p>
    <w:p>
      <w:r>
        <w:t>Shared claim-specific concepts: addition, findings, comparison, type, very, approach; EU scope visible. This is a provisional connection, not an outcome finding.</w:t>
      </w:r>
    </w:p>
    <w:p>
      <w:r>
        <w:t xml:space="preserve">Available abstract (not full text): Purpose: The subject of this research paper is the level of the EV/EBITDA market ratios on the US and the European stock markets. The interest was aroused by the continuously rising levels of the indexes on the leading stock markets, on one hand, and the very wide use of the EV/EBITDA multiples by financial analysts, on the other hand. The purpose is: 1/ to compare the two markets in terms of their actual EV/EBITDA ratios, and 2/ to analyze to what extent the levels of these multiples are supported by the respective key fundamental indicators. Design/Methodology/Approach: The dynamics of the actual EV/EBITDA ratio in recent years is reviewed for each of the US and European developed stock markets. In addition to the comparison of these ratios between the two markets, fundamental EV/EBITDA ratios are also derived, based on key financial-performance indicators, in order to be used as a more reasonable benchmark. Findings: The comparison indicates that the actual average EV/EBITDA of the US market for the analyzed period is by 38% higher than that of the European market. For both markets, the derived fundamental EV/EBITDA ratios do not support the significantly higher actual EV/EBITDA multiples, which are about twice as high. This difference is more pronounced for the US market. Practical Implications: The important implications for investors are that the actual average EV/EBITDA </w:t>
      </w:r>
    </w:p>
    <w:p>
      <w:r>
        <w:t>POSSIBLE 2024: Between policy issues and values: the public discourse of constrained presidents in Western Europe — https://doi.org/10.1080/14782804.2024.2445299</w:t>
      </w:r>
    </w:p>
    <w:p>
      <w:r>
        <w:t>Shared claim-specific concepts: addition, compared, values, findings; EU scope visible. This is a provisional connection, not an outcome finding.</w:t>
      </w:r>
    </w:p>
    <w:p>
      <w:r>
        <w:t xml:space="preserve">Available abstract (not full text): Constrained presidents considerably use going-public strategies among their possible patterns of behaviour. However, presidential going public is under-investigated in Europe. This paper specifically addresses this gap in literature by focusing on New Year (NY) and Christmas (CH) speeches of Western European presidents in office since the 1990s. The paper aims at investigating if and to what extent policy issues are relevant in their public discourse and what issues they specifically prime. This is a comparative research involving four semi-presidential (Austria, Finland, Ireland and Portugal) and two parliamentary regimes (Germany and Italy) for a total of 21 presidents and 144 speeches. By combining qualitative content analysis and descriptive statistics the most relevant coding references have been linked to the characteristics of presidents (i.e. their party family and their term of office) as well as to the characteristics of the political system where they operate (parliamentary vs. semi-presidential systems) to understand if certain specific patterns may be identified or not. The main findings are that although policy issues are not always the most developed compared to polity issues and values, presidents often succeed in transforming a ceremonial speech into a means of agenda setting. In addition, domestic issues are more developed than EU and foreign policy issues in </w:t>
      </w:r>
    </w:p>
    <w:p>
      <w:r>
        <w:t>POSSIBLE 2024: Soil bulk density assessment in Europe — https://doi.org/10.1016/j.agee.2024.108907</w:t>
      </w:r>
    </w:p>
    <w:p>
      <w:r>
        <w:t>Shared claim-specific concepts: compared, very, good; EU scope visible. This is a provisional connection, not an outcome finding.</w:t>
      </w:r>
    </w:p>
    <w:p>
      <w:r>
        <w:t xml:space="preserve">Available abstract (not full text): The topsoil Land Use and Cover Area frame Statistical survey (LUCAS) aims at collecting harmonised data about the state of soil health over the extent of European Union (EU). In the LUCAS 2018 survey, bulk density has been analysed for three depths, i.e., 0–10 cm = 6140 sites; 10–20 cm = 5684 sites and 20–30 cm =139 sites. The laboratory analysis and the assessment of the results conclude that the bulk density at 10–20 cm is 5–10% higher compared to 0–10 cm for all land uses except woodlands (20%). In the 0–20 cm depth, croplands have 1.5 times higher bulk density (mean: 1.26 g cm−3) compared to woodlands (mean: 0.83 g cm−3). The main driver for bulk density variation is the land use which implies that many existing pedotransfer rules have to be developed based on land use. This study applied a methodological framework using an advanced Cubist rule-based regression model to optimize the spatial prediction of bulk density in Europe. We spatialised the circa 6000 LUCAS samples and developed the high-resolution map (100 m) of bulk density for the 0–20 cm depth and the maps at 0–10 and 10–20 cm depth. The modelling results showed a very good prediction (R2: 0.66) of bulk density for the 0–20 cm depth which outperforms previous assessments. The bulk density maps can be used to estimate packing density which is a proxy to estimate soil compaction. Therefore, this work contributes to </w:t>
      </w:r>
    </w:p>
    <w:p>
      <w:r>
        <w:t>POSSIBLE 2024: European soybean to benefit people and the environment — https://doi.org/10.1038/s41598-024-57522-z</w:t>
      </w:r>
    </w:p>
    <w:p>
      <w:r>
        <w:t>Shared claim-specific concepts: addition, compared, findings; EU scope visible. This is a provisional connection, not an outcome finding.</w:t>
      </w:r>
    </w:p>
    <w:p>
      <w:r>
        <w:t>Available abstract (not full text): Abstract Europe imports large amounts of soybean that are predominantly used for livestock feed, mainly sourced from Brazil, USA and Argentina. In addition, the demand for GM-free soybean for human consumption is project to increase. Soybean has higher protein quality and digestibility than other legumes, along with high concentrations of isoflavones, phytosterols and minerals that enhance the nutritional value as a human food ingredient. Here, we examine the potential to increase soybean production across Europe for livestock feed and direct human consumption, and review possible effects on the environment and human health. Simulations and field data indicate rainfed soybean yields of 3.1 ± 1.2 t ha−1 from southern UK through to southern Europe (compared to a 3.5 t ha−1 average from North America). Drought-prone southern regions and cooler northern regions require breeding to incorporate stress-tolerance traits. Literature synthesized in this work evidenced soybean properties important to human nutrition, health, and traits related to food processing compared to alternative protein sources. While acknowledging the uncertainties inherent in any modelling exercise, our findings suggest that further integrating soybean into European agriculture could reduce GHG emissions by 37–291 Mt CO2e year−1 and fertiliser N use by 0.6–1.2 Mt year−1, concurrently improving human health and nu</w:t>
      </w:r>
    </w:p>
    <w:p>
      <w:r>
        <w:t>POSSIBLE 2023: Ecological Indicator Values for Europe (EIVE) 1.0 — https://doi.org/10.3897/vcs.98324</w:t>
      </w:r>
    </w:p>
    <w:p>
      <w:r>
        <w:t>Shared claim-specific concepts: addition, values, database; EU scope visible. This is a provisional connection, not an outcome finding.</w:t>
      </w:r>
    </w:p>
    <w:p>
      <w:r>
        <w:t>Available abstract (not full text): Aims : To develop a consistent ecological indicator value system for Europe for five of the main plant niche dimensions: soil moisture (M), soil nitrogen (N), soil reaction (R), light (L) and temperature (T). Study area : Europe (and closely adjacent regions). Methods : We identified 31 indicator value systems for vascular plants in Europe that contained assessments on at least one of the five aforementioned niche dimensions. We rescaled the indicator values of each dimension to a continuous scale, in which 0 represents the minimum and 10 the maximum value present in Europe. Taxon names were harmonised to the Euro+Med Plantbase. For each of the five dimensions, we calculated European values for niche position and niche width by combining the values from the individual EIV systems. Using T values as an example, we externally validated our European indicator values against the median of bioclimatic conditions for global occurrence data of the taxa. Results : In total, we derived European indicator values of niche position and niche width for 14,835 taxa (14,714 for M, 13,748 for N, 14,254 for R, 14,054 for L, 14,496 for T). Relating the obtained values for temperature niche position to the bioclimatic data of species yielded a higher correlation than any of the original EIV systems ( r = 0.859). The database : The newly developed Ecological Indicator Values for Europe (EIVE) 1.0,</w:t>
      </w:r>
    </w:p>
    <w:p>
      <w:r>
        <w:t>POSSIBLE 2022: The Effect of COVID-19 on the Value Relevance of European Firms’ Financial Statements — https://doi.org/10.33094/ijaefa.v14i1.661</w:t>
      </w:r>
    </w:p>
    <w:p>
      <w:r>
        <w:t>Shared claim-specific concepts: addition, compared, countries, almost, same; EU scope visible. This is a provisional connection, not an outcome finding.</w:t>
      </w:r>
    </w:p>
    <w:p>
      <w:r>
        <w:t>Available abstract (not full text): The main topic of this study was the value relevance of accounting information. It employed a sample of 1,645 companies listed on the stock exchanges of the top six European Economies (in terms of GDP) – France, Germany, Italy, the Netherlands, Spain and the United Kingdom – for the period 2010-2020. The study’s analysis was based on the Ohlson model and used linear regression. The paper examines the difference between these countries in terms of value relevance. In addition, the paper examines the effects that the Covid-19 pandemic outbreak had on the value relevance of financial statements. The purpose is to examine how investors have been affected by the pandemic and the influence it has had on the importance of financial statements and specific accounting variables. Furthermore, we compare the importance of the two most significant accounting variables, earnings and book value (equity) before and after the pandemic. The results suggest that the explanatory power of financial statements is almost the same for all countries, except Germany, where it is significantly higher. The explanatory power of financial statements decreased in all countries after the start of the pandemic. Moreover, in most countries, earnings seem to have lost value relevance compared with book value due to the financial crisis.</w:t>
      </w:r>
    </w:p>
    <w:p>
      <w:r>
        <w:t>POSSIBLE 2022: Ellenberg‐type indicator values for European vascular plant species — https://doi.org/10.1111/jvs.13168</w:t>
      </w:r>
    </w:p>
    <w:p>
      <w:r>
        <w:t>Shared claim-specific concepts: compared, values, according, type; EU scope visible. This is a provisional connection, not an outcome finding.</w:t>
      </w:r>
    </w:p>
    <w:p>
      <w:r>
        <w:t>Available abstract (not full text):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r>
        <w:t>POSSIBLE 2022: Yugoslavs and Europeans Compared — https://doi.org/10.20901/pm.59.2.03</w:t>
      </w:r>
    </w:p>
    <w:p>
      <w:r>
        <w:t>Shared claim-specific concepts: compared, findings, countries; EU scope visible. This is a provisional connection, not an outcome finding.</w:t>
      </w:r>
    </w:p>
    <w:p>
      <w:r>
        <w:t>Available abstract (not full text): Drawing on Sekulić, Massey and Hodson’s seminal article ‘Who were the‎ Yugoslavs?’, this paper compares the share and determinants of identifying as‎ Yugoslavs during socialism with the panorama of primary European identification.‎ Eurobarometer surveys containing data on European identification are‎ utilized to that end. The study takes in consideration social and political contexts ‎that shaped supranational identification in particular Yugoslav socialist‎ republics and EU member states. Our findings show low levels of Europeans‎ and Yugoslavs in both polities. The results also show that nationally specific‎ contexts affect both the prevalence of European identification and its determinants.‎ There are considerable differences in the level of European identification‎ among EU countries, and statistical analyses of the Belgian, French and‎ German cases further showed that different factors shape it. Of all the variables,‎ non-exclusive nationalities have been the strongest predictors of supranational ‎identification in both Socialist Yugoslavia and the EU.‎</w:t>
      </w:r>
    </w:p>
    <w:p>
      <w:pPr>
        <w:pStyle w:val="Heading2"/>
      </w:pPr>
      <w:r>
        <w:t>Proposals of European Citizens for Reviving the Future of Shrinking Areas</w:t>
      </w:r>
    </w:p>
    <w:p>
      <w:r>
        <w:t>Original source (2021): https://doi.org/10.2478/quageo-2021-0039</w:t>
      </w:r>
    </w:p>
    <w:p>
      <w:r>
        <w:t>Original wording (abstract; indexed_source_text_not_full_document_verified): Abstract Shrinkage, depopulation and the related structural decline threaten development trajectories of more than a quarter of European territories from the present until 2050. The article also discusses the content of citizens’ ideas for the future of shrinking areas, thus offering concrete proposals that may fuel the definition of future policy agendas.</w:t>
      </w:r>
    </w:p>
    <w:p>
      <w:r>
        <w:t>POSSIBLE 2026: Tourism in Depopulation Contexts: A Hybrid Bibliometric and Narrative Systematic Review — https://doi.org/10.3390/world7030040</w:t>
      </w:r>
    </w:p>
    <w:p>
      <w:r>
        <w:t>Shared claim-specific concepts: depopulation, decline, trajectories; EU scope visible. This is a provisional connection, not an outcome finding.</w:t>
      </w:r>
    </w:p>
    <w:p>
      <w:r>
        <w:t>Available abstract (not full text): Depopulation threatens livelihoods, services, and cultural landscapes. In the scientific literature, tourism is frequently discussed as a potential lever in depopulation contexts, yet reported demographic outcomes vary widely across settings. We conducted a PRISMA-informed systematic review of Web of Science and Scopus (1993–2025), identifying 268 articles that were coded using a hybrid bibliometric–narrative approach into thematic axes and reported effect directions (positive, neutral, negative). Reported outcomes are heterogeneous and conditional rather than uniform. Tourism is associated with positive demographic trajectories, primarily where it is embedded in diversified local economies, supported by strong social capital, and integrated into coordinated governance and planning frameworks; negative or neutral outcomes recur under tourism monoculture, strong seasonality, housing pressure, and weak territorial regulation. Keyword co-occurrence and narrative analyses identify three dominant thematic clusters (rural development, spatial–cultural transformation, and sustainability) structured around depopulation as the central conceptual node. The geography of knowledge production further indicates a strong European concentration, particularly in Southern Europe, where tourism is explicitly framed as a policy response to demographic decline, while non-European research adopts mo</w:t>
      </w:r>
    </w:p>
    <w:p>
      <w:r>
        <w:t>POSSIBLE 2026: Understanding the sociodemographic component of urban shrinkage exemplified by mono-industrial towns in Latvia — https://doi.org/10.2478/environ-2026-0018</w:t>
      </w:r>
    </w:p>
    <w:p>
      <w:r>
        <w:t>Shared claim-specific concepts: abstract, shrinkage, depopulation, decline, trajectories, shrinking; EU scope visible. This is a provisional connection, not an outcome finding.</w:t>
      </w:r>
    </w:p>
    <w:p>
      <w:r>
        <w:t>Available abstract (not full text): Abstract This study examined the demographic and socioeconomic transformations of Latvia’s mono-industrial towns, focusing on the interplay between geographic location, demographic structure, and socioeconomic change in shaping their resilience and decline. This exploratory study aimed to characterise the demographic and socioeconomic patterns associated with these divergent trajectories over the past two decades, including depopulation, economic restructuring, and population ageing, rather than establishing the causal mechanisms behind them. This study conducted an analysis and comparison of 13 mono-industrial towns, categorising them based on a range of demographic and socioeconomic variables. We employed an exploratory quantitative approach, applying Pearson’s bivariate correlation analysis to census data (2000 and 2021) to examine the associations among population change, ageing, out-migration, and economic inactivity. Given the small number of towns analysed, these associations are interpreted as descriptive rather than causal and are contextualised by the authors’ field knowledge of the settlements. The results reveal regional disparities: towns within the capital city of Riga’s metropolitan region benefit from suburbanisation and retain younger populations, whereas non-metropolitan peripheral mono-industrial towns face compounded disadvantages, including accelerated agei</w:t>
      </w:r>
    </w:p>
    <w:p>
      <w:r>
        <w:t>POSSIBLE 2026: Depopulation and Sustainable Territorial Governance: A Multilevel Analysis of Strategic Response Patterns in Poland — https://doi.org/10.3390/su18115434</w:t>
      </w:r>
    </w:p>
    <w:p>
      <w:r>
        <w:t>Shared claim-specific concepts: shrinkage, depopulation, related, structural; EU scope visible. This is a provisional connection, not an outcome finding.</w:t>
      </w:r>
    </w:p>
    <w:p>
      <w:r>
        <w:t>Available abstract (not full text): Depopulation constitutes a fundamental challenge for territorial governance, particularly within the framework of sustainable development; however, its representation in local strategic documents remains insufficiently explored. This study aims to identify and compare strategic responses to depopulation across two contrasting Polish regions—Dolnośląskie Voivodeship and Podlaskie Voivodeship—and three governance levels: regional, county, and municipal. An abductive mixed-methods approach was applied, combining discourse analysis with latent semantic analysis (LDA), and principal component analysis (PCA). The findings reveal a clear dominance of the pro-growth paradigm, while the adaptive approach associated with managed shrinkage remains marginal. Regional differences are primarily observed in problem framing—functional in Dolnośląskie and demographic in Podlaskie—but these distinctions do not significantly affect the types of policy responses. Structural instruments, particularly those related to consolidation, prevail, whereas functional and competency-based measures are less prominent. The results suggest the existence of a standardized model of strategic response to depopulation across regions and governance levels. This indicates limited diversification of policy approaches and highlights the need to more fully integrate adaptive strategies into territorial policy, especial</w:t>
      </w:r>
    </w:p>
    <w:p>
      <w:r>
        <w:t>POSSIBLE 2026: Analysis of housing in depopulated rural areas: a transnational comparison — https://doi.org/10.4995/vlc.2026.25269</w:t>
      </w:r>
    </w:p>
    <w:p>
      <w:r>
        <w:t>Shared claim-specific concepts: depopulation, areas, offering; EU scope visible. This is a provisional connection, not an outcome finding.</w:t>
      </w:r>
    </w:p>
    <w:p>
      <w:r>
        <w:t>Available abstract (not full text): Depopulation consists of the decrease in the number of inhabitants of a region, and in Europe, isconcentrated in rural areas. The state-of-the-art reveals that there has been extensive research across multipledisciplines, but that studies on housing are scarce. However, having a home, although not sufficient, is necessary to inhabit a place. This study analyses housing in depopulated rural communities. A municipality in Spain andanother in Italy were selected, applying the comparative method. A top-down approach was used, creatingsystematic data collection sheets. This was complemented by a bottom-up perspective, which is particularlyrelevant in these areas, where macro data can obscure local data. Through visual inspection of the dwellings andsemi-structured interviews, detailed and up-to date data and GIS maps are provided, offering new synthetic andvisual information. The transnational analysis reveals similarities in the poor state of conservation of underutilised housing, which requires large investments, and little real estate activity. There are regional differences that affect the type of housing and demand. Finally, the importance of public administrations treating rural areas asa complement to urban areas in order to maintain territorial balance and equity is highlighted.</w:t>
      </w:r>
    </w:p>
    <w:p>
      <w:r>
        <w:t>POSSIBLE 2026: Rural depopulation and the decline of vernacular architecture: an analysis of physical vulnerability in Bragança district, Portugal — https://doi.org/10.1007/s10901-026-10319-0</w:t>
      </w:r>
    </w:p>
    <w:p>
      <w:r>
        <w:t>Shared claim-specific concepts: abstract, depopulation, decline, also, areas; EU scope visible. This is a provisional connection, not an outcome finding.</w:t>
      </w:r>
    </w:p>
    <w:p>
      <w:r>
        <w:t>Available abstract (not full text): Abstract Depopulation in rural areas poses significant threats to the preservation of vernacular architecture, a key representation of a region''s cultural and historical heritage. Across many rural regions of Southern Europe, depopulation has led to significant demographic and cultural shifts. In Portugal, this trend is evident in various interior regions, including the Bragança district where the population has decreased by approximately 47.4% between 1960 and 2021. Over the course of six decades, the district’s population has nearly halved, reflecting broader patterns of rural decline driven by urban migration, aging populations, and economic shifts.This study analyses the physical vulnerability of vernacular dwellings in the Bragança district, focusing on how population decline influences the risk of deterioration and loss. Using quantitative data from the National Institute of Statistics (INE) censuses from 1864 to 2021 for population data and from 2001 to 2021 for housing data. Adopting a methodology that enables a comparative and locally tailored evaluation, the study employs three vulnerability indicators: construction period, occupation form, and conservation state, as well as their combined effects. The results revealed that of the 22,877 dwellings identified as vernacular in 2001, only 18,212 remained by 2021, representing a loss of 20.4% over two decades. Furthermor</w:t>
      </w:r>
    </w:p>
    <w:p>
      <w:r>
        <w:t>POSSIBLE 2025: Biodiversity change under human depopulation in Japan — https://doi.org/10.1038/s41893-025-01578-w</w:t>
      </w:r>
    </w:p>
    <w:p>
      <w:r>
        <w:t>Shared claim-specific concepts: abstract, depopulation, also, areas; EU scope not established. This is a provisional connection, not an outcome finding.</w:t>
      </w:r>
    </w:p>
    <w:p>
      <w:r>
        <w:t>Available abstract (not full text): Abstract Global studies consistently highlight a direct relationship between habitat and species losses, and human population and economic growth. Nevertheless, countries are experiencing below-replacement human fertility and starting to depopulate; among these countries, Japan is a global forerunner. To better understand whether human depopulation automatically yields environmentally restorative outcomes, we examine the impacts of human depopulation on aspects of biodiversity in Japan. Alongside population, land use and surface temperature, we analyse biodiversity change among 464 taxonomic species of bird, butterfly, firefly and frog egg masses, and 2,922 native and non-native plant species in wooded, agricultural and peri-urban landscapes across Japan over periods of 5–17 years from 2004. Irrespective of human population increase or decrease, biodiversity losses continue among most species studied mainly because of change in agricultural land use, either due to urbanization, disuse and abandonment, or intensification. Only where human numbers are currently stable, biodiversity is also more stable, although we anticipate that this may also change as ageing deepens into depopulation in these areas. We conclude by urging countries facing depopulation to account for its outcomes in their biodiversity conservation and restoration strategies.</w:t>
      </w:r>
    </w:p>
    <w:p>
      <w:r>
        <w:t>POSSIBLE 2025: Shaping the Residential Attractiveness of Towns in Lesser Poland in the Context of Urban Shrinkage — https://doi.org/10.2478/he-2025-0031</w:t>
      </w:r>
    </w:p>
    <w:p>
      <w:r>
        <w:t>Shared claim-specific concepts: abstract, shrinkage, depopulation, decline, present, article; EU scope visible. This is a provisional connection, not an outcome finding.</w:t>
      </w:r>
    </w:p>
    <w:p>
      <w:r>
        <w:t>Available abstract (not full text): Abstract This article addresses the challenge of enhancing the residential attractiveness of towns experiencing rapid population decline and demographic aging. The aim of the study is to analyse and evaluate the actions undertaken by towns in Lesser Poland to improve residential appeal in the face of depopulation, and to identify key determinants and tools for mitigating the negative effects of these processes. The spatial scope includes 12 small towns in the region characterized by depopulation both within the town and its immediate surroundings. The temporal scope covers the early 21st century to the present. The research methodology combines quantitative methods (statistical data analysis, Webb’s typology) with qualitative approaches (analysis of strategic, revitalization, and planning documents). The study also includes a literature review and an examination of official websites and social media platform. The studied towns counteract depopulation by focusing on enhancing residential attractiveness through housing development, revitalization, improved quality of life, and rational spatial management.</w:t>
      </w:r>
    </w:p>
    <w:p>
      <w:r>
        <w:t>POSSIBLE 2025: Thriving or sinking? The emplacement process of Ukrainian refugees in depopulating, peripheral areas in the Netherlands — https://doi.org/10.1111/geoj.12621</w:t>
      </w:r>
    </w:p>
    <w:p>
      <w:r>
        <w:t>Shared claim-specific concepts: abstract, depopulation, areas; EU scope visible. This is a provisional connection, not an outcome finding.</w:t>
      </w:r>
    </w:p>
    <w:p>
      <w:r>
        <w:t>Available abstract (not full text): Abstract The ‘free‐to‐work, free‐to‐settle’ feature of the EU's temporary protection for Ukrainian refugees has led millions to various locations, with the majority gravitating towards urban areas. However, due to housing shortages, a significant number have moved to peripheral municipalities experiencing depopulation. These refugees often find themselves in villages without a network and where the Ukrainian diaspora is small or non‐existent. Reflecting on their settlement and everyday ‘unproblematic’ encounters (conviviality) with neighbours, colleagues at work, and networks at various institutions in Het Hogeland and Pekela, The Netherlands, this analysis explores the emplacement process of Ukrainian refugees. Based on this reflection, the paper aims to address the question: Which factors facilitate or hinder positive encounters among Ukrainian refugees in these peripheral areas, motivating them to (re)consider taking root in these host localities?</w:t>
      </w:r>
    </w:p>
    <w:p>
      <w:r>
        <w:t>POSSIBLE 2025: How Service Exclusion Affects Rural Depopulation. An Approach Based on Structural Equation Modelling — https://doi.org/10.1111/soru.70005</w:t>
      </w:r>
    </w:p>
    <w:p>
      <w:r>
        <w:t>Shared claim-specific concepts: abstract, depopulation, structural; EU scope visible. This is a provisional connection, not an outcome finding.</w:t>
      </w:r>
    </w:p>
    <w:p>
      <w:r>
        <w:t>Available abstract (not full text): ABSTRACT This paper explores the relationship between service exclusion and the depopulation phenomenon. To achieve this, we apply structural equation modelling (SEM) to evaluate the lack of development of primary services (healthcare, education, social services, commerce, restaurants and bars, as well as Internet access) at the municipal level, considering their relationship with population loss and ageing—two of the most defining aspects of depopulation. Additionally, using cluster analysis techniques, we classify municipalities based on their degree of service exclusion, identifying distinct typologies and highlighting the most critical service deficits within each group. The study focuses on the Spanish region of Aragon, a striking example of severe rural population loss and pronounced ageing within the European context. Our findings reveal significant heterogeneity in both depopulation patterns and service exclusion. This heterogeneity highlights the need to propose specific rural policy measures adapted to the peculiarities of each territory to contribute to more resilient rural communities.</w:t>
      </w:r>
    </w:p>
    <w:p>
      <w:r>
        <w:t>POSSIBLE 2024: Depopulation in the Central Apennines in the Twentieth Century: An Empirical Investigation — https://doi.org/10.1007/s40797-024-00295-1</w:t>
      </w:r>
    </w:p>
    <w:p>
      <w:r>
        <w:t>Shared claim-specific concepts: abstract, depopulation, areas; EU scope visible. This is a provisional connection, not an outcome finding.</w:t>
      </w:r>
    </w:p>
    <w:p>
      <w:r>
        <w:t>Available abstract (not full text): Abstract We propose an empirical investigation of the population dynamics between 1931 and 2011 in a mountain area in Italy. The main novelty of our work is the usage of sub-municipal data, which makes it possible to disentangle several drivers of the overall depopulation trend. All these factors had been considered previously by separate strands of literature, but never jointly, as we do. One of our most interesting results is that different factors operate in different historical periods. Therefore, we use a flexible strategy by which we divide the sample in four different 20-year spans and adopt a different statistical model for each. Another notable result is that an appropriate quantitative description of the phenomenon must take into account the disappearance of inhabited centres separately from their size in terms on inhabitants. Consequently, the concept of local community is crucial for a systematic understanding of population change and “place-sensitive” policies in remote mountain areas.</w:t>
      </w:r>
    </w:p>
    <w:p>
      <w:r>
        <w:t>POSSIBLE 2024: Urban Shrinkage Research — https://doi.org/10.14398/urpr.11.113</w:t>
      </w:r>
    </w:p>
    <w:p>
      <w:r>
        <w:t>Shared claim-specific concepts: shrinkage, related, also, shrinking; EU scope visible. This is a provisional connection, not an outcome finding.</w:t>
      </w:r>
    </w:p>
    <w:p>
      <w:r>
        <w:t xml:space="preserve">Available abstract (not full text): Urban shrinkage has emerged as a global phenomenon in recent decades, attracting increasing attention from scholars since the early 2000s, with broader geographical scope and research topics. However, there is a lack of systematic reviews encompassing the evolution of discourse, shifting focus, and national context comparisons. This research analyzed 98 articles directly related to urban shrinkage studies from both qualitative and quantitative perspectives to provide a comprehensive overview of current research. The results show that research on shrinking cities emerged in the 2000s, and it has received worldwide attention, with significant studies conducted in the United States, Germany, Japan, and China. Most of the studies have been conducted at the city level. The most prevalent topics are the causes of urban shrinkage and response policies. The perception of urban shrinkage shows a change from unacceptance to acceptance, and the coping strategies have been adjusted accordingly. There are two main planning paradigms: growth-oriented planning and shrinkage-adapted planning. While many scholars have advocated for approaches like “smart shrinkage” and “right-sizing,” some studies have questioned their feasibility and effectiveness. Among the specific coping strategies, economic restructuring and addressing vacancy issues are the focus of attention. Additionally, the discourse </w:t>
      </w:r>
    </w:p>
    <w:p>
      <w:r>
        <w:t>POSSIBLE 2023: New Perspectives for the Building Heritage in Depopulated Areas: A Methodological Approach for Evaluating Sustainable Reuse and Upcycling Strategies — https://doi.org/10.1007/978-3-031-29515-7_68</w:t>
      </w:r>
    </w:p>
    <w:p>
      <w:r>
        <w:t>Shared claim-specific concepts: abstract, shrinkage, depopulation, territories, areas, offering; EU scope visible. This is a provisional connection, not an outcome finding.</w:t>
      </w:r>
    </w:p>
    <w:p>
      <w:r>
        <w:t>Available abstract (not full text): Abstract The building reuse can reduce both consumption of non-renewable resources and production of construction and demolition waste, preserving the architectural and constructive culture. The progressive depopulation of the European inner areas is an opportunity to discuss the potential of reuse and sustainable adaptation of extensive heritage sites to cope with abandonment processes. The study of depopulation processes, as well as the investigation of case studies, allows to analyze the main strategies implemented to regenerate and repopulate abandoned inner areas, to highlight successful approaches and intervention criteria. In this scenario, “smart shrinkage” emerges as a powerful strategy to systemize resources and values embedded in the territories. On the basis of the economic-territorial interpretation of the performance decay process of buildings and settlement systems, developed by the research group of the Universities of Sassari and Catania, the paper proposes a multi-scale methodological approach for the evaluation of enhancement strategies and technological upcycling. The research links building performance with the urban and territorial values, integrating the Performance-Based Building Design in an axiological approach based on the solidarity between functions and values, referring to the economic category of human and urban capital. The model is tailored to t</w:t>
      </w:r>
    </w:p>
    <w:p>
      <w:pPr>
        <w:pStyle w:val="Heading2"/>
      </w:pPr>
      <w:r>
        <w:t>Red squirrel (Sciurus vulgaris) habitats change modelling in Eastern Europe in the scope of climate change according to new generation scenarios (SSPs) by 2100</w:t>
      </w:r>
    </w:p>
    <w:p>
      <w:r>
        <w:t>Original source (2021): https://doi.org/10.15407/tu2013</w:t>
      </w:r>
    </w:p>
    <w:p>
      <w:r>
        <w:t>Original wording (abstract; indexed_source_text_not_full_document_verified): We took into account materials on S. vulgaris (and S. anomalus) distribution, as well as selected associated species, and the WorldClim with respective maps and current bioclimatic variables, and its projections for four relevant scenarios which combined SSPs &amp; RCPs by 2100. Consequently, the new projections demonstrated that all habitats of the red squirrel and associated species are expected to shift mostly ‘to the north’ by 2100, and their localities in the Caucasus Mountain areas might be fragmented.</w:t>
      </w:r>
    </w:p>
    <w:p>
      <w:r>
        <w:t>POSSIBLE 2026: Varieties of Psychologization in Communist Europe — https://doi.org/10.1093/9780197773529.001.0001</w:t>
      </w:r>
    </w:p>
    <w:p>
      <w:r>
        <w:t>Shared claim-specific concepts: took, account, four; EU scope visible. This is a provisional connection, not an outcome finding.</w:t>
      </w:r>
    </w:p>
    <w:p>
      <w:r>
        <w:t>Available abstract (not full text): Abstract Varieties of Psychologization in Communist Europe brings together nine in-depth case studies and four commentaries to rethink the impact of psychology in twentieth-century Europe. Challenging enduring assumptions that psychological knowledge is inherently tied to Western capitalism, liberalism, and individualism, this volume demonstrates that psychological concepts, practices, and forms of expertise also took root in socialist societies—albeit in historically specific and politically contingent ways. The case studies trace how psychological and psychotherapeutic knowledge circulated and was adapted across diverse national and disciplinary contexts after World War II. They show how psychologists negotiated ideological constraints and material limitations to assert the social usefulness of psychological expertise, whether with or without explicit approval from state authorities. Rather than presenting a monolithic socialist psychology or a uniform process of psychologization, the volume emphasizes the plurality of its forms, shaped by local political constellations, professional cultures, and transnational exchanges. The concluding commentaries situate these findings within broader debates in the history of psychology and the human sciences. They argue for a decentered history of psychological knowledge that takes non-Western and non-liberal contexts into account and con</w:t>
      </w:r>
    </w:p>
    <w:p>
      <w:r>
        <w:t>POSSIBLE 2024: THE RIGHTS OF NON-RESIDENTS OF THE EUROPEAN ECONOMIC AREA TO USE BANK ACCOUNTS IN EUROPEAN BANKS — https://doi.org/10.34660/inf.2020.5.54192</w:t>
      </w:r>
    </w:p>
    <w:p>
      <w:r>
        <w:t>Shared claim-specific concepts: current, four, relevant; EU scope visible. This is a provisional connection, not an outcome finding.</w:t>
      </w:r>
    </w:p>
    <w:p>
      <w:r>
        <w:t xml:space="preserve">Available abstract (not full text): The article explores some features of exemption from criminal liability for tax crimes and insurance crimes.The reasons and conditions are specified under which criminal proceedings against citizens (individuals) are terminated in connection with active repentance for economic crimes.Keywords: exemption from criminal liability, taxes and fees, insurance payments, insurance premiums, compensation for damages. Process Management and Scientific Developmentsthan ten percent of the amount payable, or non-payment in the amount of two million seven hundred thousand rubles or more.A particularly large amount, respectively, is four million five hundred thousand rubles, if this is more than twenty percent of the amount payable, or non-payment of more than thirteen million five hundred thousand rubles.Now let us dwell on the issue of the grounds for exemption from criminal liability for insurance crimes.So, on the basis of the current legislation, the guilty person is not subject to criminal prosecution if the criminal act was committed for the first time, full payment of arrears of insurance premiums will also be a necessary condition; fully refunded interest; full amount paid fine.To summarize what has been said, the following points can be distinguished.The Constitution of the Russian Federation obliges every employed citizen to pay legally established taxes and fees.Failure to comply </w:t>
      </w:r>
    </w:p>
    <w:p>
      <w:r>
        <w:t>POSSIBLE 2024: Convergence of accounting systems through the lens of accounting theory and harmonization paradigms — https://doi.org/10.17072/1994-9960-2024-3-300-325</w:t>
      </w:r>
    </w:p>
    <w:p>
      <w:r>
        <w:t>Shared claim-specific concepts: took, materials, well, relevant; EU scope visible. This is a provisional connection, not an outcome finding.</w:t>
      </w:r>
    </w:p>
    <w:p>
      <w:r>
        <w:t>Available abstract (not full text): Introduction. Contemporary research in international accounting lacks a thread linking the fundamental principles of accounting science to the key purpose of the accounting system – to promote the efficient allocation of capital by providing reliable and relevant information. This has led to the fact that accounting infrastructure focuses more on the interests of transnational companies, accounting standard makers and, in general, regional zones, which took advantage of the idea of global convergence for the sake of personal benefits, rather than on public purposes. Purpose. The aim is to show that the existing notions of global convergence of accounting systems are untenable and should be revised. To achieve the latter, the paper characterrizes the nature of convergence with accounting theory and harmonization paradigms. Materials and Methods. The work is theoretical; traditional scientific methods are used: a dialectical method of scientific cognition, a method of collecting theoretical and regulatory-legal information, a method of formalization, as well as analysis, synthesis, observation, and comparison. Results. The standards are perceived to be the benchmark of quality with no deductively-derived regulatory grounds in accounting science. This automatically gives rise to many contradictions and inconsistencies in understanding and applying existing accounting rules/princip</w:t>
      </w:r>
    </w:p>
    <w:p>
      <w:r>
        <w:t>POSSIBLE 2023: European Exchanges, Networks and Contexts — https://doi.org/10.3366/edinburgh/9781474499170.003.0016</w:t>
      </w:r>
    </w:p>
    <w:p>
      <w:r>
        <w:t>Shared claim-specific concepts: took, account, distribution, well; EU scope visible. This is a provisional connection, not an outcome finding.</w:t>
      </w:r>
    </w:p>
    <w:p>
      <w:r>
        <w:t>Available abstract (not full text): This chapter investigates the development and integration of European news communication along with the formation of new types of news publication capable of conveying details and impressions of a rapidly changing geopolitical order to the first mass audiences. Particularly fertile generators of new genres were the Thirty Years War and English Civil War, which in turn received the effects of news distribution while supplying new material for consumption. New research demonstrates, for instance, that events occurring as far away as Naples were discussed in London, whereas Neapolitans took cues from regime-changing episodes in Civil War Britain. The study takes account of recent studies tending to emphasise continuities as well as discontinuities, not only between the press history of Britain and Ireland and the press history of neighbouring states, but also between the history of printed newspapers and of older media types.</w:t>
      </w:r>
    </w:p>
    <w:p>
      <w:r>
        <w:t>POSSIBLE 2022: Urbanization the Eastern Borders of Old Europe — https://doi.org/10.15388/archlit.2022.23.12</w:t>
      </w:r>
    </w:p>
    <w:p>
      <w:r>
        <w:t>Shared claim-specific concepts: took, account, materials; EU scope visible. This is a provisional connection, not an outcome finding.</w:t>
      </w:r>
    </w:p>
    <w:p>
      <w:r>
        <w:t>Available abstract (not full text): Maria Gimbutas created an impressive picture of Old Europe, using, among others, materials from Trypillia Culture. From the very beginning, she took into account new archaeological discoveries from the 70s of the 20th century, namely, information about the large settlements. But fifty years ago, their studies were just beginning and this topic was not particularly popular among researchers outside of Ukraine. Today, news about life on the eastern borders of Old Europe, where these megasites, appeared more than 6000 years ago, appeares on the pages of leading archaeological publications and becomes the subject of discussions among archaeologists from different countries.</w:t>
      </w:r>
    </w:p>
    <w:p>
      <w:pPr>
        <w:pStyle w:val="Heading2"/>
      </w:pPr>
      <w:r>
        <w:t>Scenario forecasting of consumption of main organic livestock products in Ukraine</w:t>
      </w:r>
    </w:p>
    <w:p>
      <w:r>
        <w:t>Original source (2021): https://doi.org/10.51599/are.2021.07.03.02</w:t>
      </w:r>
    </w:p>
    <w:p>
      <w:r>
        <w:t>Original wording (abstract; indexed_source_text_not_full_document_verified): According to the systemic variant in Ukraine for the period up to 2025 the forecasted capacity of the internal market for organic meat and meat products (in terms of meat) will amount to 3.26 bln UAH; organic milk, dairy products and butter (in terms of milk) will amount to 2.65 bln UAH; organic eggs will amount to 0.47 bln UAH. In general, the market potential capacity of the main types of organic livestock products (at prices in 2019) will be 6.38 bln UAH (0.2 bln Euro) or 151.9 UAH (4.9 Euro) per one person.</w:t>
      </w:r>
    </w:p>
    <w:p>
      <w:r>
        <w:t>POSSIBLE 2025: Influence of Multidrug Resistance 1 Gene Variants on Response to Intravenous Methylprednisolone Pulse in Systemic Lupus Erythematosus Patients: Preliminary Results — https://doi.org/10.2174/0115733971345970241107114732</w:t>
      </w:r>
    </w:p>
    <w:p>
      <w:r>
        <w:t>Shared claim-specific concepts: according, systemic, variant; EU scope not established. This is a provisional connection, not an outcome finding.</w:t>
      </w:r>
    </w:p>
    <w:p>
      <w:r>
        <w:t>Available abstract (not full text): INTRODUCTION/OBJECTIVES: , and the response to intravenous methylprednisolone in Egyptian patients with active systemic lupus erythematosus (SLE). METHODS: Real-time polymerase chain reaction was used. Patients were divided into responders and resistant based on the SLE Disease Activity Index (SLEDAI). The degree of improvement was determined according to a 7-point Likert scale. RESULTS: The study included 80 patients: 40 patients with renal flares and 40 patients with extrarenal flares. In patients with extrarenal flares, 71.4% of responders had the CT+TT model of the C1236T variant versus 36.8% of resistant patients (p = 0.028); the T allele was detected in 47.6% of responders versus 23.7% of resistant patients (p = 0.026). Patients with the TT and CT genotypes, TT+CT model, and T allele of the C1236T variant had significant improvement based on the Likert scale compared with the CC genotype, CC model and C allele (p = 0.049, 0.038, 0.010 and &lt;0.001, respectively). In the renal subgroup, patients with the CC genotype and C allele of the C3435T variant had significant improvement based on the Likert scale compared with the CT genotype and T allele (p = 0.028 and 0.046, respectively). Patients with the CC model had significantly lower post-treatment proteinuria compared with the TT+CT model (p = 0.024). CONCLUSION: MDR1 C1236T variant allele and C3435T wild allele seem to enhan</w:t>
      </w:r>
    </w:p>
    <w:p>
      <w:r>
        <w:t>POSSIBLE 2024: Standard variant of the systemic veins with significance for operations with cardiopulmonary bypass — https://doi.org/10.1093/ehjcr/ytae670</w:t>
      </w:r>
    </w:p>
    <w:p>
      <w:r>
        <w:t>Shared claim-specific concepts: according, systemic, variant, main; EU scope not established. This is a provisional connection, not an outcome finding.</w:t>
      </w:r>
    </w:p>
    <w:p>
      <w:r>
        <w:t>Available abstract (not full text): We report on a 5-year-old boy who was referred to our department as a newborn for evaluation of a heart murmur. Echocardiography revealed an atrial septal defect (ASD) of the secundum type (ASD II) (Figure 1A); a secondary finding was a significantly enlarged coronary sinus (CS) (Figure 1B). Transoesophageal echocardiography (modified mid-oesophageal aortic valve short-axis view, A)—atrial septal defect of 1.1 cm with almost no rim towards the aorta. Transthoracic echocardiography (modified long-axis view, B)—dilated coronary sinus can be seen in the left atrium. Computed tomography (coronary plane, C; sagittal plane, D)—persistent left superior vena cava with opening into a dilated coronary sinus and agenesis of the right superior vena cava. AAo, ascending aorta; AV, aortic valve; LA, left atrium; LV, left ventricle; MPA, main pulmonary artery; RA, right atrium; RV, right ventricle. An enlargement of the CS can be found in pathologies such as total anomalous pulmonary venous return, which is a severe congenital heart defect. It can also be found in standard variants of the systemic veins like a persistent left superior vena cava (pLSVC) with drainage into the right atrium via the CS.1 During intrauterine development, there is a right and left anterior cardinal vein. Normally, the right SVC develops from the right anterior cardinal vein while the left anterior cardinal vein reg</w:t>
      </w:r>
    </w:p>
    <w:p>
      <w:r>
        <w:t>POSSIBLE 2024: Systemic effects of hypophosphatasia characterization of two novel variants in the ALPL gene — https://doi.org/10.3389/fendo.2023.1320516</w:t>
      </w:r>
    </w:p>
    <w:p>
      <w:r>
        <w:t>Shared claim-specific concepts: systemic, variant, main; EU scope not established. This is a provisional connection, not an outcome finding.</w:t>
      </w:r>
    </w:p>
    <w:p>
      <w:r>
        <w:t>Available abstract (not full text): Introduction: Hypophosphatasia (HPP) is an inborn metabolic error caused by mutations in the ALPL gene encoding tissue non-specific alkaline phosphatase (TNSALP) and leading to decreased alkaline phosphatase (ALP) activity. Although the main characteristic of this disease is bone involvement, it presents a great genetic and clinical variability, which makes it a systemic disease. Methods: Patients were recruited based on biochemical assessments. Diagnosis was made by measuring serum ALP and pyridoxal 5-phosphate levels and finally by Sanger sequencing of the ALPL gene from peripheral blood mononuclear cells. Characterization of the new variants was performed by transfection of the variants into HEK293T cells, where ALP activity and cellular localization were measured by flow cytometry. The dominant negative effect was analyzed by co-transfection of each variant with the wild-type gene, measuring ALP activity and analyzing cellular localization by flow cytometry. Results: Two previously undescribed variants were found in the ALPL gene: leucine 6 to serine missense mutation (c.17T&gt;C, L6S) affecting the signal peptide and threonine 167 deletion (c.498_500delCAC, T167del) affecting the vicinity of the active site. These mutations lead mainly to non-pathognomonic symptoms of HPP. Structural prediction and modeling tools indicated the affected residues as critical residues with impor</w:t>
      </w:r>
    </w:p>
    <w:p>
      <w:pPr>
        <w:pStyle w:val="Heading2"/>
      </w:pPr>
      <w:r>
        <w:t>Scenario planning: An alternative approach to European Commission for combating antimicrobial resistance by 2050</w:t>
      </w:r>
    </w:p>
    <w:p>
      <w:r>
        <w:t>Original source (2021): https://doi.org/10.11576/seejph-4312</w:t>
      </w:r>
    </w:p>
    <w:p>
      <w:r>
        <w:t>Original wording (abstract; indexed_source_text_not_full_document_verified): Conclusion: All the strategies developed on the basis of the four scenarios probe for an increase in European Union's dedication to achieve positive outcomes. To study possible outcomes within the European Union, a scenario analysis for the year 2050 was performed on the possible influence of the European Commission (EC).</w:t>
      </w:r>
    </w:p>
    <w:p>
      <w:r>
        <w:t>POSSIBLE 2026: Achievements, priorities and strategies in pediatric nephrology in Europe — https://openalex.org/W7135161588</w:t>
      </w:r>
    </w:p>
    <w:p>
      <w:r>
        <w:t>Shared claim-specific concepts: all, strategies, positive, within; EU scope visible. This is a provisional connection, not an outcome finding.</w:t>
      </w:r>
    </w:p>
    <w:p>
      <w:r>
        <w:t>Available abstract (not full text): Background: There is a lack of information on the current healthcare systems for children with kidney diseases across Europe. The aim of this study was to explore the different national approaches to the organization and delivery of pediatric nephrology services within Europe. Methods: In 2020, the European society for Paediatric Nephrology (ESPN) conducted a cross-sectional survey to identify the existing pediatric nephrology healthcare systems in 48 European countries covering a population of more than 200 million children. Results: The reported three most important priorities in the care of children with kidney diseases were better training of staff, more incentives for physicians to reduce staff shortages, and more hospital beds. Positive achievements in the field of pediatric nephrology included the establishment of new specialized pediatric nephrology centers, facilities for pediatric dialysis and transplant units in 18, 16, and 12 countries, respectively. The most common problems included no access to any type of dialysis (12), inadequate transplant programs for all ages of children (12), lack of well-trained physicians and dialysis nurses (12), inadequate reimbursement of hospitals for expensive therapies (10), and lack of multidisciplinary care by psychologists, dieticians, physiotherapists, social workers and vocational counsellors (6). Twenty-five of 48 countries (52</w:t>
      </w:r>
    </w:p>
    <w:p>
      <w:r>
        <w:t>POSSIBLE 2026: Mapping Slovenia’s global health engagement: alignment with European Union and national global health strategies — https://doi.org/10.1186/s41043-025-01125-5</w:t>
      </w:r>
    </w:p>
    <w:p>
      <w:r>
        <w:t>Shared claim-specific concepts: all, strategies, union; EU scope visible. This is a provisional connection, not an outcome finding.</w:t>
      </w:r>
    </w:p>
    <w:p>
      <w:r>
        <w:t>Available abstract (not full text): BACKGROUND: The specific objectives of this paper are to identify Slovenian global health activities, compare the national global health strategies of France, Germany, and the Netherlands with the European Union Global Health Strategy, and assess how well Slovenia's global health activities align with the strategies of these three countries. METHODS: A document review of Slovenia's global health engagement was conducted using official reports, policy briefs, and legislative texts, analysed through predefined thematic areas. A comparative policy analysis assessed the alignment and divergence of health strategies of France, Germany, and the Netherlands with the European Union Global Health Strategy. RESULTS: The study identifies 14 key thematic areas in global health (e.g., health for all, health policy, climate change, etc.). In Slovenia, global health activities involve various governmental and non-governmental institutions across all identified thematic areas, implemented through guidelines, legislative acts, programs, projects, and initiatives. These thematic areas are also reflected in global health strategies of France, Germany and the Netherlands, indicating a shared focus on key global health priorities across national frameworks (e.g. universal health coverage, climate change, and disease prevention). CONCLUSIONS: The comparative analysis of three reviewed national globa</w:t>
      </w:r>
    </w:p>
    <w:p>
      <w:r>
        <w:t>POSSIBLE 2025: European trends in attitudes and strategies for myopia management in clinical practice — https://doi.org/10.1016/j.clae.2025.102390</w:t>
      </w:r>
    </w:p>
    <w:p>
      <w:r>
        <w:t>Shared claim-specific concepts: all, strategies, four, increase; EU scope visible. This is a provisional connection, not an outcome finding.</w:t>
      </w:r>
    </w:p>
    <w:p>
      <w:r>
        <w:t>Available abstract (not full text): BACKGROUND: Surveys conducted between 2015 and 2022 showed growing concern among European eye care practitioners about myopia management, though adoption of effective strategies varied. This study updates findings from 2024, analysing trends in attitudes and strategies for myopia management across Europe from 2015 to 2024. METHODS: A cross-sectional online survey targeting European eye care practitioners was distributed in multiple languages through professional bodies. It assessed awareness of myopia prevalence, perceived efficacy and adoption of different myopia control strategies, and reasons for non-adoption. RESULTS: Between 2015 and 2024, a total of 3,179 responses were collected from European practitioners, representing data across four survey years. Concern about pediatric myopia varied significantly in 2024 (P &lt; 0.001), with Portugal reporting the highest concern (9.4 ± 1.0) and Sweden the lowest (5.9 ± 2.2). Orthokeratology combined with low-dose atropine was perceived as the most effective approach (60.8 ± 29.6), followed by solo orthokeratology (60.1 ± 25.0) and approved myopia control soft contact lenses (55.9 ± 23.4). Single-vision lenses (15.9 ± 22.9) and undercorrection (7.1 ± 16.6) were rated least effective. Since 2015, single-vision lens prescribing has declined, while myopia control spectacles and contact lenses, and combination therapies have increased. The</w:t>
      </w:r>
    </w:p>
    <w:p>
      <w:r>
        <w:t>POSSIBLE 2025: European strategies in the screening of biliary atresia: a scoping review — https://doi.org/10.1136/wjps-2025-001026</w:t>
      </w:r>
    </w:p>
    <w:p>
      <w:r>
        <w:t>Shared claim-specific concepts: all, strategies, achieve, outcomes, performed; EU scope visible. This is a provisional connection, not an outcome finding.</w:t>
      </w:r>
    </w:p>
    <w:p>
      <w:r>
        <w:t>Available abstract (not full text): Background: Biliary atresia (BA) is a rare condition that meets the criteria for neonatal screening. Taiwan province of China led the way in BA screening during the 1990s by introducing a neonatal stool color card (SCC), which proved effective in facilitating early BA diagnosis and improving outcomes. Another commonly studied BA screening approach is serum bilirubin measurement. Several European countries have also begun implementing BA screening initiatives, although slowly. In this study, we evaluate BA screening strategies across Europe. Methods: Published data, after having performed a scoping review, as well as internet searches were analyzed. Screening approaches proposed in Europe are described, including SCC, serum bilirubin measurements, and other biochemical markers such as bile acids or amino acid profiles. Results: In Europe, national BA screening programs have been established solely in Switzerland, France, and Germany, all using the SCC. Other European countries, such as the Netherlands, Portugal, and Italy, have made efforts, but have yet to achieve broad implementation beyond localized initiatives. Skepticism among healthcare professionals and logistical challenges seem to hinder broader adoption. Emerging technologies, such as artificial intelligence-enhanced SCC applications, may show promise in overcoming these barriers. Serum bilirubin measurement is another</w:t>
      </w:r>
    </w:p>
    <w:p>
      <w:r>
        <w:t>POSSIBLE 2025: Heterogeneity of Surgical Strategies in Aortic Arch Surgery in European Aortic Centers — https://doi.org/10.1055/s-0045-1804073</w:t>
      </w:r>
    </w:p>
    <w:p>
      <w:r>
        <w:t>Shared claim-specific concepts: conclusion, all, strategies, performed; EU scope visible. This is a provisional connection, not an outcome finding.</w:t>
      </w:r>
    </w:p>
    <w:p>
      <w:r>
        <w:t>Available abstract (not full text): All articles of this category (opens in new window) Background: To date, no clear standard of care has been established regarding cannulation strategies and organ protection measures in aortic arch surgery for aneurysms across European aortic centers. Therefore, we aimed to investigate the prevalence of various surgical strategies in aortic arch surgery at European centers. Methods: To gain an overview of the various strategies for cannulation and organ protection in aortic arch surgery, we conducted an anonymous online survey among European cardiac surgery centers in September 2024. Results: In total, 18 European centers for cardiac surgery participated in our survey with an average of 5.6 surgeons performing aortic arch surgery per center. All centers offer frozen elephant trunk (FET) procedures, with a mean of 19.9 cases annually (range 5–60). Distal aortic anastomoses during FET procedures are most commonly performed in Ishimaru zone 2 (77.8%) and/or zone 3 (44.4%), whereas in conventional arch replacements, zone 3 is preferred (85.7%). Temperature management also varies: 66.7% of centers use high–moderate hypothermia (24.1–28°C) for total arch replacement/ET/FET, while 11.1% of centers operate in mild hypothermia (28.1–34°C), and 22.2% below 24°C. For ascending replacements with open distal anastomosis, mild and high–moderate hypothermia are equally used (44.4% each). Sele</w:t>
      </w:r>
    </w:p>
    <w:p>
      <w:r>
        <w:t>POSSIBLE 2025: Antenatal CMV screening, testing, and treatment strategies in Europe: a 2024 survey — https://doi.org/10.1080/14767058.2025.2555478</w:t>
      </w:r>
    </w:p>
    <w:p>
      <w:r>
        <w:t>Shared claim-specific concepts: all, strategies, within; EU scope visible. This is a provisional connection, not an outcome finding.</w:t>
      </w:r>
    </w:p>
    <w:p>
      <w:r>
        <w:t>Available abstract (not full text): OBJECTIVE: Congenital cytomegalovirus (cCMV) is the most common congenital infection globally, affecting approximately 0.5% of all live births in high income settings, with long-term sequelae affecting around a fifth of infected infants. Recently, interest in antenatal CMV screening has increased but current practices and impact are unclear. Our objective was to describe policy and practice around antenatal CMV screening, testing, and treatment in Europe, including the use of universal antenatal screening, in the context of the emerging evidence base for use of valaciclovir to reduce CMV vertical transmission (VT). METHODS: A web-based survey was distributed to healthcare professionals within antenatal services with knowledge of CMV testing/treatment practices, from 29 April 2024 to 24 July 2024. Responses from Europe were analyzed. Where multiple responses were submitted from the same healthcare service, the most complete response was kept for the analysis. RESULTS: &lt; .01). For all sites, screening tests included CMV IgM and IgG, with 36% (14/39) offering IgG avidity, and 8% (3/39) using PCR. Of the 39 centers offering universal screening, the coverage was estimated to be &gt;95% of pregnant women at half (18/39) of centers. Fifty-nine percent (23/39) of centers reported routinely offering repeat testing. Of 39 centers routinely offering testing, only 69% (27/39) gave advice on r</w:t>
      </w:r>
    </w:p>
    <w:p>
      <w:r>
        <w:t>POSSIBLE 2024: Energy Policy in the European Union within the European Green Deal Strategy — https://doi.org/10.18778/1508-2008.27.13</w:t>
      </w:r>
    </w:p>
    <w:p>
      <w:r>
        <w:t>Shared claim-specific concepts: all, union, within; EU scope visible. This is a provisional connection, not an outcome finding.</w:t>
      </w:r>
    </w:p>
    <w:p>
      <w:r>
        <w:t>Available abstract (not full text):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r>
        <w:t>POSSIBLE 2024: Systematic Review: Strategies for Improving HIV Testing and Detection Rates in European Hospitals — https://doi.org/10.3390/microorganisms12020254</w:t>
      </w:r>
    </w:p>
    <w:p>
      <w:r>
        <w:t>Shared claim-specific concepts: conclusion, all, strategies, increase; EU scope visible. This is a provisional connection, not an outcome finding.</w:t>
      </w:r>
    </w:p>
    <w:p>
      <w:r>
        <w:t>Available abstract (not full text): Undiagnosed HIV infection is a prominent clinical issue throughout Europe that requires the continuous attention of all healthcare professionals and policymakers to prevent missed testing opportunities and late diagnosis. This systematic review aimed to evaluate interventions to increase HIV testing rates and case detection in European hospitals. Out of 4598 articles identified, 29 studies fulfilled the selection criteria. Most of the studies were conducted in single Western European capital cities, and only one study was from Eastern Europe. The main interventions investigated were test-all and indicator-condition-based testing strategies. Overall, the prevalence of undiagnosed HIV was well above 0.1%. The studied interventions increased the HIV testing rate and the case detection rate. The highest prevalence of undiagnosed HIV was found with the indicator-condition-driven testing strategy, whereas the test-all strategy had the most profound impact on the proportion of late diagnoses. Nevertheless, the HIV testing rates and case-finding varied considerably across studies. In conclusion, effective strategies to promote HIV testing in European hospitals are available, but relevant knowledge gaps regarding generalizability and sustainability remain. These gaps require the promotion of adherence to HIV testing guidelines, as well as additional larger studies representing all Europ</w:t>
      </w:r>
    </w:p>
    <w:p>
      <w:r>
        <w:t>POSSIBLE 2023: Analysis of the European Strategy for Hydrogen: A Comprehensive Review — https://doi.org/10.3390/en16093866</w:t>
      </w:r>
    </w:p>
    <w:p>
      <w:r>
        <w:t>Shared claim-specific concepts: all, strategies, developed, union, within; EU scope visible. This is a provisional connection, not an outcome finding.</w:t>
      </w:r>
    </w:p>
    <w:p>
      <w:r>
        <w:t xml:space="preserve">Available abstract (not full text): This review focuses on analysing the strategy and aspirations of the European Union within the hydrogen sector. This aim is achieved through the examination of the European Parliament’s hydrogen strategy, allowing for a study of actions and projects in hydrogen technologies. The Parliament’s hydrogen strategy is the document that provides the guideline of how the EU intends to function in the hydrogen sector and manages to cover a wide range of topics, all of them significant to represent the entirety of the hydrogen sector. It touches on subjects such as hydrogen demand, infrastructure, research, and standards, among others. The review discusses also the aspect that the EU intends to be a leader in the hydrogen sector, including the large-scale industrialization of key elements such as electrolysers, and this purpose is corroborated by the large number of associations, strategies, plans, and projects that are being established and developed by the European Union. The most important conclusions to learn from this analysis are that hydrogen has many of the right characteristics to make it the key to decarbonisation, especially in hard-to-abate sectors, and that it is bound to be one of the main actors in the imminent green transition. Moreover, hydrogen seems to be having its breakthrough, and this field’s development can have benefits not only from an environmental perspective </w:t>
      </w:r>
    </w:p>
    <w:p>
      <w:r>
        <w:t>POSSIBLE 2023: Digital Health Reimbursement Strategies of 8 European Countries and Israel: Scoping Review and Policy Mapping — https://doi.org/10.2196/49003</w:t>
      </w:r>
    </w:p>
    <w:p>
      <w:r>
        <w:t>Shared claim-specific concepts: all, strategies, basis, possible, within; EU scope visible. This is a provisional connection, not an outcome finding.</w:t>
      </w:r>
    </w:p>
    <w:p>
      <w:r>
        <w:t>Available abstract (not full text): BACKGROUND: The adoption of digital health care within health systems is determined by various factors, including pricing and reimbursement. The reimbursement landscape for digital health in Europe remains underresearched. Although various emergency reimbursement decisions were made during the COVID-19 pandemic to enable health care delivery through videoconferencing and asynchronous care (eg, digital apps), research so far has primarily focused on the policy innovations that facilitated this outside of Europe. OBJECTIVE: This study examines the digital health reimbursement strategies in 8 European countries (Belgium, France, Germany, Italy, the Netherlands, Poland, Sweden, and the United Kingdom) and Israel. METHODS: We mapped available digital health reimbursement strategies using a scoping review and policy mapping framework. We reviewed the literature on the MEDLINE, Embase, Global Health, and Web of Science databases. Supplementary records were identified through Google Scholar and country experts. RESULTS: Our search strategy yielded a total of 1559 records, of which 40 (2.57%) were ultimately included in this study. As of August 2023, digital health solutions are reimbursable to some extent in all studied countries except Poland, although the mechanism of reimbursement differs significantly across countries. At the time of writing, the pricing of digital health solutions</w:t>
      </w:r>
    </w:p>
    <w:p>
      <w:r>
        <w:t>POSSIBLE 2022: Challenges and Strategies for Bio-Based and Biodegradable Plastic Waste Management in Europe — https://doi.org/10.3390/su142416476</w:t>
      </w:r>
    </w:p>
    <w:p>
      <w:r>
        <w:t>Shared claim-specific concepts: all, strategies, increase; EU scope visible. This is a provisional connection, not an outcome finding.</w:t>
      </w:r>
    </w:p>
    <w:p>
      <w:r>
        <w:t xml:space="preserve">Available abstract (not full text):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r>
        <w:t>POSSIBLE 2022: Investing in AI for social good: an analysis of European national strategies — https://doi.org/10.1007/s00146-022-01445-8</w:t>
      </w:r>
    </w:p>
    <w:p>
      <w:r>
        <w:t>Shared claim-specific concepts: all, strategies, union, possible, commission; EU scope visible. This is a provisional connection, not an outcome finding.</w:t>
      </w:r>
    </w:p>
    <w:p>
      <w:r>
        <w:t xml:space="preserve">Available abstract (not full text): Artificial Intelligence (AI) has become a driving force in modern research, industry and public administration and the European Union (EU) is embracing this technology with a view to creating societal, as well as economic, value. This effort has been shared by EU Member States which were all encouraged to develop their own national AI strategies outlining policies and investment levels. This study focuses on how EU Member States are approaching the promise to develop and use AI for the good of society through the lens of their national AI strategies. In particular, we aim to investigate how European countries are investing in AI and to what extent the stated plans contribute to the good of people and society as a whole. Our contribution consists of three parts: (i) a conceptualization of AI for social good highlighting the role of AI policy, in particular, the one put forward by the European Commission (EC); (ii) a qualitative analysis of 15 European national strategies mapping investment plans and suggesting their relation to the social good (iii) a reflection on the current status of investments in socially good AI and possible steps to move forward. Our study suggests that while European national strategies incorporate money allocations in the sphere of AI for social good (e.g. education), there is a broader variety of underestimated actions (e.g. multidisciplinary approach </w:t>
      </w:r>
    </w:p>
    <w:p>
      <w:pPr>
        <w:pStyle w:val="Heading2"/>
      </w:pPr>
      <w:r>
        <w:t>Scenarios for European agricultural policymaking in the era of digitalisation</w:t>
      </w:r>
    </w:p>
    <w:p>
      <w:r>
        <w:t>Original source (2021): https://doi.org/10.1016/j.agsy.2021.103318</w:t>
      </w:r>
    </w:p>
    <w:p>
      <w:r>
        <w:t>Original wording (abstract; indexed_source_text_not_full_document_verified): Our findings suggest that the baseline scenario needs strategies to ramp up technological and institutional infrastructure for digitalisation. RESULTS AND CONCLUSIONS Four scenarios of digitalisation of the agri-food sector were developed for Europe in 2030.</w:t>
      </w:r>
    </w:p>
    <w:p>
      <w:r>
        <w:t>POSSIBLE 2026: Is Digitalization Alone Enough for Tax Revenue Mobilization Across Europe and Asia? — https://doi.org/10.24912/je.v31i2.4056</w:t>
      </w:r>
    </w:p>
    <w:p>
      <w:r>
        <w:t>Shared claim-specific concepts: findings, suggest, baseline, institutional; EU scope visible. This is a provisional connection, not an outcome finding.</w:t>
      </w:r>
    </w:p>
    <w:p>
      <w:r>
        <w:t>Available abstract (not full text): This study examines the relationship between digitalization and tax revenue while considering the roles of government effectiveness, informality, and tax structure across 18 European and Asian countries during 2005–2023. Using balanced panel data and random-effects regression models, the analysis estimates both baseline and extended specifications incorporating nonlinear and moderating effects. The results reveal that digitalization has a nonlinear relationship with tax revenue, with its fiscal benefits varying according to countries' stage of digital development. Regional analysis shows a U-shaped relationship in Asia but no significant effect of digitalization in Europe, reflecting differences in digital maturity. Government effectiveness significantly improves tax revenue in Asia, whereas informality weakens the effectiveness of digitalization in the full sample. Additionally, taxes on goods and services, as well as GDP per capita, positively contribute to revenue mobilization. The findings suggest that digitalization enhances fiscal performance only when supported by favorable institutional and structural conditions.</w:t>
      </w:r>
    </w:p>
    <w:p>
      <w:r>
        <w:t>POSSIBLE 2025: Understanding Driver Distraction : Key Performance Indicator Findings from Baseline and Trendline in 4 European Countries — https://openalex.org/W7137534956</w:t>
      </w:r>
    </w:p>
    <w:p>
      <w:r>
        <w:t>Shared claim-specific concepts: findings, baseline, developed; EU scope visible. This is a provisional connection, not an outcome finding.</w:t>
      </w:r>
    </w:p>
    <w:p>
      <w:r>
        <w:t>Available abstract (not full text): Distraction while driving is a critical factor contributing to road accidents, and both the Baseline and Trendline projects aimed to quantify and analyze its impact. Funded by the European Commission, these projects developed a range of Key Performance Indicators (KPIs) related to road safety, including one focused on distraction during driving. The Distraction KPI measures the percentage of drivers not using handheld mobile devices while driving. The Baseline project established a methodological framework for collecting and analyzing these KPIs, while the Trendline project built on this foundation by collecting new data to track changes over time. Using slightly updated common methodologies, the projects applied specific criteria for site selection and data collection, enabling a comparative analysis of distraction levels and other safety-related behaviors across participating countries, including Czechia, Poland, Portugal and Sweden.</w:t>
      </w:r>
    </w:p>
    <w:p>
      <w:r>
        <w:t>POSSIBLE 2024: Phytoliths in dicotyledons occurring in Northwest Europe: establishing a baseline — https://doi.org/10.1093/aob/mcae217</w:t>
      </w:r>
    </w:p>
    <w:p>
      <w:r>
        <w:t>Shared claim-specific concepts: findings, baseline, conclusions; EU scope visible. This is a provisional connection, not an outcome finding.</w:t>
      </w:r>
    </w:p>
    <w:p>
      <w:r>
        <w:t>Available abstract (not full text): BACKGROUND AND AIMS: The absence of a modern plant-based 'dicotyledon' phytolith reference baseline impedes the accurate interpretation of fossil phytolith records in archaeological and palaeoecological research within Northwest (NW) Europe. This study aims to fill this gap by documenting and analysing the phytolith record from modern dicotyledon taxa occurring in this region. METHODS: Phytoliths were extracted from several plant parts of 117 plant specimens representing 74 species (one or two specimens per species). The study employed light microscopy to examine phytolith production (non-producer, trace, common or abundant) and phytolith assemblage composition. The data were analysed statistically to (1) determine the influence of taxonomy and plant part on phytolith presence (absent/present) using a mixed model, (2) assess phytolith assemblage variation using a permutational multivariate analysis of variance (PerMANOVA) and (3) identify patterns among sample groups including segregation for plant part, life form (forbs vs. shrubs/trees) and order using linear discriminant analyses (LDA). KEY RESULTS: Morphotype analysis revealed diagnostic morphotypes and features for specific plant families, genera and plant parts. LDA effectively segregated plant parts and life forms, though taxonomic groupings showed limited segregation. Phytolith presence (absent/present) was found to var</w:t>
      </w:r>
    </w:p>
    <w:p>
      <w:r>
        <w:t>POSSIBLE 2024: Baseline matters: Challenges and implications of different marine heatwave baselines — https://doi.org/10.1016/j.pocean.2024.103404</w:t>
      </w:r>
    </w:p>
    <w:p>
      <w:r>
        <w:t>Shared claim-specific concepts: suggest, baseline, strategies; EU scope not established. This is a provisional connection, not an outcome finding.</w:t>
      </w:r>
    </w:p>
    <w:p>
      <w:r>
        <w:t>Available abstract (not full text): Marine heatwaves (MHWs), prolonged periods of unusually high ocean temperatures, significantly impact global ecosystems. However, there is ongoing debate regarding the definition of these extreme events, which is crucial for effective research and communication among marine scientists, decision-makers, and the broader public. Fundamental to all MHW analyses is a clearly defined background oceanic climate – i.e., a temperature ‘baseline’ against which the MHW is defined. While a single approach to implementing a baseline may not be suitable for all MHW research applications, the choice of a baseline for analysing MHWs must be intentional as it affects research outcomes. This perspective examines baseline choices and discusses their implications for marine organism and ecosystem risks, and their relevance in communicating MHW characteristics and metrics to stakeholders, policymakers, and the public. In particular we analyse five different baseline approaches for computing MHW statistics, assess their technical differences, and discuss their ecological implications. Different baselines suggest widely different trends in MHW characteristics in a warming world. This would, for example, imply differences in future risk, reflective of marine organisms with different adaptive potential, thereby affecting recommendations for management strategies. We also examine the consequences of dif</w:t>
      </w:r>
    </w:p>
    <w:p>
      <w:r>
        <w:t>POSSIBLE 2023: Bronchiectasis in Europe: data on disease characteristics from the European Bronchiectasis registry (EMBARC) — https://doi.org/10.1016/s2213-2600(23)00093-0</w:t>
      </w:r>
    </w:p>
    <w:p>
      <w:r>
        <w:t>Shared claim-specific concepts: findings, baseline, four;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2023: Treatment gaps in the implementation of LDL cholesterol control among high- and very high-risk patients in Europe between 2020 and 2021: the multinational observational SANTORINI study — https://doi.org/10.1016/j.lanepe.2023.100624</w:t>
      </w:r>
    </w:p>
    <w:p>
      <w:r>
        <w:t>Shared claim-specific concepts: findings, suggest, baseline; EU scope visible. This is a provisional connection, not an outcome finding.</w:t>
      </w:r>
    </w:p>
    <w:p>
      <w:r>
        <w:t>Available abstract (not full text): Background: European data pre-2019 suggest statin monotherapy is the most common approach to lipid management for preventing cardiovascular (CV) events, resulting in only one-fifth of high- and very high-risk patients achieving the 2019 ESC/EAS recommended low-density lipoprotein cholesterol (LDL-C) goals. Whether the treatment landscape has evolved, or gaps persist remains of interest. Methods: Baseline data are presented from SANTORINI, an observational, prospective study that documents the use of lipid-lowering therapies (LLTs) in patients ≥18 years at high or very high CV risk between 2020 and 2021 across primary and secondary care settings in 14 European countries. Findings: Of 9602 enrolled patients, 9044 with complete data were included (mean age: 65.3 ± 10.9 years; 72.6% male). Physicians reported using 2019 ESC/EAS guidelines as a basis for CV risk classification in 52.0% (4706/9044) of patients (overall: high risk 29.2%; very high risk 70.8%). However, centrally re-assessed CV risk based on 2019 ESC/EAS guidelines suggested 6.5% (308/4706) and 91.0% (4284/4706) were high- and very high-risk patients, respectively. Overall, 21.8% of patients had no documented LLTs, 54.2% were receiving monotherapy and 24.0% combination LLT. Median (interquartile range [IQR]) LDL-C was 2.1 (1.6, 3.0) mmol/L (82 [60, 117] mg/dL), with 20.1% of patients achieving risk-based LDL-C goals as</w:t>
      </w:r>
    </w:p>
    <w:p>
      <w:r>
        <w:t>POSSIBLE 2023: Lifetime impact of achondroplasia study in Europe (LIAISE): findings from a multinational observational study — https://doi.org/10.1186/s13023-023-02652-2</w:t>
      </w:r>
    </w:p>
    <w:p>
      <w:r>
        <w:t>Shared claim-specific concepts: findings, suggest, conclusions; EU scope visible. This is a provisional connection, not an outcome finding.</w:t>
      </w:r>
    </w:p>
    <w:p>
      <w:r>
        <w:t>Available abstract (not full text):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r>
        <w:t>POSSIBLE 2023: Social isolation, loneliness, and incident type 2 diabetes mellitus: results from two large prospective cohorts in Europe and East Asia and Mendelian randomization — https://doi.org/10.1016/j.eclinm.2023.102236</w:t>
      </w:r>
    </w:p>
    <w:p>
      <w:r>
        <w:t>Shared claim-specific concepts: findings, baseline, strategies; EU scope visible. This is a provisional connection, not an outcome finding.</w:t>
      </w:r>
    </w:p>
    <w:p>
      <w:r>
        <w:t>Available abstract (not full text): Background: Social isolation and loneliness pose significant public health challenges globally. The objective of this study is to investigate the association between social isolation, loneliness, and the risk of type 2 diabetes mellitus (T2DM). Methods: 423,503 UK adults from the UK Biobank (UKB) and 13,800 Chinese adults from the China Health and Retirement Longitudinal Study (CHARLS) were analyzed. The exposures of interest were social isolation and loneliness. Social isolation was evaluated based on the number of household members, frequency of social activities, contact with others, and marriage status (CHARLS only). Loneliness was evaluated by the subjective feeling of loneliness and the willingness to confide in others (UKB only). The primary endpoint was incident T2DM. The two-sample Mendelian randomization (MR) analysis was based on the genome-wide association studies of UKB (n = 463,010) and the European Bioinformatics Institute (n = 655,666). Findings: The UKB cohort study documented 15,072 T2DM cases during a mean follow-up of 13.5 years, and the CHARLS cohort study recorded 1,249 T2DM cases during a mean follow-up of 5.8 years. Social isolation and loneliness showed significant associations with an elevated risk of T2DM in both UKB (social isolation [most vs least]: HR 1.17, 95% CI 1.11-1.23; loneliness [yes vs no]: HR 1.21, 95% CI 1.13-1.30) and CHARLS cohorts (soc</w:t>
      </w:r>
    </w:p>
    <w:p>
      <w:r>
        <w:t>POSSIBLE 2022: The duration of the school-to-work transition in Italy and in other European countries: a flexible baseline hazard interpretation — https://doi.org/10.1108/ijm-03-2021-0135</w:t>
      </w:r>
    </w:p>
    <w:p>
      <w:r>
        <w:t>Shared claim-specific concepts: findings, suggest, baseline; EU scope visible. This is a provisional connection, not an outcome finding.</w:t>
      </w:r>
    </w:p>
    <w:p>
      <w:r>
        <w:t>Available abstract (not full text): Purpose The Italian school-to-work transition (STWT) is astonishingly slow and long in comparison to the other EU countries. We analyze its determinants comparing the Italian case with Austria, Poland and the UK. Design/methodology/approach The analysis is based on a Cox survival model with proportional hazard. The smoothed hazard estimates allow us to identify the nonlinear path of the hazard function. Findings The authors reckon that the actual length of the transition to a stable job is around 30 months in Italy. Conversely, it is less than one year in the other countries. Women are particularly penalized, despite being on average more educated than men. Tertiary or vocational education at high secondary school strongly increases the hazard rate to a regular job. The smoothed hazard estimates suggest positive duration dependence at the beginning of the transition and slightly negative thereafter. Practical implications Stimulating economic growth and investing in education and training are important pre-conditions for shortening the transition. Originality/value Despite the duration of the STWT is one of the most important indicators to measure the efficiency of the STWT, it is not easy to measure. The authors build on their previous research work on this topic, but relaxing the assumption of a monotonic hazard rate and using the flexible baseline hazard approach to test for</w:t>
      </w:r>
    </w:p>
    <w:p>
      <w:pPr>
        <w:pStyle w:val="Heading2"/>
      </w:pPr>
      <w:r>
        <w:t>Scenarios of Automated Mobility in Austria: Implications for Future Transport Policy</w:t>
      </w:r>
    </w:p>
    <w:p>
      <w:r>
        <w:t>Original source (2021): https://doi.org/10.3390/futuretransp1030041</w:t>
      </w:r>
    </w:p>
    <w:p>
      <w:r>
        <w:t>Original wording (abstract; indexed_source_text_not_full_document_verified): The simulations show that, without suitable transport policy measures, automated mobility will lead to a significant increase in the volume of individual traffic and to modal shift effects with lower traffic volumes for public transport, walking and cycling. Hence, transport policy measures accompanying the introduction and development of automated vehicles will be needed in the future to reach a sustainable development.</w:t>
      </w:r>
    </w:p>
    <w:p>
      <w:r>
        <w:t>POSSIBLE 2025: Future Changes of European Windstorm Losses in EURO-CORDEX Simulations — https://doi.org/10.16993/tellusa.4094</w:t>
      </w:r>
    </w:p>
    <w:p>
      <w:r>
        <w:t>Shared claim-specific concepts: simulations, show, without, increase, individual; EU scope visible. This is a provisional connection, not an outcome finding.</w:t>
      </w:r>
    </w:p>
    <w:p>
      <w:r>
        <w:t>Available abstract (not full text): Windstorms are one of the most important natural hazards affecting Europe. This article investigates the potential impacts of climate change on windstorm losses in Europe employing the Loss Index (LI) method. A large EURO-CORDEX multi-model ensemble at 12 km resolution with 20 different general circulation model to regional climate model (GCM-RCM) chains following the historical plus RCP8.5 scenario is considered. A comparison between the simulated historical 10 m wind gusts and ERA5 reanalysis reveals substantial model biases. An Empirical Quantile Mapping method is employed to bias-correct the daily wind gust speeds, leading to the effective reduction of these biases. Considering different global warming levels (GWLs), our results show an increase in windstorm intensity for Western, Central and Eastern Europe in a warming world, and a general decrease in windstorm frequency for large parts of Europe. While the ensemble mean changes are mostly moderate for +2°C world, signals are more pronounced for +3°C. The projected changes in windstorm losses are small and mostly non-robust, with negative trends for Central Europe and positive trends for Eastern Europe. For the most extreme loss events, the EURO-CORDEX ensemble projects shorter return periods for Eastern Europe independent of the GWL, while no clear trends for Core Europe emerge. Our results show a large spread between the</w:t>
      </w:r>
    </w:p>
    <w:p>
      <w:r>
        <w:t>POSSIBLE 2025: Attribution of flood impacts shows strong benefits of adaptation in Europe since 1950 — https://doi.org/10.1126/sciadv.adt7068</w:t>
      </w:r>
    </w:p>
    <w:p>
      <w:r>
        <w:t>Shared claim-specific concepts: show, individual, lower; EU scope visible. This is a provisional connection, not an outcome finding.</w:t>
      </w:r>
    </w:p>
    <w:p>
      <w:r>
        <w:t>Available abstract (not full text):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r>
        <w:t>POSSIBLE 2024: Bias-adjusting for underestimated large-scale European warming in regional climate model simulations and implications for future extremes — https://doi.org/10.5194/egusphere-egu24-18186</w:t>
      </w:r>
    </w:p>
    <w:p>
      <w:r>
        <w:t>Shared claim-specific concepts: simulations, show, without; EU scope visible. This is a provisional connection, not an outcome finding.</w:t>
      </w:r>
    </w:p>
    <w:p>
      <w:r>
        <w:t>Available abstract (not full text): Our warming climate enhances both the frequency and intensity of weather extremes. To enable adequate mitigation and adaptation decision-making and planning, accurate long-term climate projections across scales are essential. Europe has warmed faster than any other World Meteorological Organization region in the last decades, yet a vast majority of RCM simulations does not capture the strong observed temperature rise. This discrepancy is in part related to the widespread use of constant aerosol representations in RCMs, and emerges most clearly during summer, i.e. the period of strong insolation. Thereby it also affects (changes in) heat extremes even more strongly than the mean warming. This warming mismatch is, crucially, not restricted to the past but also affects climate projections. Several European national climate services of several European countries still rely on these simulations and solutions are required.Here, we present a novel method to adjust the large-scale warming in RCM simulations based on a reference such as observations or other model simulations. In particular, we re-assemble RCM simulations to match the long-term annual mean temperature evolution over Western Europe in state-of-the-art GCMs, which show less (or no) underestimation of the observed summer warming than the RCMs. We demonstrate that our approach preserves the high-resolution information provi</w:t>
      </w:r>
    </w:p>
    <w:p>
      <w:r>
        <w:t>POSSIBLE 2023: A roadmap to estimating agricultural ammonia volatilization over Europe using satellite observations and simulation data — https://doi.org/10.5194/acp-23-12505-2023</w:t>
      </w:r>
    </w:p>
    <w:p>
      <w:r>
        <w:t>Shared claim-specific concepts: simulations, show, increase; EU scope visible. This is a provisional connection, not an outcome finding.</w:t>
      </w:r>
    </w:p>
    <w:p>
      <w:r>
        <w:t>Available abstract (not full text): Abstract. Ammonia (NH3) is one of the most important gases emitted from agricultural practices. It affects air quality and the overall climate, and in turn influenced by long term climate trends as well as by short term fluctuations in local and regional meteorology. Previous studies have established the capability of the Infrared Atmospheric Sounding Interferometer (IASI) series of instruments aboard the Metop satellites to measure ammonia from space since 2007. In this study, we explore the interactions between atmospheric ammonia, land and meteorological variability, and long-term climate trends in Europe. We investigate the emission potential (Γsoil) of ammonia from the soil, which describes the soil – atmosphere ammonia exchange. Γsoil is generally calculated in-field or in laboratory experiments; here, and for the first time, we investigate a method which assesses it remotely using satellite data, reanalysis data products, and model simulations. We focus on ammonia emission potential during March 2011, which marks the start of growing season in Europe. Our results show that Γsoil ranges from 2 × 103 to 9.5 × 104 (dimensionless) in a fertilized cropland, such as in the North European Plain, and is of the order of 10–102 in a non-fertilized soil (e.g. forest and grassland). These results agree with in-field measurements from the literature, suggesting that our method can be</w:t>
      </w:r>
    </w:p>
    <w:p>
      <w:r>
        <w:t>POSSIBLE 2023: Validating EURO-CORDEX climate simulations for modelling European wind power generation — https://doi.org/10.1016/j.renene.2023.118989</w:t>
      </w:r>
    </w:p>
    <w:p>
      <w:r>
        <w:t>Shared claim-specific concepts: simulations, show, lower; EU scope visible. This is a provisional connection, not an outcome finding.</w:t>
      </w:r>
    </w:p>
    <w:p>
      <w:r>
        <w:t>Available abstract (not full text): As the energy system becomes increasingly dependent on intermittent meteorological sources, there is a need to understand better the possible consequences of a changing climate on weather variability and how it will affect wind power generation in the future. Most previous validation studies of regional climate datasets focus on the distributional properties or, in fewer cases, the variability at lower frequencies, such as interannual and seasonal. However, accurate wind variability at a high-enough resolution (e.g., hourly) is crucial for many aspects of power and energy system analyses. Using European country-level wind generation data and metrics relevant to power and energy system applications, we validate the wind speed output from seven regional climate models from the EURO-CORDEX project. We show that the EURO-CORDEX models adjusted with the Global Wind Atlas (GWA2) can simulate temporal dependencies and generation distributions with accuracy similar to or better than the ERA5 reanalysis. The spatial correlations, however, are exaggerated compared to observations by most analysed models. Assuming the GWA2 scaling is also valid for the future, the projections under the RCP8.5 scenario show a slight negative trend (2026--2065) in capacity factors for most analysed European countries.</w:t>
      </w:r>
    </w:p>
    <w:p>
      <w:r>
        <w:t>POSSIBLE 2022: Numerical simulation of the impact of COVID-19 lockdown on tropospheric composition and aerosol radiative forcing in Europe — https://doi.org/10.5194/acp-22-10901-2022</w:t>
      </w:r>
    </w:p>
    <w:p>
      <w:r>
        <w:t>Shared claim-specific concepts: mobility, increase, lower; EU scope visible. This is a provisional connection, not an outcome finding.</w:t>
      </w:r>
    </w:p>
    <w:p>
      <w:r>
        <w:t xml:space="preserve">Available abstract (not full text): Abstract. Aerosols influence the Earth’s energy balance through direct radiative effects and indirectly by altering the cloud micro-physics. Anthropogenic aerosol emissions dropped considerably when the global COVID–19 pandemic resulted in severe restraints on mobility, production, and public life in spring 2020. Here we assess the effects of these reduced emissions on direct and indirect aerosol radiative forcing over Europe, excluding contributions from contrails. We simulate the atmospheric com- position with the ECHAM5/MESSy Atmospheric Chemistry (EMAC) model in a baseline (business as usual) and a reduced emission scenario. The model results are compared to aircraft observations from the BLUESKY aircraft campaign performed in May/June 2020 over Europe. The model agrees well with most of the observations, except for sulfur dioxide, particulate sulfate and nitrate in the upper troposphere, likely due to a somewhat biased representation of stratospheric aerosol chemistry and missing information about volcanic eruptions which could have influenced the campaign. The comparison with a business as usual scenario shows that the largest relative differences for tracers and aerosols are found in the upper troposphere, around the aircraft cruise altitude, due to the reduced aircraft emissions, while the largest absolute changes are present at the surface. We also find an increase in </w:t>
      </w:r>
    </w:p>
    <w:p>
      <w:r>
        <w:t>POSSIBLE 2022: The Effects of Soil Improving Cropping Systems (SICS) on Soil Erosion and Soil Organic Carbon Stocks across Europe: A Simulation Study — https://doi.org/10.3390/land11060943</w:t>
      </w:r>
    </w:p>
    <w:p>
      <w:r>
        <w:t>Shared claim-specific concepts: simulations, show, without, increase; EU scope visible. This is a provisional connection, not an outcome finding.</w:t>
      </w:r>
    </w:p>
    <w:p>
      <w:r>
        <w:t>Available abstract (not full text): Healthy soils are fundamental for sustainable agriculture. Soil Improving Cropping Systems (SICS) aim to make land use and food production more sustainable. To evaluate the effect of SICS at EU scale, a modelling approach was taken. This study simulated the effects of SICS on two principal indicators of soil health (Soil Organic Carbon stocks) and land degradation (soil erosion) across Europe using the spatially explicit PESERA model. Four scenarios with varying levels and combinations of cover crops, mulching, soil compaction alleviation and minimum tillage were implemented and simulated until 2050. Results showed that while in the scenario without SICS, erosion slightly increased on average across Europe, it significantly decreased in the scenario with the highest level of SICS applied, especially in the cropping areas in the central European Loess Belt. Regarding SOC stocks, the simulations show a substantial decrease for the scenario without SICS and a slight overall decrease for the medium level scenario and the scenario with a mix of high, medium and no SICS. The scenario with a high level of SICS implementation showed an overall increase in SOC stocks across Europe. Potential future improvements include incorporating dynamic land use, climate change and an optimal spatial allocation of SICS.</w:t>
      </w:r>
    </w:p>
    <w:p>
      <w:r>
        <w:t>POSSIBLE 2022: Afforestation impact on soil temperature in regional climate model simulations over Europe — https://doi.org/10.5194/gmd-15-595-2022</w:t>
      </w:r>
    </w:p>
    <w:p>
      <w:r>
        <w:t>Shared claim-specific concepts: simulations, show, lower; EU scope visible. This is a provisional connection, not an outcome finding.</w:t>
      </w:r>
    </w:p>
    <w:p>
      <w:r>
        <w:t xml:space="preserve">Available abstract (not full text):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pPr>
        <w:pStyle w:val="Heading2"/>
      </w:pPr>
      <w:r>
        <w:t>Scenario‐based fertility projections incorporating impacts of COVID‐19</w:t>
      </w:r>
    </w:p>
    <w:p>
      <w:r>
        <w:t>Original source (2021): https://doi.org/10.1002/psp.2546</w:t>
      </w:r>
    </w:p>
    <w:p>
      <w:r>
        <w:t>Original wording (abstract; indexed_source_text_not_full_document_verified): Our projections show that for three scenarios out of four, fertility is expected to decline over the next 3 years, leading to significantly fewer births annually compared with the pre‐pandemic period. Abstract This paper examines the recent declines in period fertility in the constituent countries of the UK during the past decade and speculates mechanisms through which the COVID‐19 pandemic could influence childbearing in the UK.</w:t>
      </w:r>
    </w:p>
    <w:p>
      <w:r>
        <w:t>POSSIBLE 2026: The Inevitability of Projection: The Three-Term Equation as the Mother Equation of the Quantum Blueprint Formalism — https://doi.org/10.5281/zenodo.18527042</w:t>
      </w:r>
    </w:p>
    <w:p>
      <w:r>
        <w:t>Shared claim-specific concepts: show, three, fewer; EU scope not established. This is a provisional connection, not an outcome finding.</w:t>
      </w:r>
    </w:p>
    <w:p>
      <w:r>
        <w:t>Available abstract (not full text): The Quantum Blueprint Formalism (QBF) has developed, across eighteen papers and two books, a hierarchy of dynamical equations governing coherence, consciousness, selfconsciousness, cosmological evolution, and — most recently — reprojection dynamics. A striking structural fact has emerged but has not been formally established: every dynamical equation in the QBF is an instance of a single three-term equation, the Fokker–Planck equation on the pre-coherent space Ms: J_s = −D_s ∇ρ_s − ρ_s ∇Φ + Ω_s ρ_s with diffusion, drift, and circulation as the three structural components. This paper establishes three results. First (the Mother Equation Theorem): we show that all QBF dynamical equations — on MΘ, on belief space, on self-model space, on the projection landscape L, and on the reprojection space Lid — are formally isomorphic to this equation, differing only in the state space, the functional that generates drift, and the algebraic structure that generates circulation. Second (the Transcendental Correspondence): we show that the three terms of the equation correspond exactly to the three admissibility conditions (A1)–(A3), which in turn correspond to the three transcendental conditions for coherent structure: identity, temporality, and distinction. The equation has three terms because coherent structure requires exactly three conditions — neither more nor fewer. Third (the Inevitabi</w:t>
      </w:r>
    </w:p>
    <w:p>
      <w:r>
        <w:t>POSSIBLE 2026: Do Transformers Need Three Projections? Systematic Study of QKV Variants — https://doi.org/10.48550/arxiv.2606.04032</w:t>
      </w:r>
    </w:p>
    <w:p>
      <w:r>
        <w:t>Shared claim-specific concepts: projections, show, three; EU scope not established. This is a provisional connection, not an outcome finding.</w:t>
      </w:r>
    </w:p>
    <w:p>
      <w:r>
        <w:t>Available abstract (not full text): Transformers have become the standard solution for various AI tasks, with the query, key, and value (QKV) attention formulation playing a central role. However, the individual contribution of these three projections and the impact of omitting some remain poorly understood. We systematically evaluate three projection sharing constraints: a) Q-K=V (shared key-value), b) Q=K-V (shared query-key), and c) Q=K=V (single projection). The last two variants produce symmetric attention maps; to address this, we also explore asymmetric attention via 2D positional encodings. Through experiments spanning synthetic tasks, vision (MNIST, CIFAR, TinyImageNet, anomaly), and language modeling (300M and 1.2B parameter models on 10B tokens), we discovered that our transformers perform on par or occasionally better than the QKV transformer. In language modeling, Q-K=V projection sharing achieves 50% KV cache reduction with only 3.1% perplexity degradation. Crucially, projection sharing is complementary to head sharing (GQA/MQA): combining Q-K=V with GQA-4 yields 87.5% cache reduction, while Q-K=V + MQA achieves 96.9%, enabling practical on-device inference. We show that Q-K=V preserves quality because keys and values can occupy similar representational spaces and attention operates in a low-rank regime, whereas Q=K-V breaks attention directionality. Our results systematically characterize projectio</w:t>
      </w:r>
    </w:p>
    <w:p>
      <w:r>
        <w:t>POSSIBLE 2026: Geometry, Sound, and Time as Three Projections of One Contact Band — https://doi.org/10.5281/zenodo.19593317</w:t>
      </w:r>
    </w:p>
    <w:p>
      <w:r>
        <w:t>Shared claim-specific concepts: projections, show, three, leading; EU scope not established. This is a provisional connection, not an outcome finding.</w:t>
      </w:r>
    </w:p>
    <w:p>
      <w:r>
        <w:t>Available abstract (not full text): The wave operator φ²∇², Roy Herbert's log-lattice invariant N₁N₂N₃=K, and the Hopf saturation coefficient g=φ² are three projections of the same Hessian of V=−ln det(X) on the exceptional Jordan algebra J₃(𝕆), evaluated in three measurement geometries: acoustic, temporal, and dynamical. We derive the leading wave operator on the 24-dimensional slice of J₃(𝕆) and show that its propagation speed is φ. Rodriguez-Vega et al. (2024) phonon gaps at φ-scaled energies in icosahedral quasicrystals confirm the acoustic face. The substrate is identified as Cahill's Dynamical 3-Space — a liquid quasicrystal of ZEO causal diamonds — and Bohm's holomovement is realised as the Reeb flow on the contact manifold. Related papers: DOI 10.5281/zenodo.19570725 (g=φ²) and DOI 10.5281/zenodo.19585972 (N₁N₂N₃=K).</w:t>
      </w:r>
    </w:p>
    <w:p>
      <w:r>
        <w:t>POSSIBLE 2025: On masas of the Calkin algebra generated by projections — https://doi.org/10.48550/arxiv.2512.06580</w:t>
      </w:r>
    </w:p>
    <w:p>
      <w:r>
        <w:t>Shared claim-specific concepts: projections, three, compared; EU scope not established. This is a provisional connection, not an outcome finding.</w:t>
      </w:r>
    </w:p>
    <w:p>
      <w:r>
        <w:t>Available abstract (not full text): Assuming the continuum hypothesis CH, we obtain complete $*$-isomorphic classification of maximal abelian self-adjoint subalgebras (masas) of the Calkin algebra $\mathcal Q(\ell_2)$ (bounded operators on a separable Hilbert space modulo compact operators) generated by projections. In particular, for any compact totally disconnected Hausdorff space $K$ of weight not exceeding the continuum and not admitting $G_δ$ points we construct under CH a masa of $\mathcal Q(\ell_2)$ which is $*$-isomorphic to the algebra $C(K)$ of complex-valued continuous functions on $K$. This, among others, shows that masas of the Calkin algebra could have rather unexpected properties compared to the previously known three $*$-isomorphic types of them generated by projections: $\ell_\infty/c_0$, $L_\infty$ and $\ell_\infty/c_0\oplus L_\infty$. It can be shown that some additional set-theoretic hypothesis, like CH, is necessary for such results. However, without making any additional set-theoretic assumptions we still construct a family of maximal possible cardinality (of the power set of $\mathbb R$) of pairwise non-$*$-isomorphic masas of $\mathcal Q(\ell_2)$ generated by projections and with properties unlike the three above examples.</w:t>
      </w:r>
    </w:p>
    <w:p>
      <w:r>
        <w:t>POSSIBLE 2024: Projection in Arabic: a typological overview — https://doi.org/10.1515/jwl-2024-0019</w:t>
      </w:r>
    </w:p>
    <w:p>
      <w:r>
        <w:t>Shared claim-specific concepts: show, three, abstract, examines; EU scope not established. This is a provisional connection, not an outcome finding.</w:t>
      </w:r>
    </w:p>
    <w:p>
      <w:r>
        <w:t>Available abstract (not full text): Abstract This article examines the different aspects of projection by focusing on the processes construing this area of the lexicogrammar. It also explores how Arabic construes this dimension of the lexicogrammar across the rank scale and beyond. Within the Hallidayan Systemic Functional paradigm, there are three variables that differentiate between any type of projection and this article investigates all three of them. It more precisely explores the three different projection systems which consist of (i) the level of projection which is about the distinction between mental and verbal projection. (ii) The mode of projection which is about tactic interdependency relations and whether what is projected is a quote (paratactic) or a report (hypotactic) and (iii) the speech function of projection which is where projection interacts with the system of mood and the projection of propositions and proposals. The last section studies the manifestation of projection patterns in a wide variety of lexico-grammatical environments. The findings will show how this pervasiveness substantiates the interpretation of projection as a fractal motif.</w:t>
      </w:r>
    </w:p>
    <w:p>
      <w:r>
        <w:t>POSSIBLE 2023: Projection in Politicians' Perceptions of Public Opinion — https://doi.org/10.1111/pops.12900</w:t>
      </w:r>
    </w:p>
    <w:p>
      <w:r>
        <w:t>Shared claim-specific concepts: three, out, four, countries; EU scope visible. This is a provisional connection, not an outcome finding.</w:t>
      </w:r>
    </w:p>
    <w:p>
      <w:r>
        <w:t>Available abstract (not full text): Research has shown that politicians' perceptions of public opinion are subject to social projection. When estimating the opinions of voters on a broad range of issues, politicians tend to assume that their own preferences are shared by voters. This article revisits this finding and adds to the literature in three ways. First, it makes a conceptual contribution by bringing together different approaches to the analysis of projection and its consequences. Second, relying on data from surveys with politicians (n = 866) in four countries (Belgium, Canada, Germany, and Switzerland) conducted between March 2018 and September 2019, it shows that there is more projection in politicians' estimations of their partisan electorate than in their estimations of the general public or of their geographic district. Third, comparing the data on politician projection with data from parallel surveys with citizens, the article reveals that—at least in three out of the four countries studied here—elected politicians are not better at avoiding erroneous projection than ordinary citizens. The article discusses the implications of these findings for the workings of representative democracy.</w:t>
      </w:r>
    </w:p>
    <w:p>
      <w:r>
        <w:t>POSSIBLE 2023: Global projections of flash drought show increased risk in a warming climate — https://doi.org/10.1038/s43247-023-00826-1</w:t>
      </w:r>
    </w:p>
    <w:p>
      <w:r>
        <w:t>Shared claim-specific concepts: projections, show, expected, over, compared, abstract; EU scope visible. This is a provisional connection, not an outcome finding.</w:t>
      </w:r>
    </w:p>
    <w:p>
      <w:r>
        <w:t>Available abstract (not full text): Abstract Flash drought, characterized by unusually rapid drying, can have substantial impact on many socioeconomic sectors, particularly agriculture. However, potential changes to flash drought risk in a warming climate remain unknown. In this study, projected changes in flash drought frequency and cropland risk from flash drought are quantified using global climate model simulations. We find that flash drought occurrence is expected to increase globally among all scenarios, with the sharpest increases seen in scenarios with higher radiative forcing and greater fossil fuel usage. Flash drought risk over cropland is expected to increase globally, with the largest increases projected across North America (change in annual risk from 32% in 2015 to 49% in 2100) and Europe (32% to 53%) in the most extreme emissions scenario. Following low-end and medium scenarios compared to high-end scenarios indicates a notable reduction in annual flash drought risk over cropland.</w:t>
      </w:r>
    </w:p>
    <w:p>
      <w:r>
        <w:t>POSSIBLE 2023: Super-resolution reconstruction for the three-dimensional turbulence flows with a back-projection network — https://doi.org/10.1063/5.0147902</w:t>
      </w:r>
    </w:p>
    <w:p>
      <w:r>
        <w:t>Shared claim-specific concepts: show, three, recent; EU scope not established. This is a provisional connection, not an outcome finding.</w:t>
      </w:r>
    </w:p>
    <w:p>
      <w:r>
        <w:t>Available abstract (not full text): Recent attempts to employ deep learning technology for the super-resolution (SR) reconstruction of turbulence have focused chiefly on reconstructing two-dimensional (2D) slices of the three-dimensional (3D) flow fields. However, tomographic particle image velocimetry (Tomo-PIV) measurements yield 3D velocity fields. The resolutions of 3D velocity field data along three directions cannot be simultaneously enhanced using a 2D SR reconstruction model. Additionally, a 3D velocity flow field structure cannot be accurately reconstructed using a 2D model. Therefore, we present a 3D flow field SR reconstruction method (FSR-3D) based on a back-projection network. The FSR-3D model incorporates a multiscale convolutional residual block and an up-and-down projection module and establishes the mapping relationship between low-resolution features and high-resolution (HR) features through an iterative mechanism. The proposed model is validated using two experiments. First, the original velocity field is reconstructed from downsampled forced isotropic turbulence data. Second, the downsampled direct numerical simulation (DNS) data of a turbulent channel flow are used to reconstruct the HR flow field to verify the reconstruction capability of the FSR-3D model with respect to the flow field of the boundary layer. Third, Tomo-PIV measurements of the wake flow behind a circular cylinder are used to</w:t>
      </w:r>
    </w:p>
    <w:p>
      <w:r>
        <w:t>POSSIBLE 2023: Global survey shows planners use widely varying sea-level rise projections for coastal adaptation — https://doi.org/10.1038/s43247-023-00703-x</w:t>
      </w:r>
    </w:p>
    <w:p>
      <w:r>
        <w:t>Shared claim-specific concepts: projections, show, countries; EU scope not established. This is a provisional connection, not an outcome finding.</w:t>
      </w:r>
    </w:p>
    <w:p>
      <w:r>
        <w:t>Available abstract (not full text): Including sea-level rise (SLR) projections in planning and implementing coastal adaptation is crucial. Here we analyze the first global survey on the use of SLR projections for 2050 and 2100. Two-hundred and fifty-three coastal practitioners engaged in adaptation/planning from 49 countries provided complete answers to the survey which was distributed in nine languages - Arabic, Chinese, English, French, Hebrew, Japanese, Korean, Portuguese and Spanish. While recognition of the threat of SLR is almost universal, only 72% of respondents currently utilize SLR projections. Generally, developing countries have lower levels of utilization. There is no global standard in the use of SLR projections: for locations using a standard data structure, 53% are planning using a single projection, while the remainder are using multiple projections, with 13% considering a low-probability high-end scenario. Countries with histories of adaptation and consistent national support show greater assimilation of SLR projections into adaptation decisions. This research provides new insights about current planning practices and can inform important ongoing efforts on the application of the science that is essential to the promotion of effective adaptation.</w:t>
      </w:r>
    </w:p>
    <w:p>
      <w:r>
        <w:t>POSSIBLE 2022: Ranked enumeration of join queries with projections — https://doi.org/10.14778/3510397.3510401</w:t>
      </w:r>
    </w:p>
    <w:p>
      <w:r>
        <w:t>Shared claim-specific concepts: projections, show, three, over, recent; EU scope not established. This is a provisional connection, not an outcome finding.</w:t>
      </w:r>
    </w:p>
    <w:p>
      <w:r>
        <w:t>Available abstract (not full text): Join query evaluation with ordering is a fundamental data processing task in relational database management systems. SQL and custom graph query languages such as Cypher offer this functionality by allowing users to specify the order via the ORDER BY clause. In many scenarios, the users also want to see the firstkresults quickly (expressed by the LIMIT clause), but the value ofkis not predetermined as user queries are arriving in an online fashion. Recent work has made considerable progress in identifying optimal algorithms for ranked enumeration of join queries that donotcontain any projections. In this paper, we initiate the study of the problem of enumerating results in ranked order for querieswith projections.Our main result shows that for any acyclic query, it is possible to obtain a near-linear (in the size of the database) delay algorithm after only a linear time preprocessing step for two important ranking functions: sum and lexicographic ordering. For a practical subset of acyclic queries known as star queries, we show an even stronger result that allows a user to obtain a smooth tradeoff between faster answering time guarantees using more preprocessing time. Our results are also extensible to queries containing cycles and unions. We also perform a comprehensive experimental evaluation to demonstrate that our algorithms, which are simple to implement, improve up to thre</w:t>
      </w:r>
    </w:p>
    <w:p>
      <w:pPr>
        <w:pStyle w:val="Heading2"/>
      </w:pPr>
      <w:r>
        <w:t>The Current Picture of the Transition to a Green Economy in the EU—Trends in Climate and Energy Policy versus State Security</w:t>
      </w:r>
    </w:p>
    <w:p>
      <w:r>
        <w:t>Original source (2021): https://doi.org/10.3390/en14238181</w:t>
      </w:r>
    </w:p>
    <w:p>
      <w:r>
        <w:t>Original wording (abstract; indexed_source_text_not_full_document_verified): The aim of the article is to present the main quantitative challenges for the development of the green economy in the EU, which are analyzed from the perspective of the year 2030.</w:t>
      </w:r>
    </w:p>
    <w:p>
      <w:r>
        <w:t>POSSIBLE 2026: The Communion of Protestant Churches in Europe and European integration — https://doi.org/10.31261/ssht.2025.58.1.05</w:t>
      </w:r>
    </w:p>
    <w:p>
      <w:r>
        <w:t>Shared claim-specific concepts: aim, article, present; EU scope visible. This is a provisional connection, not an outcome finding.</w:t>
      </w:r>
    </w:p>
    <w:p>
      <w:r>
        <w:t>Available abstract (not full text):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r>
        <w:t>POSSIBLE 2025: The Securitization of Islam in the Context of European Identityand the Attitudes of Europeans Towards Muslim Immigrants and Refugees — https://doi.org/10.34739/dsd.2024.02.02</w:t>
      </w:r>
    </w:p>
    <w:p>
      <w:r>
        <w:t>Shared claim-specific concepts: article, present, quantitative; EU scope visible. This is a provisional connection, not an outcome finding.</w:t>
      </w:r>
    </w:p>
    <w:p>
      <w:r>
        <w:t>Available abstract (not full text): This article aims to present selected dimensions of the securitization of Islam in Europe in the context of European identity, and to show the impact of this process on the attitudes of Europeans towards Muslim migrants. The first part of the article focuses on the issue of European identity. This theoretical introduction allows for a better understanding of the dimensions of the securitization of Islam in Europe and their impact on the attitudes of citizens of selected the European Union (EU) and European Free Trade Association (EFTA) states towards migrants. The method used to conduct the research in this article is desk research and the qualitative method of analyzing written sources, both qualitative and quantitative data. The analysis uses numerous public opinion surveys, including the report “Trends in attitudes towards migration in Europe. A comparative analysis”, prepared on the basis of the European Social Survey from 2018.</w:t>
      </w:r>
    </w:p>
    <w:p>
      <w:r>
        <w:t>POSSIBLE 2024: LITERATURE REVIEW AND ANALYSIS OF RESEARCH CONDUCTED IN EUROPE ON HEALTH LITERACY — https://doi.org/10.34739/zn.2023.61.13</w:t>
      </w:r>
    </w:p>
    <w:p>
      <w:r>
        <w:t>Shared claim-specific concepts: aim, article, present; EU scope visible. This is a provisional connection, not an outcome finding.</w:t>
      </w:r>
    </w:p>
    <w:p>
      <w:r>
        <w:t>Available abstract (not full text): According to World Health Organization, Health Literacy encompasses the cognitive and social skills that determine the motivation and ability of individuals to access, understand and use information in a way that promotes and maintains good health. The aim of this article is to present the concept of “health literacy”, its determinants and consequences, as well as to review research conducted in Europe using the European Health Literacy Survey Questionnaire – HLS-EU-Q16 indicator. For this purpose, a literature review was conducted, to incorporate analysis and criticism. The article determines the scope of research on health literacy in Europe using the European Health Literacy Survey Questionnaire – HLS-EU-Q16, based on literature analysis. The greater people’s health literacy, the better their understanding of prevention and treatment. Low health awareness means financial losses, both personal and global. High Health Literacy enables good prevention, which is the best and cheapest method in every health system.</w:t>
      </w:r>
    </w:p>
    <w:p>
      <w:r>
        <w:t>POSSIBLE 2024: Energy Policy in the European Union within the European Green Deal Strategy — https://doi.org/10.18778/1508-2008.27.13</w:t>
      </w:r>
    </w:p>
    <w:p>
      <w:r>
        <w:t>Shared claim-specific concepts: article, main, green, analyzed; EU scope visible. This is a provisional connection, not an outcome finding.</w:t>
      </w:r>
    </w:p>
    <w:p>
      <w:r>
        <w:t>Available abstract (not full text): The article presents the energy policy of the European Union (EU) in light of its latest strategy, called the European Green Deal. The article is of particular importance to answer two main questions: What was the importance of two energy packages in the EU energy policy, i.e., the fourth and fifth packages? The fourth package was adopted in June 2019; the fifth package – “Ready for 55” – was published in 2021 and aimed to align the EU’s energy targets with the new European climate targets for 2030 and 2050. What are the main conclusions from the presented tables and graphs regarding carbon dioxide emissions in European Union countries from 2012 to 2021? Additionally, what insights can be drawn regarding changes in electricity prices for household and non‑household consumers in euros per 100 kilowatt‑hour, as well as gross electricity production (in million tonnes of oil equivalent) in the analyzed years for all EU Member States?</w:t>
      </w:r>
    </w:p>
    <w:p>
      <w:r>
        <w:t>POSSIBLE 2023: RETRACTED ARTICLE: Sustainable development economy and the development of green economy in the European Union — https://doi.org/10.1186/s13705-023-00410-7</w:t>
      </w:r>
    </w:p>
    <w:p>
      <w:r>
        <w:t>Shared claim-specific concepts: article, present, main, challenges, green, economy; EU scope visible. This is a provisional connection, not an outcome finding.</w:t>
      </w:r>
    </w:p>
    <w:p>
      <w:r>
        <w:t>Available abstract (not full text): Abstract Background This study aims to explain the policies implemented by the European Union in transitioning to a green economy. It examines the period from the adoption of sustainable development within the Union to the present, focusing on the EU's strategies for sustainable development and the green economy. Main text The study reveals that the European Union has long recognized environmental problems and the impacts of climate change, starting from the 1990s. In response to the global crisis in 2008, the EU embraced the opportunity to build a dynamic, low-carbon, resource-efficient, knowledge-based, and socially inclusive society. Green investments were included in the EU's rescue plan, initiating the green transformation. The study explains the concepts of sustainable development, the green economy, and green growth. It discusses how the European Union implemented its green transformation, particularly through the examination of the European Green Deal. Furthermore, it explores the developments related to climate change and the green economy within the framework of the European 2020 strategy. Conclusions The findings highlight the European Union's commitment to addressing environmental challenges and transitioning to a green economy. Future research should focus on assessing the effectiveness of implemented policies and strategies in achieving sustainable development goa</w:t>
      </w:r>
    </w:p>
    <w:p>
      <w:r>
        <w:t>POSSIBLE 2022: The Regional Development Trap in Europe — https://doi.org/10.1080/00130095.2022.2080655</w:t>
      </w:r>
    </w:p>
    <w:p>
      <w:r>
        <w:t>Shared claim-specific concepts: article, challenges; EU scope visible. This is a provisional connection, not an outcome finding.</w:t>
      </w:r>
    </w:p>
    <w:p>
      <w:r>
        <w:t>Available abstract (not full text):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r>
        <w:t>POSSIBLE 2022: European Green Deal — https://doi.org/10.33919/yldnbu.20.9.12</w:t>
      </w:r>
    </w:p>
    <w:p>
      <w:r>
        <w:t>Shared claim-specific concepts: article, present, main, challenges, green, economy; EU scope visible. This is a provisional connection, not an outcome finding.</w:t>
      </w:r>
    </w:p>
    <w:p>
      <w:r>
        <w:t>Available abstract (not full text): This article aims to present the main objectives and characteristics of the European Green Deal, which is a kind of roadmap for achieving the sustainability of the EU economy by turning climate and environmental challenges into opportunities in all policy areas, through a just and inclusive transition for all. The implementation of this roadmap provides for actions to use resources efficiently by moving to a circular economy, reducing biodiversity loss and diminishing pollution. The roadmap also sets out the necessary investments and financial instruments and the need to ensure a just and inclusive transition. Transforming the economy of the European Union (EU) into a resource-efficient economy in which economic growth is not directly linked to the use of resources, based on the cessation of net emissions by 2050. The European Green Deal outlines a plan for this transformative change.</w:t>
      </w:r>
    </w:p>
    <w:p>
      <w:r>
        <w:t>POSSIBLE 2022: Professional development of teacher educators in Europe and Myanmar — https://doi.org/10.5937/andstud2201083l</w:t>
      </w:r>
    </w:p>
    <w:p>
      <w:r>
        <w:t>Shared claim-specific concepts: article, present; EU scope visible. This is a provisional connection, not an outcome finding.</w:t>
      </w:r>
    </w:p>
    <w:p>
      <w:r>
        <w:t>Available abstract (not full text): The learning opportunities for teacher educators should respond to individual professional needs, but also prepare educators for new developments in (teacher) learning, (teacher) education and the teaching profession (Smith, 2003). To communicate the needs of society, the professional development and the lifelong learning of teacher educators are essential. This article aims to discuss the different approaches to the professional development of teacher educators, an overview of the European policies and country-specific studies, and observe and analyse professional development (PD) activities for teacher educators that create strategies to ensure quality education in Myanmar. It is found that compared to some European countries, it should provide opportunities for international professional networks and research projects to promote positive research culture. Moreover, sufficient financial support for developing a practical knowledge base for Myanmar teacher educators is needed. Finally, we present some suggestions for effective professional development pathways for teacher educators in Myanmar.</w:t>
      </w:r>
    </w:p>
    <w:p>
      <w:r>
        <w:t>POSSIBLE 2022: Introduction: Teaching and Learning ‘Europe’ in ‘the Periphery’: Disciplinary, Educational and Cognitive Boundaries of European Studies — https://doi.org/10.30950/jcer.v18i2.1292</w:t>
      </w:r>
    </w:p>
    <w:p>
      <w:r>
        <w:t>Shared claim-specific concepts: aim, article, challenges; EU scope visible. This is a provisional connection, not an outcome finding.</w:t>
      </w:r>
    </w:p>
    <w:p>
      <w:r>
        <w:t>Available abstract (not full text): This introductory article argues that there is a need to introduce a renewed approach to the field of European Studies which takes into account various perspectives from the ‘periphery’ to unfold complexities and challenges of teaching and learning ‘Europe’ away from the immediate geographical and conceptual focus of the European studies. By elaborating on the notion of ‘periphery’ and exploring how European Studies resonate beyond ‘the centre’, we aim to explore the complexities and challenges of the European studies in its relationality of the broader processes such as EU accession and global university education. This endeavour will contribute to the ongoing disciplinary debate on the future of European studies as well as the introduction of new methods of teaching and knowledge production by presenting alternative narratives on the challenges of the European integration and Europeanisation in the ‘periphery’.</w:t>
      </w:r>
    </w:p>
    <w:p>
      <w:pPr>
        <w:pStyle w:val="Heading2"/>
      </w:pPr>
      <w:r>
        <w:t>The Economic Impact of Investment in Renewables in Croatia by 2030</w:t>
      </w:r>
    </w:p>
    <w:p>
      <w:r>
        <w:t>Original source (2021): https://doi.org/10.3390/en14248215</w:t>
      </w:r>
    </w:p>
    <w:p>
      <w:r>
        <w:t>Original wording (abstract; indexed_source_text_not_full_document_verified): At the beginning of 2020, the Strategy of the Republic of Croatia until 2030 with an outlook to 2050 was adopted. The Strategy analyzes two energy transition scenarios, the accelerated energy transition and the moderate energy transition.</w:t>
      </w:r>
    </w:p>
    <w:p>
      <w:r>
        <w:t>POSSIBLE 2025: European policy of the Republic of Türkiye: stages, priorities, transformations — https://doi.org/10.17721/2524-048x.2025.32.1</w:t>
      </w:r>
    </w:p>
    <w:p>
      <w:r>
        <w:t>Shared claim-specific concepts: beginning, strategy, republic, analyzes, energy; EU scope visible. This is a provisional connection, not an outcome finding.</w:t>
      </w:r>
    </w:p>
    <w:p>
      <w:r>
        <w:t xml:space="preserve">Available abstract (not full text): The purpose of the article is to study the stages of development, key priorities, and shifts in the European policy of the Republic of Türkiye. It focuses on how domestic and international changes, as well as current geopolitical challenges—especially the full-scale Russian aggression against Ukraine—affect Türkiye’s relations with the European Union. The study also reveals the causal relationships explaining the development of Turkish-European relations. The methodology is based on historical and political analysis, which allows for a comprehensive exploration of the internal and external factors shaping Türkiye’s policy. The internal determinants under consideration include political stability, the economy, public sentiment, and the role of elites. External factors involve international trends, conflicts, and interaction with states and organizations. Particular attention is given to the course of Türkiye’s accession negotiations with the European Union. The analysis also takes into account the geostrategic conditions influencing Ankara’s policy. The article’s scientific novelty lies in its focus on the historical roots of Türkiye’s European trajectory, beginning with the Tanzimat period and Kemalist reforms. The research covers Türkiye’s accession to the Council of Europe, NATO, and cooperation with the EEC and the EU. It analyzes the political transformations following the </w:t>
      </w:r>
    </w:p>
    <w:p>
      <w:r>
        <w:t>POSSIBLE 2025: THE HUSSITE MOVEMENT IN THE CZECH REPUBLIC — https://doi.org/10.31470/2786-8583-2024-4-105-110</w:t>
      </w:r>
    </w:p>
    <w:p>
      <w:r>
        <w:t>Shared claim-specific concepts: beginning, strategy, republic, two, moderate; EU scope visible. This is a provisional connection, not an outcome finding.</w:t>
      </w:r>
    </w:p>
    <w:p>
      <w:r>
        <w:t>Available abstract (not full text): In the last third of the XIV century. in the Czech Republic, crisis phenomena began to appear, especially of an economic nature, which later had far-reaching social consequences for the kingdom. It is primarily about the deep social differentiation of society: from peasants and feudal lords to the clergy and city dwellers. The crisis aggravated relations between all strata of society. And as a result, a situation arose when the peasants sought to get rid of the exploitation of the feudal lords; burghership - to free oneself from the power of the patriciate and acquire one's own rights; the urban poor became radicalized in order to improve their impoverished situation; the nobility fought with the magnates for land, privileges and power.The leader of the Czech Reformation was Jan Hus (1371-1415), who in 1393 graduated from the Faculty of Philosophy of the University of Prague and after 3 years became a Master of Liberal Arts and a Doctor of Philosophy.In 1403, Jan Hus became the rector of the university, simultaneously preaching in the Bethlehem chapel and having the rank of priest. In his sermons, Hus raised topics that wererelevant and understandable for ordinary people, which increased his popularity.The burning of Hus caused a wave of protest in all strata of Czech society and was perceived as an insult to the entire Czech people. In July 1419, an uprising broke out in Pragu</w:t>
      </w:r>
    </w:p>
    <w:p>
      <w:r>
        <w:t>POSSIBLE 2023: Justification of military neutrality of the Republic of Serbia at a time of erosion of neutrality in Europe — https://doi.org/10.5937/spm82-46850</w:t>
      </w:r>
    </w:p>
    <w:p>
      <w:r>
        <w:t>Shared claim-specific concepts: beginning, strategy, republic, two; EU scope visible. This is a provisional connection, not an outcome finding.</w:t>
      </w:r>
    </w:p>
    <w:p>
      <w:r>
        <w:t>Available abstract (not full text): This paper aims to examine the justifiableness of the Republic of Serbia's politics of military neutrality after the beginning of the Russo-Ukrainian conflict, i.e., in an era of extreme tensions between Western countries and Russia. The significance of this topic has been additionally elevated after two neutral countries, Sweden and Finland, renounced neutrality while debates about the appropriateness of neutrality emerged in other neutral countries, such are Ireland, Malta, and Austria. The purpose of the paper is to examine, from a perspective of sociology of politics, whether the position of military neutrality still represents a good foreign-policy strategy aiming to preserve sovereignty and territorial integrity. The hypothesis of this paper is that Serbia's military neutrality is justified by the social reality in Serbia. The first chapter briefly describes the historical decline of neutrality during the first half of the 20th century. In that context, observation made in mid last century, according to which neutrality was becoming an obsolete concept, is true. Increase of NATO members, as well as abandoning neutrality under the influence of globalization and negative experiences of neutral countries in the 20th century, strengthens this assertion. However, we can conclude that neutrality has existed in continuity in Europe throughout the entire modern period of history,</w:t>
      </w:r>
    </w:p>
    <w:p>
      <w:r>
        <w:t>POSSIBLE 2023: Strategies of US foreign policy at the end of the 20-th – at the beginning of the 21-st centuries — https://doi.org/10.24144/2307-3322.2022.76.2.30</w:t>
      </w:r>
    </w:p>
    <w:p>
      <w:r>
        <w:t>Shared claim-specific concepts: beginning, republic, energy, transition; EU scope visible. This is a provisional connection, not an outcome finding.</w:t>
      </w:r>
    </w:p>
    <w:p>
      <w:r>
        <w:t>Available abstract (not full text): The article investigates the foreign policy strategies of the United States, beginning with the collapse of the Soviet Union, with an emphasis on key regions - the Middle East, Central and Eastern Europe, and the Indo-Pacific region. The work assesses the international situation and presents the author’s views on future changes in the system of international relations. It is noted that since the beginning of the XXI century, the USA began to lose its position on the international arena, which was due to the difficulty of maintaining existing positions, as well as the incompetence of the state elites that came to power in the USA at the beginning of the XXI century. In view of this, in the process of increasing confrontation between Сhina and USA, the attention of the latter was gradually shifted from the regions of the Middle East and Central-Eastern Europe to the Indo-Pacific region. The article emphasizes that the complexity of the situation for Ukraine lies in the fact that the further involvement of the United States in the confrontation with the Russian Federation will most likely lead to the split of the Western coalition, primarily in the European Union and NATO, and will push states suffering from economic sanctions, lack of energy resources and rare earth materials to ensure the «green transition», to deepen cooperation with China.In this context, it is extremely impor</w:t>
      </w:r>
    </w:p>
    <w:p>
      <w:r>
        <w:t>POSSIBLE 2023: Assessing waste management efficiency in the European Union: A focus on the Slovak Republic — https://doi.org/10.19040/ecocycles.v9i2.285</w:t>
      </w:r>
    </w:p>
    <w:p>
      <w:r>
        <w:t>Shared claim-specific concepts: republic, adopted, energy; EU scope visible. This is a provisional connection, not an outcome finding.</w:t>
      </w:r>
    </w:p>
    <w:p>
      <w:r>
        <w:t>Available abstract (not full text): Even though every country in the EU must follow the waste management hierarchy stipulated in Directive (EU) 2018/851 of the European Parliament and of the Council of 30 May 2018 amending Directive 2008/98/EC on waste, there are differences in how the member states manage their municipal waste. For example, the percentage of recyclable and incineration with energy recovery of municipal waste is among the lowest in the Slovak Republic (and the high amount of its disposal by landfilling). However, following the European Union legislation, several strategies in the Slovak Republic, such as the Waste Prevention Program 2019-2025, Waste Management Program 2021-2025, and Envirostrategy 2030, have been adopted. Based on these strategies, the recycling rate is scheduled to increase to 65% by 2035, and the percentage of municipal waste sent to landfills is planned to fall below 25%. These projections assume the successful implementation of the programs. As a result, the Slovak Republic’s waste is significantly lower than that of other member states. When investigating the efficiency of municipal waste management, we utilised partial treatment-specific indicators and a composite indicator based on an approach known as the multi-criteria decision-making method. The highest efficiency of municipal waste management in the EU-27 in 2021, expressed by the composite indicator, was achieved by G</w:t>
      </w:r>
    </w:p>
    <w:p>
      <w:r>
        <w:t>POSSIBLE 2022: Agrarian strategy and policy of the Republic of Serbia — https://doi.org/10.5937/ekopolj2203897l</w:t>
      </w:r>
    </w:p>
    <w:p>
      <w:r>
        <w:t>Shared claim-specific concepts: strategy, republic, two; EU scope visible. This is a provisional connection, not an outcome finding.</w:t>
      </w:r>
    </w:p>
    <w:p>
      <w:r>
        <w:t>Available abstract (not full text): The subject matter of this paper are the changes in the directions and content of the agrarian strategy and policy in the Republic of Serbia during the last two decades, which occurred primarily due to the need to adjust to the standards of the Common Agricultural Policy of the European Union. The paper starts from the assumption that the process of creating agrarian policy and its transmission to economic flows is very complex and slow and requires the activity of a large number of actors and relevant institutions. Key strategic documents in the field of agriculture as well as measures of the current agricultural policy were analyzed. The aim of the paper is to examine the compliance of current agricultural policy measures with the priorities of agricultural development that are determined by these strategic documents, and above all the Strategy of Agriculture and Rural Development of the Republic of Serbia for the period 2014-2024.</w:t>
      </w:r>
    </w:p>
    <w:p>
      <w:r>
        <w:t>POSSIBLE 2022: Functioning of market and trade in the Republic of Kosovo — https://doi.org/10.53730/ijhs.v6ns8.13282</w:t>
      </w:r>
    </w:p>
    <w:p>
      <w:r>
        <w:t>Shared claim-specific concepts: beginning, republic, accelerated; EU scope visible. This is a provisional connection, not an outcome finding.</w:t>
      </w:r>
    </w:p>
    <w:p>
      <w:r>
        <w:t>Available abstract (not full text): In modern market conditions, trade plays a complex and very important role in economic and social development. In Kosovo, trade and market issues are gaining momentum with the beginning of access to the single European market. At the same time, the first modern strategic guidelines in the field of market development and trade policy were created. The trade development strategies of the Republic of Kosovo were the basis for the preparation and adoption of the Law on Trade. Since 2007, the Law on Trade, as an umbrella law, has been regulating the field of trade and markets in the Republic of Kosovo in a modern and comprehensive manner. However, after its adoption, it is necessary to have a timely and accelerated implementation of the created solutions. It is also necessary to have a determined commitment to supplementing and amending as well as changes to this act in the future, as it is a very dynamic field that requires careful monitoring and a full understanding of the changes taking place in the environment. Special attention should be paid to the analysis of the current situation, further developments and regulation of trade of goods in the Republic of Kosovo.</w:t>
      </w:r>
    </w:p>
    <w:p>
      <w:r>
        <w:t>POSSIBLE 2022: DIMENSIONS OF THE FEDERAL REPUBLIC OF GERMANY SECURITY AND DEFENCE POLICY. A CHRONOLOGICAL PERSPECTIVE — https://doi.org/10.53477/2284-9378-22-77</w:t>
      </w:r>
    </w:p>
    <w:p>
      <w:r>
        <w:t>Shared claim-specific concepts: beginning, strategy, republic; EU scope visible. This is a provisional connection, not an outcome finding.</w:t>
      </w:r>
    </w:p>
    <w:p>
      <w:r>
        <w:t>Available abstract (not full text): The Federal Republic of Germany and its armed forces, the Bundeswehr, stand as a cornerstone of the European and NATO defence and security. It is vitally important to understand one of the major European conventional powers’ policies, concepts and overarching capabilities, along with the history behind them in a 21st century evermore complex security environment. The following paper examines the Bundeswehr historical evolution the major focal points in its strategy and capabilities development, since the beginning of the Cold War. The paper extends the historical discussion towards the present moment and the security policies undertaken in the 21st century, reaching the major policy re-evaluations occurring in 2022 and their importance both for the German state and its allies.</w:t>
      </w:r>
    </w:p>
    <w:p>
      <w:pPr>
        <w:pStyle w:val="Heading2"/>
      </w:pPr>
      <w:r>
        <w:t>The European Health Union: European Union’s Concern about Health for All. Concepts, Definition, and Scenarios</w:t>
      </w:r>
    </w:p>
    <w:p>
      <w:r>
        <w:t>Original source (2021): https://doi.org/10.3390/healthcare9121741</w:t>
      </w:r>
    </w:p>
    <w:p>
      <w:r>
        <w:t>Original wording (abstract; indexed_source_text_not_full_document_verified): Based on these findings, five scenarios were developed: making a full move towards supranational action; improving efficiency in the actual framework; more coordination but no real change; in a full intergovernmentalism direction; and fragmentation of the EU. However, it will rely on increased coordination and has a focus on cross-border health threats.</w:t>
      </w:r>
    </w:p>
    <w:p>
      <w:r>
        <w:t>POSSIBLE 2024: Urban labs beyond Europe: the formation and contextualization of experimental climate governance in five Latin American cities — https://doi.org/10.1177/09562478241230462</w:t>
      </w:r>
    </w:p>
    <w:p>
      <w:r>
        <w:t>Shared claim-specific concepts: based, findings, five, developed, framework, however; EU scope visible. This is a provisional connection, not an outcome finding.</w:t>
      </w:r>
    </w:p>
    <w:p>
      <w:r>
        <w:t>Available abstract (not full text): The urban lab is an experimental governance approach for the co-creation of innovative solutions to urban challenges, such as climate change. However, urban lab scholarship has overlooked lab formation as a distinct process and is almost exclusively based on European cases. Therefore, little is known about the role of context conditions for lab formation in general and beyond Europe in particular. To address these gaps, this paper inductively analyses urban lab formation in five cities in Argentina, Brazil and Mexico, develops a framework for the comparative analysis of lab formation challenges, and asks: What do the challenges encountered and the solutions developed during lab formation in these cities tell us about the context dependence of the urban lab approach and what are the implications for its potential beyond Europe? Comparing insights from Europe to the findings from Latin America, the paper answers these questions and identifies future research questions.</w:t>
      </w:r>
    </w:p>
    <w:p>
      <w:r>
        <w:t>POSSIBLE 2024: Evaluation of Colon Capsule Utilisation in Europe—CAPTURE EU Survey Findings — https://doi.org/10.3390/jcm14010099</w:t>
      </w:r>
    </w:p>
    <w:p>
      <w:r>
        <w:t>Shared claim-specific concepts: findings, full, but; EU scope visible. This is a provisional connection, not an outcome finding.</w:t>
      </w:r>
    </w:p>
    <w:p>
      <w:r>
        <w:t>Available abstract (not full text): Background/Objectives: Colon capsule endoscopy (CCE) is a non-invasive method for visualising the colon, but its clinical adoption has been slow. Although the COVID-19 pandemic reignited interest in CCE, its role in conventional gastrointestinal investigations remains unclear, leading to varied practices across Europe. This highlights the need for a comprehensive understanding of diverse approaches to CCE in clinical practice. Method: A web-based survey was conducted from January to July 2024, targeting European gastroenterologists and colorectal surgeons interested in capsule endoscopy through the International Capsule Endoscopy Research (iCARE) Group. The survey aimed to understand CCE application across Europe and investigate factors influencing its uptake. Results: Thirty-eight (n = 38) valid responses were received from 19 European countries. While 88% reported access to CCE, only 45% had local services readily available, and just 7% included CCE in national guidelines. The most common indication for CCE was for patients who declined or could not tolerate colonoscopy (30%), with 77% of CE specialists preferring its use in fit patients. Ease of access was significantly associated with service availability (p = 0.0358). Barriers to uptake included lack of reimbursement, insufficient knowledge, and limited use in research settings. Only 27% of specialists viewed CCE positivel</w:t>
      </w:r>
    </w:p>
    <w:p>
      <w:r>
        <w:t>POSSIBLE 2023: Public perception of dermatologists in Europe: Results from a population‐based survey — https://doi.org/10.1111/jdv.18988</w:t>
      </w:r>
    </w:p>
    <w:p>
      <w:r>
        <w:t>Shared claim-specific concepts: based, findings, five, improving, framework;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2023: Accounting for forest condition in Europe based on an international statistical standard — https://doi.org/10.1038/s41467-023-39434-0</w:t>
      </w:r>
    </w:p>
    <w:p>
      <w:r>
        <w:t>Shared claim-specific concepts: based, findings, increased; EU scope visible. This is a provisional connection, not an outcome finding.</w:t>
      </w:r>
    </w:p>
    <w:p>
      <w:r>
        <w:t>Available abstract (not full text): Covering 35% of Europe's land area, forest ecosystems play a crucial role in safeguarding biodiversity and mitigating climate change. Yet, forest degradation continues to undermine key ecosystem services that forests deliver to society. Here we provide a spatially explicit assessment of the condition of forest ecosystems in Europe following a United Nations global statistical standard on ecosystem accounting, adopted in March 2021. We measure forest condition on a scale from 0 to 1, where 0 represents a degraded ecosystem and 1 represents a reference condition based on primary or protected forests. We show that the condition across 44 forest types averaged 0.566 in 2000 and increased to 0.585 in 2018. Forest productivity and connectivity are comparable to levels observed in undisturbed or least disturbed forests. One third of the forest area was subject to declining condition, signalled by a reduction in soil organic carbon, tree cover density and species richness of threatened birds. Our findings suggest that forest ecosystems will need further restoration, improvements in management and an extended period of recovery to approach natural conditions.</w:t>
      </w:r>
    </w:p>
    <w:p>
      <w:r>
        <w:t>POSSIBLE 2023: Head and neck cancers survival in Europe, Taiwan, and Japan: results from RARECAREnet Asia based on a privacy-preserving federated infrastructure — https://doi.org/10.3389/fonc.2023.1219111</w:t>
      </w:r>
    </w:p>
    <w:p>
      <w:r>
        <w:t>Shared claim-specific concepts: based, findings, but; EU scope visible. This is a provisional connection, not an outcome finding.</w:t>
      </w:r>
    </w:p>
    <w:p>
      <w:r>
        <w:t xml:space="preserve">Available abstract (not full text): Background: The head and neck cancers (HNCs) incidence differs between Europe and East Asia. Our objective was to determine whether survival of HNC also differs between European and Asian countries. Methods: We used population-based cancer registry data to calculate 5-year relative survival (RS) for the oral cavity, hypopharynx, larynx, nasal cavity, and major salivary gland in Europe, Taiwan, and Japan. We modeled RS with a generalized linear model adjusting for time since diagnosis, sex, age, subsite, and histological grouping. Analyses were performed using federated learning, which enables analyses without sharing sensitive data. Findings: Five-year RS for HNC varied between geographical areas. For each HNC site, Europe had a lower RS than both Japan and Taiwan. HNC subsites and histologies distribution and survival differed between the three areas. Differences between Europe and both Asian countries persisted even after adjustments for all HNC sites but nasal cavity and paranasal sinuses, when comparing Europe and Taiwan. Interpretation: Survival differences can be attributed to different factors including different period of diagnosis, more advanced stage at diagnosis, or different availability/access of treatment. Cancer registries did not have stage and treatment information to further explore the reasons of the observed survival differences. Our analyses have confirmed </w:t>
      </w:r>
    </w:p>
    <w:p>
      <w:r>
        <w:t>POSSIBLE 2023: Supporting Nature-Based Solutions via Nature-Based Thinking across European and Latin American cities — https://doi.org/10.1007/s13280-023-01920-6</w:t>
      </w:r>
    </w:p>
    <w:p>
      <w:r>
        <w:t>Shared claim-specific concepts: based, coordination, but; EU scope visible. This is a provisional connection, not an outcome finding.</w:t>
      </w:r>
    </w:p>
    <w:p>
      <w:r>
        <w:t>Available abstract (not full text):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r>
        <w:t>POSSIBLE 2022: Forest-based climate change mitigation and adaptation in Europe — https://doi.org/10.36333/fs14</w:t>
      </w:r>
    </w:p>
    <w:p>
      <w:r>
        <w:t>Shared claim-specific concepts: efficiency, increased; EU scope visible. This is a provisional connection, not an outcome finding.</w:t>
      </w:r>
    </w:p>
    <w:p>
      <w:r>
        <w:t>Available abstract (not full text):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r>
        <w:t>POSSIBLE 2022: Socioeconomic inequalities in cancer mortality between and within countries in Europe: a population-based study — https://doi.org/10.1016/j.lanepe.2022.100551</w:t>
      </w:r>
    </w:p>
    <w:p>
      <w:r>
        <w:t>Shared claim-specific concepts: findings, action, but, however; EU scope visible. This is a provisional connection, not an outcome finding.</w:t>
      </w:r>
    </w:p>
    <w:p>
      <w:r>
        <w:t>Available abstract (not full text):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r>
        <w:t>POSSIBLE 2022: The Future of Wood Construction: Opportunities and Barriers Based on Surveys in Europe and Chile — https://doi.org/10.3390/su14074358</w:t>
      </w:r>
    </w:p>
    <w:p>
      <w:r>
        <w:t>Shared claim-specific concepts: based, findings, increased; EU scope visible. This is a provisional connection, not an outcome finding.</w:t>
      </w:r>
    </w:p>
    <w:p>
      <w:r>
        <w:t>Available abstract (not full text): The demand for wood has increased in recent years due to new technical possibilities and environmental concerns. This paper provides an analysis of the factors that affect the use of wood in the construction sector, and an assessment of their importance in individual countries and for groups of stakeholders. The study covers the technical, societal, political, economic, and gender aspects of wood construction, with the aim of increasing global understanding regarding national differences, the current situation, and the potential for further development. The subject was investigated using a survey, and the most important opportunities for and barriers to growth in the use of wood in the construction sector were selected, following a statistical analysis. The results indicate strong regional and cultural differences regarding the acceptance of some of the opportunities and barriers related to the development of wood construction. The findings indicate that there is a need to promote wood construction based on its technical and economic benefits rather than its societal ones. On the other hand, the current societal barriers should be addressed as a priority, together with the establishment of common and harmonized policies. The results of this study, therefore, will contribute to the generation of regional-sensitive information that can be useful for policymakers when updating the</w:t>
      </w:r>
    </w:p>
    <w:p>
      <w:r>
        <w:t>POSSIBLE 2022: A model-based Approach to Affordable Housing in Europe — https://doi.org/10.15396/eres2022_215</w:t>
      </w:r>
    </w:p>
    <w:p>
      <w:r>
        <w:t>Shared claim-specific concepts: based, findings, five, framework; EU scope visible. This is a provisional connection, not an outcome finding.</w:t>
      </w:r>
    </w:p>
    <w:p>
      <w:r>
        <w:t xml:space="preserve">Available abstract (not full text): Housing affordability is one of the most pressing issues in urban areas. During the Covid 19 pandemic, this problem spread to surrounding and more rural areas due to changing demand dynamics. At the same time, the economic downturn has exacerbated challenges for certain tenant groups. Based on an adapted Social Business Model Canvas, we are working with student groups on an interdisciplinary project to look at the entire affordable housing value chain from both the user perspective and the perspective of private and public housing companies, i.e., from design and planning to construction, operation, and redevelopment. The aim is to identify the main variables for achieving affordable housing prices, the interdependencies between them and their respective manifestations in Germany and five other European countries: Netherlands, Italy, Austria, Denmark and the United Kingdom. Based on this, we derive limits and drivers of value creation as well as potentials for the realization of affordable rents or housing costs. The Affordable Housing issues examined in each country are: Definition of 'affordable housing' and characteristics, needs and quantity of the most relevant user groups. Building conditions, structural-functional designs, and construction costs for Affordable Housing. Characteristics and business models of investors or providers of affordable housing. Legal framework / </w:t>
      </w:r>
    </w:p>
    <w:p>
      <w:pPr>
        <w:pStyle w:val="Heading2"/>
      </w:pPr>
      <w:r>
        <w:t>The Role of BECCS in Achieving Climate Neutrality in the European Union</w:t>
      </w:r>
    </w:p>
    <w:p>
      <w:r>
        <w:t>Original source (2021): https://doi.org/10.3390/en14237842</w:t>
      </w:r>
    </w:p>
    <w:p>
      <w:r>
        <w:t>Original wording (abstract; indexed_source_text_not_full_document_verified): The achievement of climate neutrality in the European Union by 2050 will not be possible solely through a reduction in fossil fuels and the development of energy generation from renewable sources. The modelling results confirm the key role of BECCS technology in achieving EU climate goals by 2050.</w:t>
      </w:r>
    </w:p>
    <w:p>
      <w:r>
        <w:t>POSSIBLE 2025: Cluster Analysis of the Transition to Climate Neutrality in the European Union — https://doi.org/10.1002/sd.70064</w:t>
      </w:r>
    </w:p>
    <w:p>
      <w:r>
        <w:t>Shared claim-specific concepts: climate, neutrality, union, energy, key, achieving; EU scope visible. This is a provisional connection, not an outcome finding.</w:t>
      </w:r>
    </w:p>
    <w:p>
      <w:r>
        <w:t>Available abstract (not full text): ABSTRACT The transition to climate neutrality is an important objective for the European Union, which is increasingly affected economically and environmentally by the impacts of climate change. The primary objective of this study is to analyze the transition to climate neutrality across EU Member States through a cluster analysis approach. Specifically, the research aims to: (1) review existing literature on environmental policy outcomes in achieving climate neutrality, (2) identify key energy and environmental economic drivers impacting this transition, (3) conduct a cluster analysis to group Member States based on their progress and challenges, and (4) propose differentiated public policy recommendations to support Europe's transition to climate neutrality. To achieve these objectives, the K‐means clustering method and ranking techniques were employed to identify differences in transition policies and to evaluate disparities among clusters in their contribution to the EU's overall climate neutrality goals. The study's results determined differences in the cluster structure of the European Union in terms of the approach to the transition to climate neutrality. They will provide a basis for developing differentiated public policy proposals between countries. The results are useful for supranational policymakers in determining approaches for adjusting climate neutrality transiti</w:t>
      </w:r>
    </w:p>
    <w:p>
      <w:r>
        <w:t>POSSIBLE 2025: How far is the way to climate neutrality in Romanian cities — https://doi.org/10.1109/upec65436.2025.11279727</w:t>
      </w:r>
    </w:p>
    <w:p>
      <w:r>
        <w:t>Shared claim-specific concepts: climate, neutrality, union, energy, achieving; EU scope visible. This is a provisional connection, not an outcome finding.</w:t>
      </w:r>
    </w:p>
    <w:p>
      <w:r>
        <w:t>Available abstract (not full text): Achieving climate neutrality at the urban level represents one of the most complex transformations of the 21st century, requiring a systemic shift in energy production, consumption, and governance models. This paper provides an integrated assessment of the progress made by Romanian cities toward climate neutrality, with a focus on the period up to 2020 and the subsequent planning frameworks adopted thereafter. Based on the analysis of local energy plans and greenhouse gas emissions inventories, the study highlights both the achievements and limitations of the Sustainable Energy and Climate Action Plans (SECAPs), as well as the transition toward City Climate Contracts (CCCs) under the European Union’s Climate-Neutral and Smart Cities Mission.The analysis reveals a heterogeneous but traceable pathway of urban decarbonization, supported by early investments in building energy efficiency, public lighting modernization, and low-emission mobility systems. Unexpected positive contributions from the national power system and multifamily residential buildings are also identified, reflecting the interplay between top-down policy measures and bottom-up community-level dynamics in the energy transition process. The study introduces a set of operational indicators for tracking progress and assesses the financial and institutional feasibility of investment scenarios through 2030. While a hig</w:t>
      </w:r>
    </w:p>
    <w:p>
      <w:r>
        <w:t>POSSIBLE 2025: Energy Storage Requirements for Achieving Climate Neutrality: An Italian Case Study — https://doi.org/10.1109/iccep65222.2025.11143702</w:t>
      </w:r>
    </w:p>
    <w:p>
      <w:r>
        <w:t>Shared claim-specific concepts: achievement, climate, neutrality, energy, renewable, sources; EU scope visible. This is a provisional connection, not an outcome finding.</w:t>
      </w:r>
    </w:p>
    <w:p>
      <w:r>
        <w:t>Available abstract (not full text): Achieving climate neutrality before 2050 is a central objective of the European Green Deal. This transition involves phasing out non-renewable power plants and installing numerous renewable energy sources, resulting in non-dispatchable and intermittent energy production. Additionally, the transition entails an increase in energy consumption due to greater electrification, particularly in the heating and mobility sectors. In this context, there may be a growing need for the deployment of energy storage systems. This paper proposes a methodology to optimize the required capacity of energy storage systems to support the achievement of climate neutrality. The methodology is then applied to the case of the Province of Bolzano.</w:t>
      </w:r>
    </w:p>
    <w:p>
      <w:r>
        <w:t>POSSIBLE 2025: CLIMATE NEUTRALITY IN THE EUROPEAN UNION: LEGAL CHALLENGES AND NATIONAL STRATEGIES — https://doi.org/10.17721/apmv.2025.163.1.78-85</w:t>
      </w:r>
    </w:p>
    <w:p>
      <w:r>
        <w:t>Shared claim-specific concepts: climate, neutrality, union, energy, achieving; EU scope visible. This is a provisional connection, not an outcome finding.</w:t>
      </w:r>
    </w:p>
    <w:p>
      <w:r>
        <w:t>Available abstract (not full text): The article analyzes the climate policy of the European Union and its members, in particular in the context of the goal of achieving climate neutrality by 2050, enshrined in the European Climate Law. Based on a comparative analysis of the legal strategies of the EU states, national approaches to the implementation of obligations to achieve climate neutrality, the level of their legal certainty, as well as the ambition of the established time horizons are outlined. the nature of the goal of climate neutrality as a normative category, as well as the issues of the effectiveness of the implementation of international obligations. An interdisciplinary assessment of the potential of legal instruments in the context of a just energy transition is proposed.</w:t>
      </w:r>
    </w:p>
    <w:p>
      <w:r>
        <w:t>POSSIBLE 2024: CLIMATE NEUTRALITY: CONTEMPORARY CHALLENGES FOR EUROPEAN POLICY — https://doi.org/10.17721/1728-2292.2024/1-58/33-40</w:t>
      </w:r>
    </w:p>
    <w:p>
      <w:r>
        <w:t>Shared claim-specific concepts: achievement, climate, neutrality, union, not, possible; EU scope visible. This is a provisional connection, not an outcome finding.</w:t>
      </w:r>
    </w:p>
    <w:p>
      <w:r>
        <w:t>Available abstract (not full text): B a c k g r o u n d .The article examines issues related to challenges to European climate neutrality, which have arisen before the European Union due to Russian armed aggression in Ukraine. The authors emphasize that the European Union has set an ambitious goal of becoming the world's first climate-neutral continent. The implementation of these plans requires a coordinated position not only of the member states, but also of the EU partners. Russia's military aggression against Ukraine may affect the achievement of European climate goals, as this conflict is accompanied by a significant impact on the environment. The authors set a goal to analyze how the Russian military invasion of Ukraine can affect the achievement of climate neutrality. To achieve the goal, the following research tasks were defined, in particular, to characterize the basic principles of the strategy and tools of the EU climate policy, to show the impact of Russian aggression on the ecology of the EU, to determine whether the topic of the environmental consequences of Russian aggression in Ukraine is relevant for the European public, and to assess how Russian armed aggression can influence the achievement of the goals of European climate neutrality. M e t h o d s .The following methods were used: discursive analysis, the analysis of the documents, analysis and synthesis, comparative method, content analysis.R</w:t>
      </w:r>
    </w:p>
    <w:p>
      <w:r>
        <w:t>POSSIBLE 2024: Visions for climate neutrality and opportunities for co-learning in European cities — https://doi.org/10.1016/j.rser.2024.114315</w:t>
      </w:r>
    </w:p>
    <w:p>
      <w:r>
        <w:t>Shared claim-specific concepts: climate, neutrality, possible; EU scope visible. This is a provisional connection, not an outcome finding.</w:t>
      </w:r>
    </w:p>
    <w:p>
      <w:r>
        <w:t>Available abstract (not full text): Cities represent unique spaces for climate mitigation where wide-ranging action to reduce emissions meets ambition and collaboration. This research work distils climate neutrality narratives for 362 cities that expressed interest in the European Mission on 100 Climate-Neutral and Smart Cities and focuses on the 112 cities selected to spearhead the process of reaching climate neutrality by 2030 (representing a mitigation potential of 318.3 megatonnes of carbon dioxide equivalent emissions). The method involves steps that profile the characteristics of these cities, enunciate cross-cutting patterns in cities’ visions by thematic groupings, and compare 14 contextual factors with 77 possible main barriers. There are both similarities and differences among the results as a basis for learning together and certain barriers can be relatively more dominant in some thematic groupings, such as fragmentation of responsibilities. As a synthesis of the main findings, the original analyses are used to derive and prioritise nine high-level recommendations based on the cities' visions, contextual factors, and expected main barriers. Opportunities for mobilising transformative change relate to transforming siloed into integrated approaches, inclusive climate governance and collaborations, innovative financing, welfare and just transition as well as planning, implementation, and policy coherence.</w:t>
      </w:r>
    </w:p>
    <w:p>
      <w:r>
        <w:t>POSSIBLE 2024: Studying Regional Disparities at European Level with a View to Achieving Climate Neutrality Objectives — https://doi.org/10.35219/eai15840409463</w:t>
      </w:r>
    </w:p>
    <w:p>
      <w:r>
        <w:t>Shared claim-specific concepts: climate, neutrality, union, energy, achieving; EU scope visible. This is a provisional connection, not an outcome finding.</w:t>
      </w:r>
    </w:p>
    <w:p>
      <w:r>
        <w:t>Available abstract (not full text): The European Green Deal was implemented in order to ensure climate neutrality objectives for Horizon 2030, to ensure economic growth decoupled from the use of natural resources and for a fair and inclusive transition.In this context, including against the backdrop of multiple energy, economic, environmental, climate change and biodiversity loss crises, we propose to carry out an extended analysis of the impact of the Green Deal on regional economic development at European level.The study will highlight the main achievements of the European regional policy in the perspective of the European Green Deal and will determine on the basis of a cluster analysis the level of regional disparity by analyzing the main Green Deal indicators.The analysis will allow to highlight the main effects of the implementation of the European Green Deal from the perspective of the transition towards climate neutrality and the effects of these measures at European level.Regional disparities will also be assessed on the basis of cluster analysis of the evolution of the main indicators on environmental protection, energy security and sustainable economic growth.The results of the study will be useful to supranational decision-makers in the European Union for the adjustment of public policies for balanced economic development at EU level in the light of the Green Deal commitments undertaken for the 2030 ho</w:t>
      </w:r>
    </w:p>
    <w:p>
      <w:r>
        <w:t>POSSIBLE 2024: MODIFICATION OF ECONOMIC DEPENDENCE AND ACHIEVEMENT OF CLIMATE NEUTRALITY AT THE CROSSROAD — https://doi.org/10.46299/979-8-89504-809-2</w:t>
      </w:r>
    </w:p>
    <w:p>
      <w:r>
        <w:t>Shared claim-specific concepts: achievement, climate, neutrality; EU scope not established. This is a provisional connection, not an outcome finding.</w:t>
      </w:r>
    </w:p>
    <w:p>
      <w:r>
        <w:t>Available abstract (not full text): All rights reserved. Printed in the United States of America. No part of this publication may be reproduced, distributed, or transmitted, in any form or by any means, or stored in a data base or retrieval system, without the prior written permission of the publisher. The content and reliability of the articles are the responsibility of the authors. When using and borrowing materials reference to the publication is required.</w:t>
      </w:r>
    </w:p>
    <w:p>
      <w:r>
        <w:t>POSSIBLE 2024: Building Blocks of the European Union’s Strategy for Climate Neutrality — https://doi.org/10.1017/9781009341493.003</w:t>
      </w:r>
    </w:p>
    <w:p>
      <w:r>
        <w:t>Shared claim-specific concepts: climate, neutrality, union, energy; EU scope visible. This is a provisional connection, not an outcome finding.</w:t>
      </w:r>
    </w:p>
    <w:p>
      <w:r>
        <w:t>Available abstract (not full text): This chapter discusses the building blocks of the European Union’s strategy for climate neutrality. Carbon pricing in the EU is described, focusing on the EU ETS and on the forthcoming CBAM. Then the roles of electrification and clean molecules in the future European energy system are discussed. Finally, sustainable finance priorities, capacities, and regulatory instruments put forward by the EU are reviewed, before a brief conclusion.</w:t>
      </w:r>
    </w:p>
    <w:p>
      <w:r>
        <w:t>POSSIBLE 2024: EUROPEAN LANDSCAPE OF CLIMATE LAW — https://doi.org/10.46299/979-8-89504-809-2.3</w:t>
      </w:r>
    </w:p>
    <w:p>
      <w:r>
        <w:t>Shared claim-specific concepts: achievement, climate, neutrality, union, not, reduction; EU scope visible. This is a provisional connection, not an outcome finding.</w:t>
      </w:r>
    </w:p>
    <w:p>
      <w:r>
        <w:t>Available abstract (not full text): 3. European landscape of climate law Introduction.The existential threat caused by climate change requires governmental efforts of the states for implementation of the Paris Agreement setting up efforts for development of economic and social transformation, based on the best available scientific and sustainable approaches.As part of the European Green Deal, with the European Climate Law, the European Union has set itself a binding target of achieving climate neutrality by 2050.Regulation (EU) 2021/1119 of the European Parliament and of the Council of 30 June 2021 establishing the framework for achieving climate neutrality and amending Regulations (EC) No 401/2009 and (EU) 2018/1999 was named 'European Climate Law' [124].Researches of European landscape of climate law have been provided by various organizations, institutions, and researchers, including United Nations Framework Convention on Climate Change (UNFCCC), Panel on Climate Change (IPCC), World Bank , Organization for Economic Co-operation and Development (OECD), Grantham Research Institute on Climate Change and the Environment (London School of Economics), World Resources Institute (WRI), Climate Policy Initiative (CPI), International Institute for Environment and Development (IIED), Climate Action Network (CAN), Greenpeace, World Wildlife Fund (WWF), Ecologic Institute etc.These organizations and institutions have prov</w:t>
      </w:r>
    </w:p>
    <w:p>
      <w:r>
        <w:t>POSSIBLE 2024: Moving Waste Sector Towards Climate Neutrality. Scenario Analysis — https://doi.org/10.7250/conect.2024.100</w:t>
      </w:r>
    </w:p>
    <w:p>
      <w:r>
        <w:t>Shared claim-specific concepts: achievement, climate, neutrality, union, not, possible; EU scope visible. This is a provisional connection, not an outcome finding.</w:t>
      </w:r>
    </w:p>
    <w:p>
      <w:r>
        <w:t>Available abstract (not full text): The upward economic growth, the development of the industrial, transport and agricultural sectors, and technological innovations contribute to the constant stimulation of the demand and supply of new products and services, inevitably contributing to the increase in the amount of waste. Mitigation of climate change is not a short-term goal; therefore, sustainable and reasonable practices in the waste management sector could contribute to positive changes in mitigating GHG emissions and climate change in general. However, it is not clear whether by implementing the current domestic waste management policy of Latvia and the action measures contained in it, it is objectively possible to achieve the strategic goals and desired results set at the European Union as well as at the national level, what is the impact of the set goals and the success of their implementation so far, and whether these political settings will not remain only at the level of ideas and wishes. In the scientific literature, several proposals developed as a result of research have been put forward for reducing the climate neutrality of the waste sector with the help of various technologies and technological innovations. At the same time, it is difficult to evaluate the proposals and solutions put forward in the research results in relation to an individual situation; for example, if a municipality in Latvia woul</w:t>
      </w:r>
    </w:p>
    <w:p>
      <w:r>
        <w:t>POSSIBLE 2023: Three decades of EU climate policy: Racing toward climate neutrality? — https://doi.org/10.1002/wcc.863</w:t>
      </w:r>
    </w:p>
    <w:p>
      <w:r>
        <w:t>Shared claim-specific concepts: climate, neutrality, union, energy, renewable, goals; EU scope visible. This is a provisional connection, not an outcome finding.</w:t>
      </w:r>
    </w:p>
    <w:p>
      <w:r>
        <w:t>Available abstract (not full text): Abstract The European Union (EU) began developing climate policy in the 1990s. Since then, it has built up a broad portfolio of mitigation policy measures and governance tools, including legally binding targets to reduce greenhouse gas (GHG) emissions, and policy measures addressing emissions trading, renewable energy, energy efficiency, and more. In 2019, the European Commission—the EU's executive arm—published the European Green Deal (EGD), an overarching policy framework to achieve the goal of climate neutrality by 2050. The EGD aims to push EU climate policy and governance far beyond incremental policy development. In this article, we ask: does the EGD represent a break from past patterns of EU climate governance? We argue that it maintains several past patterns, but nevertheless breaks from other established policy and governance trends. We review insights from politicization and new institutionalist theoretical lenses to help us understand these findings. We reveal certain tensions and challenges inherent in the EU's climate governance approach—around speed and coherence, effectiveness and just transition—that highlight future research needs, and raise questions about the EU's ability to implement its climate policy goals. This article is categorized under: Policy and Governance &gt; Multilevel and Transnational Climate Change Governance</w:t>
      </w:r>
    </w:p>
    <w:p>
      <w:pPr>
        <w:pStyle w:val="Heading2"/>
      </w:pPr>
      <w:r>
        <w:t>The future of polarisation in Europe: relative cosmopolitanism and democracy</w:t>
      </w:r>
    </w:p>
    <w:p>
      <w:r>
        <w:t>Original source (2021): https://doi.org/10.1186/s40309-021-00183-2</w:t>
      </w:r>
    </w:p>
    <w:p>
      <w:r>
        <w:t>Original wording (abstract; indexed_source_text_not_full_document_verified): In this article, after an introductory definition of polarisation, two future scenarios are developed. In the scenario “Polarised Europe”, polarisation is extrapolated into the future and discussed with its serious consequences for the democratic and European consensus.</w:t>
      </w:r>
    </w:p>
    <w:p>
      <w:r>
        <w:t>POSSIBLE 2024: Boris Zingerman. Letters to the Teachers (Publication, Introductory Article and Comments) — https://doi.org/10.51678/2226-0072-2024-4-312-331</w:t>
      </w:r>
    </w:p>
    <w:p>
      <w:r>
        <w:t>Shared claim-specific concepts: article, after, introductory, two; EU scope not established. This is a provisional connection, not an outcome finding.</w:t>
      </w:r>
    </w:p>
    <w:p>
      <w:r>
        <w:t>Available abstract (not full text): The letters of Boris Zingerman (1928–2000) to the older generation of theatre critics, Grigory Boyadzhiev (1909–1974) and Boris Alpers (1894–1974), were written at different times and on different occasions. What unites the two letters is that they were addressed to Zingerman’s teachers at the State Institute of Theatre Arts (GITIS), where he studied at the theatre studies department (1945–1950) and then did a postgraduate course (1950–1954). However, he had not only happy memories of those times. The end of the ‘luxurious hothouse’, as Zingerman saw GITIS, came after the editorial article in the Pravda newspaper of January 28, 1949 entitled “On One Anti-patriotic Group of Theatre Critics”. In February 1949, a two-day meeting of the GITIS Academic Council was held, where Vs.N. Vsevolodsky-Gerngross, B.V. Alpers, N.M. Tarabukin, S.S. Mokulsky, G.N. Boyadzhiev, and S.S. Danilov were exposed as ‘enemies of the Soviet culture’. Students and postgraduates were then forced to attend the civil execution of the teachers. Some were frightened by it, others used it to advance in their careers. Yet others formed the generation of the sixties: B.I. Zingerman, V.M. Gaevsky, I.N. Solovieva, N.A. Krymova, Yu.S. Rybakov, M.I. Turovskaya, N.M. Zorkaya, T.I. Bachelis, and K.L. Rudnitsky. The memory of 1949 remained with them forever, having become a ‘family trauma’. The plots of professional the</w:t>
      </w:r>
    </w:p>
    <w:p>
      <w:r>
        <w:t>POSSIBLE 2024: INTRODUCTORY PREFACE: Publication Patterns of the Central European Public Administration Review – A Bibliometric Analysis — https://doi.org/10.17573/cepar.2024.1.01</w:t>
      </w:r>
    </w:p>
    <w:p>
      <w:r>
        <w:t>Shared claim-specific concepts: article, introductory, two; EU scope visible. This is a provisional connection, not an outcome finding.</w:t>
      </w:r>
    </w:p>
    <w:p>
      <w:r>
        <w:t>Available abstract (not full text): On the 20th anniversary of the Central European Public Administration Review (CEPAR), this study underscores the significance of the journal’s inclusion in indexing. Employing scient metrics, bibliometric techniques, and knowledge mapping, the analysis offers a comprehensive overview of CEPAR’s evolution over the past two decades, the challenges encountered following the journal’s indexing in Web of Science, and the distinctivecharacteristics of authorship patterns. The data used in bibliometric analysis was extracted from Web of Science and covers the period 2018– 2023 (103 papers), while the data for authoring analysis was collectedfrom the archives of journal volumes covering the period 2003–2023 (425 papers). Over its 21 years of existence, CEPAR has published a total of 425 articles with an average of 20 articles per year. These contributions represent the collaborative efforts of 684 authors from different countries, with the average article written by 1.61 authors. The trend in annual citations is positive, with citations increasing tenfold following indexation in Web of Science. The publications in the sample (bibliometric analysis) were written by 175 authors affiliated with 75 institutions, of which 84% contributed a single article to CEPAR’s evolution. In the five years since its indexing in Web of Science, CEPAR has garnered about 200 citations, approximately 33 per</w:t>
      </w:r>
    </w:p>
    <w:p>
      <w:r>
        <w:t>POSSIBLE 2024: Śvetāśvatara-Upaniṣad 1.1-16 / Translation from Sanskrit, Introductory Article and Commentaries by Yu. Zavhorodnii — https://doi.org/10.15407/orientw2024.03.292</w:t>
      </w:r>
    </w:p>
    <w:p>
      <w:r>
        <w:t>Shared claim-specific concepts: article, introductory, developed; EU scope visible. This is a provisional connection, not an outcome finding.</w:t>
      </w:r>
    </w:p>
    <w:p>
      <w:r>
        <w:t>Available abstract (not full text): The reader is offered a Ukrainian translation of the first chapter of the Śvetāśvatara-Upaniṣad. The Upaniṣads are a late Vedic genre of ancient Indian literature that completes the formation of the Vedic corpus of sacred texts. The first texts of the Upaniṣads appear around the 8th century BC. It is difficult to overestimate the importance of the Upaniṣads for the study of the origins of Indian religious and philosophical thought. Leading Indian philosophers developed the ideas of the Upaniṣads, quoted them in their own works, and, starting with Gauḍapāda, wrote their own commentaries on them. They are the first component of the triple canon (prasthānatrayī) of the Vedānta philosophical school. For more than a century, not only in world Indological circles, but also among much wider intellectual circles of various countries, primarily in Europe and North America, there has been a steady interest in the Upaniṣads. The Śvetāśvatara-Upaniṣad is one of the most authoritative and well-known Upaniṣads. It received its high recognition not only in Hindu, but also in scientific circles. And although its studies and translations have a long history, there are still many controversial and unresolved issues. Our publication is intended to renew the existing Ukrainian academic interest in the Upaniṣads, which was interrupted by the Soviet authorities in the 1920s and 1930s, and to draw at</w:t>
      </w:r>
    </w:p>
    <w:p>
      <w:r>
        <w:t>POSSIBLE 2022: Transport policies and business practices during COVID-19 and their impact on the management of new transport mobility systems – introductory part — https://doi.org/10.3846/bm.2022.890</w:t>
      </w:r>
    </w:p>
    <w:p>
      <w:r>
        <w:t>Shared claim-specific concepts: article, introductory, developed; EU scope visible. This is a provisional connection, not an outcome finding.</w:t>
      </w:r>
    </w:p>
    <w:p>
      <w:r>
        <w:t>Available abstract (not full text): The COVID-19 pandemic has had a profound effect on global economies. Transport was a particular sector of the economy that was particularly exposed to the spread of the virus. This has led to many changes in the management and the implementation of various types of business practices in the new mobility companies during the pandemic and post-pandemic periods. The work aimed to analyze the policies in the field of transport in pandemic times and the practices implemented and provided by enterprises in the field of new mobility, including companies sharing vehicles, e.g., car-sharing, bike-sharing, scooter-sharing, and ride-sharing. Furthermore, the article was used to indicate the changes that have occurred in the management of new mobility enterprises in companies operating in Asia, Europe, and America. The work is based on secondary data research and own research. The developed results indicate which operators made the most changes and which continents proposed the most changes to transport policies. The article supports the development of both new policies for the post-pandemic period and new business practices for companies in the new mobility services industry.</w:t>
      </w:r>
    </w:p>
    <w:p>
      <w:r>
        <w:t>POSSIBLE 2022: Must Introductory Genetics Start with Mendel? — https://doi.org/10.1007/s11191-022-00361-z</w:t>
      </w:r>
    </w:p>
    <w:p>
      <w:r>
        <w:t>Shared claim-specific concepts: introductory, two, developed; EU scope not established. This is a provisional connection, not an outcome finding.</w:t>
      </w:r>
    </w:p>
    <w:p>
      <w:r>
        <w:t>Available abstract (not full text): Abstract It is 157 years since Mendel presented his results on hybridisation in peas to the Brünn Society for Natural Science. The discipline of genetics has dramatically changed since then, with technological advancements revealing multifactorial causation and trait variability. Whilst none of this complexity featured in the discovery of classical genetics, Mendel and his peas still dominate teaching today. Must genetics always start from such a simplistic, determinist perspective? A number of recent studies (e.g. Donovan, 2021; Dougherty, 2010; Jamieson &amp; Radick, 2013) have made the case for emphasising the complexity of genetics from the beginning. In this study, I will examine the origins and fate of two earlier attempts at reform, from the 1970s and 1980s. One was from Steven Rose, a biochemist in London and founder of the British Society for Social Responsibility in Science, who developed a genetics course for distance teaching at the Open University. The other was from Garland Allen, a historian of science and influential writer of biology textbooks, including four editions of Study of Biology . Both tried to depart from the standard start-with-Mendel script, in ways that aimed to help students better appreciate not only the complexities of genetics but also embedding genetics—and genetic knowledge—in society. Both met significant resistance, with concerns varying from t</w:t>
      </w:r>
    </w:p>
    <w:p>
      <w:pPr>
        <w:pStyle w:val="Heading2"/>
      </w:pPr>
      <w:r>
        <w:t>The future of the drug phenomenon and drug monitoring in Europe until 2030</w:t>
      </w:r>
    </w:p>
    <w:p>
      <w:r>
        <w:t>Original source (2021): https://doi.org/10.1093/eurpub/ckab165.648</w:t>
      </w:r>
    </w:p>
    <w:p>
      <w:r>
        <w:t>Original wording (abstract; indexed_source_text_not_full_document_verified): The EMCDDA piloted the usefulness of the foresight approach for transforming the agency and its monitoring activities into a more sensitive and agile system, which could, in turn, help increase Europe's preparedness for future challenges in health and security areas. It analysed global drivers of change that may have in the future implications for the drugs situation, drug monitoring and related responses.</w:t>
      </w:r>
    </w:p>
    <w:p>
      <w:r>
        <w:t>POSSIBLE 2025: Bridging the gap between research and decision making: A European survey to enhance cooperation in wastewater-based epidemiology (WBE) for illicit drugs — https://doi.org/10.1016/j.puhe.2025.02.009</w:t>
      </w:r>
    </w:p>
    <w:p>
      <w:r>
        <w:t>Shared claim-specific concepts: agency, monitoring, challenges, health, analysed; EU scope visible. This is a provisional connection, not an outcome finding.</w:t>
      </w:r>
    </w:p>
    <w:p>
      <w:r>
        <w:t>Available abstract (not full text): OBJECTIVES: Illicit drug use presents a significant challenge to global health and public safety, requiring innovative and effective monitoring strategies. This study aimed to evaluate the current landscape of wastewater-based epidemiology (WBE) for monitoring illicit drugs in Europe, focusing on collaboration, current practices, and barriers, while identifying opportunities for improvement. STUDY DESIGN: Cross-sectional survey-based study. METHODS: Coordinated by the Sewage Analysis CORe Group Europe (SCORE) and the European Union Drugs Agency (EUDA), two surveys were conducted in 2023 targeting researchers and stakeholders using WBE for illicit drugs. Data were analysed to identify trends, gaps, and opportunities for improving WBE implementation. RESULTS: The findings indicate a robust research infrastructure and diverse analytical methods among European institutions. Two-thirds of the participating countries reported using WBE data to inform policy. However, challenges persist, particularly in securing funding and coordination, as well as generating national estimates from multiple locations and addressing specific local policy needs. CONCLUSIONS: WBE has proven to be a valuable tool for monitoring illicit drug trends and informing drug policies. To unlock its full potential, sustained funding, methodological standardization, and enhanced cooperation are essential. This stud</w:t>
      </w:r>
    </w:p>
    <w:p>
      <w:r>
        <w:t>POSSIBLE 2023: A methodology to explore the road safety impact of fitness to drive solutions for commercial drivers: The PANACEA project — https://doi.org/10.1016/j.trpro.2023.02.241</w:t>
      </w:r>
    </w:p>
    <w:p>
      <w:r>
        <w:t>Shared claim-specific concepts: monitoring, system, health, drivers; EU scope visible. This is a provisional connection, not an outcome finding.</w:t>
      </w:r>
    </w:p>
    <w:p>
      <w:r>
        <w:t>Available abstract (not full text): In Europe, one in four road deaths occurred in an accident involving a goods vehicle in 2018 (ETSC 2020). Commercial drivers are at higher risk for suffering from physiological, psychological and prescribed medication and illicit drug use, including alcohol misuse. Fitness to drive or driver state monitoring systems integrate technologies able to detect altered driver states and provide them feedback. They constitute an emerging phenomenon, and their effects on changing people's behaviour to drive more safely, and in general, their impact on road safety should be better investigated. The scope of this paper is to present a methodology able to simulate different scenarios to understand how a driver state monitoring system can support improving road safety in the European Union. A conceptual framework is presented to support the definition of the impact assessment methodology and is applied to the PANACEA European research project. The project develops an integrated solution for driving ability assessment of commercial drivers, paired with a countermeasure and coaching solution. The PANACEA system uses algorithms and technologies for detecting, monitoring and assessing alcohol consumption, licit (barbituric) and illicit (methadone substitute) drugs, fatigue and cognitive load (Commercial Health Toolkits (CHTs)). It also provides strategic, tactical and operational countermeasures</w:t>
      </w:r>
    </w:p>
    <w:p>
      <w:r>
        <w:t>POSSIBLE 2022: Interventions to increase linkage to care and adherence to treatment for hepatitis C among people who inject drugs: A systematic review and practical considerations from an expert panel consultation — https://doi.org/10.1016/j.drugpo.2022.103588</w:t>
      </w:r>
    </w:p>
    <w:p>
      <w:r>
        <w:t>Shared claim-specific concepts: emcdda, activities, increase, health, areas; EU scope not established. This is a provisional connection, not an outcome finding.</w:t>
      </w:r>
    </w:p>
    <w:p>
      <w:r>
        <w:t>Available abstract (not full text): BACKGROUND: Following advances in treatment for hepatitis C (HCV), optimizing linkage to care and adherence to treatment of people who inject drugs became of pivotal importance. An ECDC/EMCDDA stakeholders survey in 2018 indicated that two components of the cascade of care, linkage to care and adherence to treatment, were priority areas for inclusion in the updated guidance, planned for publication in 2022. This systematic review was commissioned with the aim to evaluate the effectiveness of interventions on HCV linkage to care and adherence to treatment among people who inject drugs. METHODS: The full study protocol is available at PROSPERO (2020 CRD42020191116). We searched five databases to identify studies published between 2011 and 2020. Studies were included if they had a comparative study design and reported on the primary outcomes for linkage to care (visits, treatment initiation) and/or adherence to treatment (treatment adherence, treatment completion, SVR12) among people who inject drugs/people receiving opioid substitution therapy. Following the risk of bias (EPHPP) and quality of evidence assessment (GRADE), evidence to decision tables were produced and shared for critical review with an expert panel convened by ECDC and EMCDDA. The expert panel provided further considerations on the benefit, acceptability, and transferability of interventions. RESULTS: Fourteen stu</w:t>
      </w:r>
    </w:p>
    <w:p>
      <w:pPr>
        <w:pStyle w:val="Heading2"/>
      </w:pPr>
      <w:r>
        <w:t>The role of district heating systems to provide balancing services in the European Union</w:t>
      </w:r>
    </w:p>
    <w:p>
      <w:r>
        <w:t>Original source (2021): https://doi.org/10.1016/j.rser.2021.111853</w:t>
      </w:r>
    </w:p>
    <w:p>
      <w:r>
        <w:t>Original wording (abstract; indexed_source_text_not_full_document_verified): Based on the POTEnCIA Central scenario up to 2050 — a description of the evolution of the EU energy system with the assumption of no further policies introduced beyond 2017 —, we find that the potential is highest for the provision of aFRR, followed by mFRR and FCR. Specifically, the aFRR technical potential is currently 32 GW — 4 times the aFRR contracted in 2019 in the EU — and it only slightly decreases by 2050.</w:t>
      </w:r>
    </w:p>
    <w:p>
      <w:r>
        <w:t>POSSIBLE 2024: Overcoming the central planner approach – Bilevel optimization of the European energy transition — https://doi.org/10.1016/j.isci.2024.110168</w:t>
      </w:r>
    </w:p>
    <w:p>
      <w:r>
        <w:t>Shared claim-specific concepts: central, energy, system, find; EU scope visible. This is a provisional connection, not an outcome finding.</w:t>
      </w:r>
    </w:p>
    <w:p>
      <w:r>
        <w:t>Available abstract (not full text): The energy transition is a multinational challenge to mitigate climate change, with a joint reduction target for greenhouse gas emissions. Simultaneously, each country is interested in minimizing its own energy supply cost. Still, most energy system models neglect national interests when identifying cost-optimal transition pathways. We design the European energy system transition until 2050, considering competition between countries in a shared electricity and carbon market using bilevel optimization. We find that national objectives substantially impact the transition pathway: Compared to the model solved using the common centralized optimization, the overall installed capacity increases by just 3% when including national interests. However, the distribution of the installed capacity changes dramatically by more than 40% in most countries. Our results underline the risk of miscalculating the need for national capacity expansion when neglecting stakeholder representation in energy system models and demonstrate the need for cooperation for an efficient energy transition.</w:t>
      </w:r>
    </w:p>
    <w:p>
      <w:r>
        <w:t>POSSIBLE 2023: “The heat of a multitudinous assembly”: Striking short fiction and the rise of feminist potencia — https://doi.org/10.1111/lic3.12740</w:t>
      </w:r>
    </w:p>
    <w:p>
      <w:r>
        <w:t>Shared claim-specific concepts: based, potencia, energy, potential; EU scope not established. This is a provisional connection, not an outcome finding.</w:t>
      </w:r>
    </w:p>
    <w:p>
      <w:r>
        <w:t>Available abstract (not full text): Abstract This article considers how a recent wave of Latin American short fiction captures with immediate topicality new forms of transversal political subjectivity engendered by the international feminist reinvention of the strike in the 21st century. Drawing on Verónica Gago's theorization of the political cartography of feminist potencia (power), alongside the work of Silvia Federici, Rita Segato and Sayak Valencia, it considers how the short story form facilitates a strategic recognition of interconnected violences perpetrated against women and feminized bodies, “mapping forms of violence based on their organic connection, without losing sight of the singularity of the production of the nexus between them” (Gago, 2020, p. 58). In particular, the article examines two exemplary short story collections, Cars on Fire (2020) by Mónica Ramón Ríos and Things We Lost in the Fire (2017) by Mariana Enríquez, considering how these writers repurpose the potential for socio‐criticism embedded in the fantastical short story by offering a multi‐focal critique of how patriarchy and gender violence interact with the structural inequalities unleashed by neoliberal capitalism. The article also considers how these riotous collections mediate the transversal fabric of communitarian struggle in feminist imaginaries, drawing narrative energy from the localised proliferation of neighbourhood assem</w:t>
      </w:r>
    </w:p>
    <w:p>
      <w:pPr>
        <w:pStyle w:val="Heading2"/>
      </w:pPr>
      <w:r>
        <w:t>The role of transmission and energy storage in European decarbonization towards 2050</w:t>
      </w:r>
    </w:p>
    <w:p>
      <w:r>
        <w:t>Original source (2021): https://doi.org/10.1016/j.energy.2021.122159</w:t>
      </w:r>
    </w:p>
    <w:p>
      <w:r>
        <w:t>Original wording (abstract; indexed_source_text_not_full_document_verified): It is demonstrated that the European power sector can be decarbonised with a 65%–70% share of the electricity supply from wind power and PV in 2050. This paper presents analyses of the development of the European electricity sector that is in line with the climate and energy targets of the European Union for 2030 and 2050.</w:t>
      </w:r>
    </w:p>
    <w:p>
      <w:r>
        <w:t>POSSIBLE 2026: Synthetic Impersonation in the Power Sector — https://doi.org/10.33445/sds.2026.16.4.11</w:t>
      </w:r>
    </w:p>
    <w:p>
      <w:r>
        <w:t>Shared claim-specific concepts: power, sector, analyses; EU scope not established. This is a provisional connection, not an outcome finding.</w:t>
      </w:r>
    </w:p>
    <w:p>
      <w:r>
        <w:t>Available abstract (not full text): Purpose. This study examines synthetic impersonation in the power sector as a decision-security problem, focusing on the conditions under which manipulated communication may lead to unsafe operational decisions and on the organisational safeguards associated with safer behaviour. Method. An exploratory, quasi-experimental, scenario-based design was applied. The study comprised 24 attack scenarios, 24 communication stimuli, 8 operational command paths, an 8-layer security control matrix, and a supplier dependency layer. The analytical dataset contained 744 decision observations nested within 31 participants across four procedural conditions. Descriptive and comparative analyses were supplemented with participant-clustered generalized estimating equation modelling. Findings. Unsafe responses occurred in 26.34% of observations. The unsafe response rate decreased descriptively from 29.03% under Baseline conditions to 23.66% under Full Layered Control, although between-condition differences were not statistically significant. Unsafe responses were concentrated in selected high-consequence scenarios, particularly grid topology disclosure, hot-work approval, and black-start initiation. Unsafe decisions were associated with shorter decision times, whereas perceived authenticity did not meaningfully distinguish safe from unsafe outcomes. Theoretical implications. The findings support ex</w:t>
      </w:r>
    </w:p>
    <w:p>
      <w:r>
        <w:t>POSSIBLE 2025: Decadal Prediction for the European Energy Sector — https://doi.org/10.1002/met.70054</w:t>
      </w:r>
    </w:p>
    <w:p>
      <w:r>
        <w:t>Shared claim-specific concepts: power, sector, share, electricity, wind, climate; EU scope visible. This is a provisional connection, not an outcome finding.</w:t>
      </w:r>
    </w:p>
    <w:p>
      <w:r>
        <w:t>Available abstract (not full text): ABSTRACT The timescale of decadal climate predictions, from a year‐ahead up to a decade, is an important planning horizon for stakeholders in the energy sector. With power systems transitioning towards a greater share of renewable energy sources, these systems become more sensitive to the variability of weather and climate, thus necessitating the provision of long‐range climate predictions to ensure effective planning and operation. As decadal predictions sample both the internal variability of the climate and the externally forced response, these forecasts potentially provide useful information for the upcoming decade. Here, we show for the first time that it is possible to make skillful decadal predictions for a range of energy sector relevant climate variables over the European region. We apply post‐processing techniques and identify skill in certain regions during both summer and winter for temperature, solar irradiance, and precipitation. We also show significant skill for 850 hPa zonal wind speed and the North Atlantic Oscillation during the extended winter period (October–March). We demonstrate how these forecasts can be used for important energy indicators, such as offshore wind capacity factors, comparing the skill of direct model output (using forecast variables directly) and pattern‐based approaches (e.g., using the NAO index). We find significant skill for predictio</w:t>
      </w:r>
    </w:p>
    <w:p>
      <w:r>
        <w:t>POSSIBLE 2025: Decoupling carbon emissions from power sector growth in Indonesia — https://doi.org/10.1007/s44274-025-00426-0</w:t>
      </w:r>
    </w:p>
    <w:p>
      <w:r>
        <w:t>Shared claim-specific concepts: power, sector, electricity, energy; EU scope not established. This is a provisional connection, not an outcome finding.</w:t>
      </w:r>
    </w:p>
    <w:p>
      <w:r>
        <w:t>Available abstract (not full text): Abstract As a major emitter in Indonesia’s fossil fuel–dominated energy system, the electricity sector plays a pivotal role in driving the country’s low-carbon transition. Thus, this paper examined the decoupling status and driving factors of CO₂ emissions in Indonesia from 2001 to 2023 by developing a comprehensive framework that integrates the Tapio decoupling model with the LMDI decomposition technique. Strong decoupling occurred only in a few periods (e.g., 2008–2009, 2015–2016, 2017–2018), while most years exhibited either relative decoupling or no decoupling. Further analysis reveals that electricity output is the primary driver of carbon emission growth, while improvements in energy intensity are the most significant factor in reducing emissions. The contributions of power generation structure and energy mix to emission mitigation remain relatively modest, while the influence of emission factors is negligible. These findings underscore the urgent need for Indonesia to improve energy efficiency, accelerate renewable energy deployment, and establish a more stable and systematic decarbonization framework for its power sector.</w:t>
      </w:r>
    </w:p>
    <w:p>
      <w:r>
        <w:t>POSSIBLE 2024: What pace for direct electrification? Insights from co-optimised pathways in the European chemical and power sector — https://doi.org/10.1016/j.ecmx.2024.100839</w:t>
      </w:r>
    </w:p>
    <w:p>
      <w:r>
        <w:t>Shared claim-specific concepts: power, sector, decarbonised, climate, energy; EU scope visible. This is a provisional connection, not an outcome finding.</w:t>
      </w:r>
    </w:p>
    <w:p>
      <w:r>
        <w:t>Available abstract (not full text): • Analysis of the chemical sector electrification using a novel supply-chain model. • Integrated sector-coupling with a power sector investment model. • Disregarding co-optimization could result in above 3% net present cost underestimation. • A carbon price &gt; 200 EUR/tCO2 by 2050 is needed to achieve climate neutrality. • Doubling of the chemical sector power consumption is likely. Decision makers and private investors impacted by the evolution of the carbon price should limit risks associated with investments in decarbonised options, notably for electrified options. This research demonstrates that considering only static future power prices and carbon content might be insufficient when accelerated sectoral electrification effort is foreseen. To illustrate the phenomenon, this research focuses on the conditions and the extent of electrification in decarbonising the chemical sector in Central-West Europe. Specifically, energy transition pathways until 2050 are considered for the power and the chemical sectors using a novel co-optimisation model, minimising the net present cost of both sectors and considering different carbon price scenarios and deployment rates. The findings indicate that not accounting for the power sector constraints when assessing the chemical sector’s transition pathways overestimates greenhouse gas (GHG) reduction potential and underestimates the net presen</w:t>
      </w:r>
    </w:p>
    <w:p>
      <w:r>
        <w:t>POSSIBLE 2024: Analysis of the power sector in Bangladesh: current trends, challenges, and future perspectives — https://doi.org/10.11591/eei.v13i6.7503</w:t>
      </w:r>
    </w:p>
    <w:p>
      <w:r>
        <w:t>Shared claim-specific concepts: power, sector, electricity, energy; EU scope not established. This is a provisional connection, not an outcome finding.</w:t>
      </w:r>
    </w:p>
    <w:p>
      <w:r>
        <w:t>Available abstract (not full text): Bangladesh’s economic development is largely dependent on the power sector, which promotes sustainability and growth. The country’s future energy security, however, is seriously threatened by the natural gas reserves running out by 2028. As a result, the current energy mix has to be modified right away to ensure Bangladesh’s sustained economic growth. This research paper offers a thorough analysis of Bangladesh’s power sector’s current state. With a focus on important metrics like installed capacity, electricity generation, and distribution infrastructure, the study seeks to provide insights into the sector’s opportunities, challenges, and strengths. The research highlighting the importance of energy security and forecasting the projected energy demand in Bangladesh. The study also looks at current projects and advancements that have shaped Bangladesh’s power industry. This research also provides an ideal energy option that supports Bangladesh's sustainable growth. This analysis offers significant insights into the dynamics of the power industry in Bangladesh, elucidating it is present trajectory, the challenges it encounters, and the potential avenues for achieving a more sustainable and resilient energy future.</w:t>
      </w:r>
    </w:p>
    <w:p>
      <w:r>
        <w:t>POSSIBLE 2024: Environmental Violations in the Power Sector: Accountability and Community Welfare — https://doi.org/10.67929/ecgi-fin-1019-2024</w:t>
      </w:r>
    </w:p>
    <w:p>
      <w:r>
        <w:t>Shared claim-specific concepts: power, sector, electricity; EU scope not established. This is a provisional connection, not an outcome finding.</w:t>
      </w:r>
    </w:p>
    <w:p>
      <w:r>
        <w:t>Available abstract (not full text): This study examines how U.S. power sector firms respond to environmental regulation violations, focusing on facilities flagged by the EPA for non-compliance. In response, these plants implement various strategies to reduce air pollution and prevent future violations, including cutting electricity generation, improving fuel quality, reducing coal use, installing scrubbers, enhancing pollution controls, and investing in energy-efficient generators. Organizational efficiencies and government subsidies further strengthen these efforts. While these actions aid environmental recovery, the costs of compliance are often passed on to local communities through higher electricity prices, raising concerns about social equity. Following a violation, firms generally experience increases in assets, capital expenditures, debt, revenues, and electricity prices, yet operating income remains unaffected. Our findings highlight that while market competition and government subsidies can help alleviate some of the financial burden on consumers, these subsidies often fall short in promoting the long-term investments in advanced technologies necessary for sustained environmental progress.</w:t>
      </w:r>
    </w:p>
    <w:p>
      <w:r>
        <w:t>POSSIBLE 2024: Enlightening Bangladesh: Navigating power sector challenges through PPP excellence — https://doi.org/10.24294/jipd.v8i3.2529</w:t>
      </w:r>
    </w:p>
    <w:p>
      <w:r>
        <w:t>Shared claim-specific concepts: power, sector, electricity, energy; EU scope not established. This is a provisional connection, not an outcome finding.</w:t>
      </w:r>
    </w:p>
    <w:p>
      <w:r>
        <w:t>Available abstract (not full text): As Bangladesh faces its current energy crisis, public-private partnerships (PPPs) emerge as a promising solution, bridging the strengths of both sectors toward a brighter, more electrified future. This research focuses on the challenges in Bangladesh’s power sector: increasing electricity demand and the imperative for a consistent supply of renewable energy sources. The research employs content analysis, exploring various aspects, including policy documents, regulatory frameworks, stakeholder engagements, and resource assessments, with a specific focus on three key variables: regulatory framework, stakeholder engagement, and informed policymaking. Drawing on the ‘resource-based view’ theory, the study emphasizes the significance of ‘mitigating resource risks’ through ‘resource assessment.’ Empirical support is derived from an extensive review of literature in reputable journals and research articles, enhancing the research’s credibility with real-world evidence. The study provides a practical roadmap for stakeholders navigating Bangladesh’s power sector, addressing energy challenges, and promoting sustainability.</w:t>
      </w:r>
    </w:p>
    <w:p>
      <w:r>
        <w:t>POSSIBLE 2023: Concentration of asset owners exposed to power sector stranded assets may trigger climate policy resistance — https://doi.org/10.1038/s41467-023-42031-w</w:t>
      </w:r>
    </w:p>
    <w:p>
      <w:r>
        <w:t>Shared claim-specific concepts: power, sector, share, climate, energy; EU scope visible. This is a provisional connection, not an outcome finding.</w:t>
      </w:r>
    </w:p>
    <w:p>
      <w:r>
        <w:t>Available abstract (not full text): Thoroughly assessing the owners and distribution of stranded assets in a 2 °C scenario is essential to anticipate climate policy resistance. We employ novel data to analyze owners and incidence of asset stranding in the power sector globally. We show that Asia-Pacific, Europe, and the US are highly exposed to stranded assets, especially coal plants. Stranded assets are highly concentrated in a few asset owners in some countries (e.g., India). Even if owners are more equally exposed (e.g., in the US) they can vary considerably in the asset stranding timing due to differences in plant fleets' age profile. European, US, and Chinese asset owners own large shares of stranded coal plants abroad. Listed owners may face stranded assets of up to 78% of their share price or more than 80% of their equity. Asset stranding exposure positively correlates with ownership of alternative energy assets. India stands out owning many stranded assets but little alternative energy.</w:t>
      </w:r>
    </w:p>
    <w:p>
      <w:r>
        <w:t>POSSIBLE 2023: Decarbonization of Power and Industrial Sectors: The Role of Membrane Processes — https://doi.org/10.3390/membranes13020130</w:t>
      </w:r>
    </w:p>
    <w:p>
      <w:r>
        <w:t>Shared claim-specific concepts: power, climate; EU scope not established. This is a provisional connection, not an outcome finding.</w:t>
      </w:r>
    </w:p>
    <w:p>
      <w:r>
        <w:t>Available abstract (not full text): Carbon dioxide (CO2) is the single largest contributor to climate change due to its increased emissions since global industrialization began. Carbon Capture, Storage, and Utilization (CCSU) is regarded as a promising strategy to mitigate climate change, reducing the atmospheric concentration of CO2 from power and industrial activities. Post-combustion carbon capture (PCC) is necessary to implement CCSU into existing facilities without changing the combustion block. In this study, the recent research on various PCC technologies is discussed, along with the membrane technology for PCC, emphasizing the different types of membranes and their gas separation performances. Additionally, an overall comparison of membrane separation technology with respect to other PCC methods is implemented based on six different key parameters—CO2 purity and recovery, technological maturity, scalability, environmental concerns, and capital and operational expenditures. In general, membrane separation is found to be the most competitive technique in conventional absorption as long as the highly-performed membrane materials and the technology itself reach the full commercialization stage. Recent updates on the main characteristics of different flue gas streams and the Technology Readiness Levels (TRL) of each PCC technology are also provided with a brief discussion of their latest progresses.</w:t>
      </w:r>
    </w:p>
    <w:p>
      <w:r>
        <w:t>POSSIBLE 2023: Decarbonizing the European energy system in the absence of Russian gas: Hydrogen uptake and carbon capture developments in the power, heat and industry sectors — https://doi.org/10.1016/j.jclepro.2023.140473</w:t>
      </w:r>
    </w:p>
    <w:p>
      <w:r>
        <w:t>Shared claim-specific concepts: power, sector, climate, energy, targets; EU scope visible. This is a provisional connection, not an outcome finding.</w:t>
      </w:r>
    </w:p>
    <w:p>
      <w:r>
        <w:t>Available abstract (not full text): Hydrogen and carbon capture and storage are pivotal to decarbonize the European energy system in a broad range of pathway scenarios. Yet, their timely uptake in different sectors and distribution across countries are affected by supply options of renewable and fossil energy sources. Here, we analyze the decarbonization of the European energy system towards 2060, covering the power, heat, and industry sectors, and the change in use of hydrogen and carbon capture and storage in these sectors upon Europe’s decoupling from Russian gas. The results indicate that the use of gas is significantly reduced in the power sector, instead being replaced by coal with carbon capture and storage, and with a further expansion of renewable generators. Coal coupled with carbon capture and storage is also used in the steel sector as an intermediary step when Russian gas is neglected, before being fully decarbonized with hydrogen. Hydrogen production mostly relies on natural gas with carbon capture and storage until natural gas is scarce and costly at which time green hydrogen production increases sharply. The disruption of Russian gas imports has significant consequences on the decarbonization pathways for Europe, with local energy sources and carbon capture and storage becoming even more important. Given the highlighted importance of carbon capture and storage in reaching the climate targets, it i</w:t>
      </w:r>
    </w:p>
    <w:p>
      <w:r>
        <w:t>POSSIBLE 2023: The landscape of European policies in the power sector: first-mover advantages — https://doi.org/10.1007/s11027-023-10081-6</w:t>
      </w:r>
    </w:p>
    <w:p>
      <w:r>
        <w:t>Shared claim-specific concepts: power, sector, electricity, climate, energy, targets; EU scope visible. This is a provisional connection, not an outcome finding.</w:t>
      </w:r>
    </w:p>
    <w:p>
      <w:r>
        <w:t>Available abstract (not full text): Abstract In order to achieve the commonly agreed emission reduction target, the European Commission called upon the member states to submit National Energy and Climate Plans to ensure increased transparency for the respective national targets and strategies. An analysis of these plans shows that some member states have declared ambitious emission reductions targets, as well as technology-specific phaseout policies in the power sector. A transformation to a climate-friendly system requires considerable investment, the question arises if there are benefits to be in the vanguard. We find that countries may have an incentive to outperform in the development of a low-carbon electricity system.</w:t>
      </w:r>
    </w:p>
    <w:p>
      <w:r>
        <w:t>POSSIBLE 2023: Power sector impacts of a simultaneous European heat pump rollout — https://doi.org/10.48550/arxiv.2312.06589</w:t>
      </w:r>
    </w:p>
    <w:p>
      <w:r>
        <w:t>Shared claim-specific concepts: power, sector, electricity, wind, energy; EU scope visible. This is a provisional connection, not an outcome finding.</w:t>
      </w:r>
    </w:p>
    <w:p>
      <w:r>
        <w:t>Available abstract (not full text): The decarbonization of buildings requires the phase-out of fossil fuel heating systems. Heat pumps are considered a crucial technology to supply a substantial part of heating energy for buildings. Yet, their introduction is not without challenges, as heat pumps generate additional electricity demand as well as peak loads. To better understand these challenges, an ambitious simultaneous heat pump rollout in several central European countries with an hourly-resolved capacity expansion model of the power sector is studied. I assess the structure of hours and periods of peak heat demands and their concurrence with hours and periods of peak residual load. In a 2030 scenario, I find that meeting 25% of total heat demand in buildings with heat pumps would be covered best with additional wind power generation capacities. I also identify the important role of small thermal energy storage that could reduce the need for additional firm generation capacity. Due to the co-occurrence of heat demand, interconnection between countries does not substantially reduce the additional generation capacities needed for heat pump deployment. Based on six different weather years, my analysis cautions against relying on results based on a single weather year.</w:t>
      </w:r>
    </w:p>
    <w:p>
      <w:pPr>
        <w:pStyle w:val="Heading2"/>
      </w:pPr>
      <w:r>
        <w:t>Towards net zero CO2 in 2050: An emission reduction pathway for organic soils in Germany</w:t>
      </w:r>
    </w:p>
    <w:p>
      <w:r>
        <w:t>Original source (2021): https://doi.org/10.19189/map.2020.snpg.sta.1951</w:t>
      </w:r>
    </w:p>
    <w:p>
      <w:r>
        <w:t>Original wording (abstract; indexed_source_text_not_full_document_verified): The more gradual pathway 1 requires the following interim (2030, 2040) and ultimate (2050) milestones: Cropland use stopped and all Cropland converted to Grassland by 2030; Water tables raised to the soil surface on 15 % / 60 % / 100 % of all Grassland, on 50 % / 75 % / 100 % of all Forest land, and ultimately on 2/3 of all Settlements and on 100 % of all Wetlands. Also a more direct pathway 2 without interim ‘moist’ water tables and the climate effect (radiative forcing) of different scenarios is presented.</w:t>
      </w:r>
    </w:p>
    <w:p>
      <w:r>
        <w:t>POSSIBLE 2026: Energy pathway variety and the progress of the energy transition in European countries — https://doi.org/10.48550/arxiv.2609.09607</w:t>
      </w:r>
    </w:p>
    <w:p>
      <w:r>
        <w:t>Shared claim-specific concepts: pathway, also, direct; EU scope visible. This is a provisional connection, not an outcome finding.</w:t>
      </w:r>
    </w:p>
    <w:p>
      <w:r>
        <w:t>Available abstract (not full text): The integration of new energy forms into existing energy infrastructure has emerged as a critical challenge in the context of the pursuit of a sustainable energy transition. One of the main challenges is understanding how this integration takes place not only from the introduction, but also as energy follows existing paths or creates new ones through which it is transformed and used by different activities. Here we introduce techniques from network science to analyse this process for the case of 29 European countries between 1992 and 2021. We study how new energy forms increase or decrease the variety (heterogeneity) of paths through the system of each country by establishing new ones and replacing or phasing out existing ones. We find that the transition to systems based on renewable energy is characterised by an initial increase in the variety of paths while the heterogeneity of paths decreases at the end of the transition, when the proportion of non-renewables in the system tends to zero. We then demonstrate that greater heterogeneity (complexity) is associated with larger annual fluctuations in the proportion of non-renewable sources in the system, establishing a direct relationship between the progress of the transition and the complexity of the energy system in which it occurs. This contributes to the understanding of general properties of the dynamics of the energy trans</w:t>
      </w:r>
    </w:p>
    <w:p>
      <w:r>
        <w:t>POSSIBLE 2024: Women’s Leadership in Organizations as a Pathway to Ukraine’s European Integration — https://doi.org/10.32983/2222-4459-2024-11-377-386</w:t>
      </w:r>
    </w:p>
    <w:p>
      <w:r>
        <w:t>Shared claim-specific concepts: pathway, all, also; EU scope visible. This is a provisional connection, not an outcome finding.</w:t>
      </w:r>
    </w:p>
    <w:p>
      <w:r>
        <w:t>Available abstract (not full text): The article is aimed at studying the phenomenon of women’s leadership in organizations as a strategic vector of European integration of Ukraine. It is considered how gender equality in the professional sphere and in managerial activities contributes to the introduction of European values into Ukrainian society, strengthens democratic principles and ensures social justice. The article analyzes the key principles of European equality standards, such as transparency, mutual respect, dignity and equality before the law, which is the basis for the formation of a gender-balanced society, as well as explores the importance of these standards for Ukraine. The challenges faced by women on their way to leadership positions in organizations are revealed. It is determined that despite positive developments, women in Ukraine still face barriers such as stereotypes, prejudices against their competence, as well as limited access to leadership positions in organizations. The relevance of creating equal conditions for the professional development of men and women as an important factor in the integration process, which contributes to the formation of a sustainable and competitive economy, as well as increases the innovative potential of organizations, is substantiated. The article proposes a definition of the phenomenon of «women’s leadership» in the context of organizational development and so</w:t>
      </w:r>
    </w:p>
    <w:p>
      <w:r>
        <w:t>POSSIBLE 2022: Optimization of the possible pathways for gradual energy system decarbonization — https://doi.org/10.1016/j.renene.2022.05.005</w:t>
      </w:r>
    </w:p>
    <w:p>
      <w:r>
        <w:t>Shared claim-specific concepts: gradual, use, also; EU scope visible. This is a provisional connection, not an outcome finding.</w:t>
      </w:r>
    </w:p>
    <w:p>
      <w:r>
        <w:t>Available abstract (not full text):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pPr>
        <w:pStyle w:val="Heading2"/>
      </w:pPr>
      <w:r>
        <w:t>Ukrainian Migration Aspirations towards Germany: Analysis and Development Scenarios</w:t>
      </w:r>
    </w:p>
    <w:p>
      <w:r>
        <w:t>Original source (2021): https://doi.org/10.18778/1508-2008.24.04</w:t>
      </w:r>
    </w:p>
    <w:p>
      <w:r>
        <w:t>Original wording (abstract; indexed_source_text_not_full_document_verified): Based on the multiple regression model and scenario approach to forecasting, the article estimates the Ukrainian migration aspirations towards Germany (the scale of migration, the economic activity of migrants, and their economic benefits). It is argued that major transformations in the gender-age structure of the German population may cause a demographic crisis and labour market imbalances.</w:t>
      </w:r>
    </w:p>
    <w:p>
      <w:r>
        <w:t>POSSIBLE 2026: Soil quality assessment based on agrochemical indicators and optimized multiple linear regression — https://doi.org/10.12911/22998993/215563</w:t>
      </w:r>
    </w:p>
    <w:p>
      <w:r>
        <w:t>Shared claim-specific concepts: based, multiple, regression, estimates; EU scope not established. This is a provisional connection, not an outcome finding.</w:t>
      </w:r>
    </w:p>
    <w:p>
      <w:r>
        <w:t>Available abstract (not full text): Soil quality assessment is a key component of sustainable land use, agroecosystem monitoring, and the optimization of agrochemical management.The aim of this study is to evaluate the soil quality within the Rozsoshansk community of the Khmelnytskyi region using the soil quality index (SQI) and to develop a statistically sound predictive model based on agrochemical indicators.The analysis was conducted using a set of soil parameters, including pH, C org , 𝑁𝑁𝐻𝐻 4 + 𝑁𝑁𝑂𝑂 3 -, , 𝑁𝑁𝐻𝐻 4 + 𝑁𝑁𝑂𝑂 3 -, , P 2 O 5 , Ca 2+ і K + .Spearman correlation analysis was performed, followed by the construction of a multiple linear regression model (R 2 = 0.904, Adjusted R 2 = 0.900), an assessment of multicollinearity (VIF), and ANOVA.Based on the results of the regression model with seven predictors, together with ANOVA and VIF diagnostics, an optimized model with four predictors (pH, C org , 𝑁𝑁𝐻𝐻 4 + 𝑁𝑁𝑂𝑂 3 -, , Ca 2+ ) was developed.This refined model demonstrated strong explanatory power (R 2 = 0.856, Adjusted R 2 = 0.853) and low prediction error.Residual diagnostics indicated deviations from normality and heteroscedasticity; however, robust estimation methods (OLS-HC3 and RLM using HuberT) confirmed the stability of the coefficient estimates.The findings suggest that soil organic carbon, exchangeable calcium, acidity, and nitrate nitrogen are the key indicators of soil quality in the study a</w:t>
      </w:r>
    </w:p>
    <w:p>
      <w:r>
        <w:t>POSSIBLE 2025: Signal-Based Trading Strategy for SPY ETF: A Multiple Linear Regression Approach — https://doi.org/10.70693/rwsk.v1i2.552</w:t>
      </w:r>
    </w:p>
    <w:p>
      <w:r>
        <w:t>Shared claim-specific concepts: multiple, regression, approach, major; EU scope visible. This is a provisional connection, not an outcome finding.</w:t>
      </w:r>
    </w:p>
    <w:p>
      <w:r>
        <w:t>Available abstract (not full text): This study develops a signal-based trading strategy for the SPDR S&amp;P 500 ETF Trust (SPY) using a multiple linear regression framework to analyze interrelationships between SPY and global equity indices across U.S., European, Asian, and Australian markets. By synthesizing historical pricing data from these major benchmarks, the model generates systematic trading signals through predicted price trajectories. In controlled training scenarios, the strategy achieved superior risk-adjusted returns compared to passive buy-and-hold approaches, demonstrating the value of cross-market signal integration. While the framework shows promise for algorithmic trading systems, the study acknowledges limitations in generalizing historical patterns to evolving market conditions. The findings highlight opportunities to enhance predictive accuracy through machine learning architectures capable of processing nonlinear market dynamics. These insights advance quantitative trading research by establishing methodologies for cross-market signal synthesis and proposing pathways to develop adaptive models for volatile capital markets.</w:t>
      </w:r>
    </w:p>
    <w:p>
      <w:r>
        <w:t>POSSIBLE 2025: Research on Heilongjiang Rice Industry Based on Multiple Linear Regression Analysis — https://doi.org/10.54097/pc44xs21</w:t>
      </w:r>
    </w:p>
    <w:p>
      <w:r>
        <w:t>Shared claim-specific concepts: based, multiple, regression, estimates, scale; EU scope not established. This is a provisional connection, not an outcome finding.</w:t>
      </w:r>
    </w:p>
    <w:p>
      <w:r>
        <w:t xml:space="preserve">Available abstract (not full text): Against the backdrop of a severe global food security situation, accurate prediction of crop yields is crucial for ensuring stable food supply and maintaining socio-economic stability. Heilongjiang Province is an important region for rice production in China, and its rice yield is of great significance to the stable supply of national grain. This study uses multiple linear regression and random forest regression models to conduct in-depth research and predictive analysis on rice production in various cities of Heilongjiang Province. The data is sourced from authoritative databases and field research, after data cleaning, which includes removing outliers, handling missing values, and correcting errors, and standardization, which normalizes data to a common scale (such as using z-score normalization or min-max scaling) to ensure consistency and comparability, models are constructed. The multiple linear regression model is based on the assumption of linear relationship, estimates parameters using the least squares method, and rigorously tests and evaluates them; The random forest regression model, as an optimization model, utilizes multiple decision trees for ensemble learning to improve prediction accuracy and reliability. Comparing the predicted values of the two models, it was found that they each have their own advantages, providing diverse and powerful support for predicting </w:t>
      </w:r>
    </w:p>
    <w:p>
      <w:r>
        <w:t>POSSIBLE 2025: A Multiple Linear Regression–Based Algorithm to Correct for Cosmic Rays in Raman Images — https://doi.org/10.1002/cem.70000</w:t>
      </w:r>
    </w:p>
    <w:p>
      <w:r>
        <w:t>Shared claim-specific concepts: based, multiple, regression; EU scope not established. This is a provisional connection, not an outcome finding.</w:t>
      </w:r>
    </w:p>
    <w:p>
      <w:r>
        <w:t>Available abstract (not full text): ABSTRACT Raman imaging is a powerful technique for simultaneously obtaining chemical and spatial information on diverse materials. One of the most common detectors used on Raman equipment is the charge coupled detector (CCD) due its high sensitivity. However, CCDs are also sensitive to cosmic rays, that generate very narrow and intense signals: cosmic ray spikes. Since these peaks can be very intense and numerous, it is important to eliminate them before any data analysis. Some methods to do this use comparison of neighboring pixels to identify spikes, but when using the line‐scanning acquisition mode, it is common that these spikes appear in two or more pixels close together. Thus, in this work, a new algorithm has been developed to correct for cosmic ray spikes in Raman images, based on multiple linear regression (MLR). This algorithm takes less than 1 min in images with more than 70,000 spectra and removes all spikes, even those at low intensity.</w:t>
      </w:r>
    </w:p>
    <w:p>
      <w:r>
        <w:t>POSSIBLE 2024: A used sailboat pricing model based on multiple linear regression — https://doi.org/10.54254/2755-2721/68/20241449</w:t>
      </w:r>
    </w:p>
    <w:p>
      <w:r>
        <w:t>Shared claim-specific concepts: based, multiple, regression; EU scope not established. This is a provisional connection, not an outcome finding.</w:t>
      </w:r>
    </w:p>
    <w:p>
      <w:r>
        <w:t>Available abstract (not full text): The value of sailboats varies depending on the region and market conditions. Brokers need a better understanding of the sailboat market and make informed decisions to mitigate potential risks. To address these issues, this paper employs methods of multiple linear regression analysis and the grey correlation forecasting method. By utilizing data analysis techniques, a commonly used sailboat pricing model is established. Specifically, we first preprocess the given dataset and encode the processed data for subsequent model use. Additionally, the paper selects the three most influential factors on the pricing model: length, make, and year, and employs the method of independent weighting coefficients for multiple linear regression analysis calculation. Furthermore, we analyze the regional impact on listing prices of used sailboats. Based on these analyses, the proposed model can provide data analysis and sales recommendation reports for brokers. Lastly, the model proposed in this paper demonstrates strong accuracy and robustness, making it easy to implement with other datasets.</w:t>
      </w:r>
    </w:p>
    <w:p>
      <w:r>
        <w:t>POSSIBLE 2024: Price prediction of polyester yarn based on multiple linear regression model — https://doi.org/10.1371/journal.pone.0310355</w:t>
      </w:r>
    </w:p>
    <w:p>
      <w:r>
        <w:t>Shared claim-specific concepts: based, multiple, regression; EU scope not established. This is a provisional connection, not an outcome finding.</w:t>
      </w:r>
    </w:p>
    <w:p>
      <w:r>
        <w:t>Available abstract (not full text): China's polyester textile industry is one of the notable contributors to national economy. This paper takes polyester yarn, core raw material in polyester textile industry chain, as research object, and deeply explores its price indicators and risk hedging mechanisms through multiple linear regression models and Holt-Winters approaches. It is worth mentioning that with continuous development of digital technology, digital transformation of production lines and warehouses has become an important development feature in various industries. This study also actively complies with this trend, and innovatively incorporates the upstream and downstream production line start-up rates into price prediction model. Through this initiative, we can more comprehensively consider the impact of supply and demand changes on price of polyester yarn, thus making prediction results more closely reflect the actual market situation. This quantitative analysis method undoubtedly provides new ideas for enterprises to better grasp market dynamics in digital era.</w:t>
      </w:r>
    </w:p>
    <w:p>
      <w:r>
        <w:t>POSSIBLE 2024: Enterprise Value Valuation—BYD as an Example Based on SWOT Model and Multiple Regression Model — https://doi.org/10.17265/2328-2185/2024.04.001</w:t>
      </w:r>
    </w:p>
    <w:p>
      <w:r>
        <w:t>Shared claim-specific concepts: based, multiple, regression; EU scope not established. This is a provisional connection, not an outcome finding.</w:t>
      </w:r>
    </w:p>
    <w:p>
      <w:r>
        <w:t>Available abstract (not full text): BYD is one of the largest new energy vehicle companies in China.Analyzing its scenario and the factors that affect its value helps to understand and identify development opportunities and potential problems.On one hand, this paper makes a qualitative analysis of BYD, using SWOT model to study the internal capability and external environment of BYD.On the other hand, the multiple regression model is used for quantitative analysis of BYD's enterprise value, and the model is established based on three factors: enterprise fundamentals, investor behavior and psychology, and macroeconomic policy uncertainty, and the stepwise regression is carried out.The results show that the increase of institutional investors' shareholding ratio, the increase of investor sentiment index, and the increase of M2 growth rate will increase the overall enterprise value, while the increase of economic policy uncertainty will decrease the enterprise value.</w:t>
      </w:r>
    </w:p>
    <w:p>
      <w:r>
        <w:t>POSSIBLE 2023: Estimation of Cloudiness Data Based on Multiple Linear Regression Model — https://doi.org/10.31466/kfbd.1150879</w:t>
      </w:r>
    </w:p>
    <w:p>
      <w:r>
        <w:t>Shared claim-specific concepts: based, multiple, regression, estimates; EU scope not established. This is a provisional connection, not an outcome finding.</w:t>
      </w:r>
    </w:p>
    <w:p>
      <w:r>
        <w:t>Available abstract (not full text): This study estimates cloudiness data using meteorological parameters which include climatic variables and air quality index. Daily average observed values of all meteorological parameters used in this study were transformed to monthly mean data for 1990-2015 period. The monthly mean values of cloudiness were estimated by using the other climatic elements and the value air quality index at urban area in Kayseri. Multiple Linear Regression model was built to determine the mathematical relationships for predicting cloudiness. It has been shown that meteorological parameters affect cloudiness the most in May and October, and the least in September and January. Additionally, according to the estimated models, air quality index value has effect on cloudiness data on January, July, October and November as statistically significant.</w:t>
      </w:r>
    </w:p>
    <w:p>
      <w:r>
        <w:t>POSSIBLE 2023: Biosafety management strategy based on multiple linear regression model — https://doi.org/10.2478/amns.2023.1.00362</w:t>
      </w:r>
    </w:p>
    <w:p>
      <w:r>
        <w:t>Shared claim-specific concepts: based, multiple, regression, major; EU scope not established. This is a provisional connection, not an outcome finding.</w:t>
      </w:r>
    </w:p>
    <w:p>
      <w:r>
        <w:t>Available abstract (not full text): Abstract With the rise of artificial intelligence technology in the context of digital development of big data and information, the biosafety management method under the traditional model can hardly fit the development requirements of the times, and the biosafety management under the traditional model has various problems such as slow manual efficiency, tedious management work, and humanization of work. This paper focuses on studying a biosafety management strategy based on a multiple regression model, then analyzes and compares the two methods of the one-dimensional linear regression model and the multiple linear regression model. The study is conducted under the three indicators of biosafety management weight score. Arithmetic means to score and significance of 100 enterprises (schools, pharmaceutical companies, hospitals, and other types of these four major types) under the multiple linear regression model. The results show schools topped the list with a biosafety management weight score of 0.793. The arithmetic mean scores of the four categories of enterprises were ranked in descending order: schools, hospitals, pharmaceutical plants, and other categories. The size of the enterprise has a significant and positive effect on biosafety management, which means that the larger the size of the enterprise, the more resources the enterprise has under its control, and then the imple</w:t>
      </w:r>
    </w:p>
    <w:p>
      <w:r>
        <w:t>POSSIBLE 2023: Development of Multiple Linear Regression Models for Predicting Chronic Iron Toxicity to Aquatic Organisms — https://doi.org/10.1002/etc.5623</w:t>
      </w:r>
    </w:p>
    <w:p>
      <w:r>
        <w:t>Shared claim-specific concepts: based, multiple, regression, approach; EU scope visible. This is a provisional connection, not an outcome finding.</w:t>
      </w:r>
    </w:p>
    <w:p>
      <w:r>
        <w:t>Available abstract (not full text): Abstract We developed multiple linear regression (MLR) models for predicting iron (Fe) toxicity to aquatic organisms for use in deriving site-specific water quality guidelines (WQGs). The effects of dissolved organic carbon (DOC), hardness, and pH on Fe toxicity to three representative taxa (Ceriodaphnia dubia, Pimephales promelas, and Raphidocelis subcapitata) were evaluated. Both DOC and pH were identified as toxicity-modifying factors (TMFs) for P. promelas and R. subcapitata, whereas only DOC was a TMF for C. dubia. The MLR models based on effective concentration 10% and 20% values were developed and performed reasonably well, with adjusted R2 of 0.68–0.89 across all species and statistical endpoints. Differences among species in the MLR models precluded development of a pooled model. Instead, the species-specific models were assumed to be representative of invertebrates, fish, and algae and were applied accordingly to normalize toxicity data. The species sensitivity distribution (SSD) included standard laboratory toxicity data and effects data from mesocosm experiments on aquatic insects, with aquatic insects being the predominant taxa in the lowest quartile of the SSD. Using the European Union approach for deriving WQGs, application of MLR models to this SSD resulted in WQGs ranging from 114 to 765 μg l−1 Fe across the TMF conditions evaluated (DOC: 0.5–10 mg l−1; pH: 6.0</w:t>
      </w:r>
    </w:p>
    <w:p>
      <w:r>
        <w:t>POSSIBLE 2023: Calculation and Analysis of Green GDP based on EWM and Multiple Linear Regression Model — https://doi.org/10.54097/hbem.v12i.8383</w:t>
      </w:r>
    </w:p>
    <w:p>
      <w:r>
        <w:t>Shared claim-specific concepts: based, multiple, regression, scale; EU scope not established. This is a provisional connection, not an outcome finding.</w:t>
      </w:r>
    </w:p>
    <w:p>
      <w:r>
        <w:t>Available abstract (not full text): With the acceleration of the industrialization process, global problems such as resource shortage and ecological environment deterioration have become increasingly prominent. To uphold the concept of sustainable development, a real, feasible and scientific indicator: green GDP needs to be established urgently. But it is still difficult to promote green GDP on a global scale due to a lack of ideas and technology. In order to calculate and predict GGDP, resource and environmental factors are taken into account. Based on entropy weight method (EWM) and multiple linear regression, an improved global GGDP accounting method is constructed. The future development should pay attention to pollution prevention and ecological environment protection.</w:t>
      </w:r>
    </w:p>
    <w:p>
      <w:r>
        <w:t>POSSIBLE 2023: Investment Demand Forecast for Grid Companies Based on Multiple Linear Regression Analysis — https://doi.org/10.4108/eai.19-5-2023.2334303</w:t>
      </w:r>
    </w:p>
    <w:p>
      <w:r>
        <w:t>Shared claim-specific concepts: based, multiple, regression, population; EU scope not established. This is a provisional connection, not an outcome finding.</w:t>
      </w:r>
    </w:p>
    <w:p>
      <w:r>
        <w:t>Available abstract (not full text): Grid investment demand refers to the investment made by provincial power companies to ensure that strategic projects and decisions are steadily promoted, while building a safe and reliable grid according to the needs of social and economic development. First, the role of population, GDP, total energ</w:t>
      </w:r>
    </w:p>
    <w:p>
      <w:pPr>
        <w:pStyle w:val="Heading2"/>
      </w:pPr>
      <w:r>
        <w:t>A comparison of three transformation pathways towards a sustainable European society - An integrated analysis from an energy system perspective</w:t>
      </w:r>
    </w:p>
    <w:p>
      <w:r>
        <w:t>Original source (2020): https://doi.org/10.1016/j.esr.2020.100461</w:t>
      </w:r>
    </w:p>
    <w:p>
      <w:r>
        <w:t>Original wording (abstract; indexed_source_text_not_full_document_verified): The application looks at three clearly distinguished but likely paths: one where the decarbonisation effort is mostly undertaken by decarbonisation of the energy supply; one where consumers take on a more active role in the decarbonisation, instead; one where ambitions are raised and all sectors of the economy must act together to achieve the targets. To realise this transition, a reduction in greenhouse gas emissions of at least 80% from 1990 levels by 2050 is required.</w:t>
      </w:r>
    </w:p>
    <w:p>
      <w:r>
        <w:t>POSSIBLE 2026: The impacts of the covidfencing phenomenon in three European cross border regions — https://doi.org/10.1080/09654313.2026.2655883</w:t>
      </w:r>
    </w:p>
    <w:p>
      <w:r>
        <w:t>Shared claim-specific concepts: looks, three, role; EU scope visible. This is a provisional connection, not an outcome finding.</w:t>
      </w:r>
    </w:p>
    <w:p>
      <w:r>
        <w:t>Available abstract (not full text): This article adopts a temporal and multi-level perspective on the phenomenon of covidfencing, which emerged during the COVID-19 pandemic of the early 2020s and led to widespread ‘re-bordering’ across European cross-border regions. It explores how different regions experienced covidfencing and analyzes the processes that produced divergent outcomes, considering developments at regional, national, and European levels. By assessing the situation several years after the initial crisis, the article examines the persistence of changes to the constitutionalization and everyday functioning of cross-border regions. Drawing on qualitative research in the Geneva Basin, Greater Saar-Lor-Lux, and Öresund regions, it identifies tangible reforms in taxation, social security, and remote work frameworks that have reshaped cross-border mobility and governance. The article also looks ahead to evaluate what institutional changes have been made to improve crisis preparedness and which lessons from the covidfencing period remain unaddressed. In doing so, it contributes to current debates on regional governance resilience, offering insights into how the experiences of the early 2020s have influenced the evolving role and structure of cross-border regions in Europe today.</w:t>
      </w:r>
    </w:p>
    <w:p>
      <w:r>
        <w:t>POSSIBLE 2025: Celebrating its past, European Medicines Agency looks to the future of public communication — https://doi.org/10.56012/jkzv5290</w:t>
      </w:r>
    </w:p>
    <w:p>
      <w:r>
        <w:t>Shared claim-specific concepts: looks, three, one; EU scope visible. This is a provisional connection, not an outcome finding.</w:t>
      </w:r>
    </w:p>
    <w:p>
      <w:r>
        <w:t>Available abstract (not full text): As the European Medicines Agency (EMA) marks its 30th anniversary with a series of events at its offices in Amsterdam, one area in the spotlight is EMA’s communication with the public. The Agency has made significant strides in this area over the past three decades, and it faces new challenges today. There are also exciting opportunities brought about by changes to the pharmaceutical and technological landscape.</w:t>
      </w:r>
    </w:p>
    <w:p>
      <w:r>
        <w:t>POSSIBLE 2025: A Comprehensive Review of Solar Photovoltaic Systems: Scope, Technologies, Applications, Progress, Challenges, and Recommendations — https://doi.org/10.1109/access.2025.3558539</w:t>
      </w:r>
    </w:p>
    <w:p>
      <w:r>
        <w:t>Shared claim-specific concepts: looks, three, one, energy; EU scope visible. This is a provisional connection, not an outcome finding.</w:t>
      </w:r>
    </w:p>
    <w:p>
      <w:r>
        <w:t>Available abstract (not full text): The paradigm for energy systems has shifted in the last several years from non-renewable energy sources to renewable energy sources (RESs). Leveraging RESs seeks to meet local demand while reducing complexity, expense, and inefficiencies and promoting energy independence, local resilience, and the transition to zero CO2 emissions. One of the RES technologies that could help create clean, dependable, scalable, and reasonably priced energy is solar energy. This article offers a detailed analysis of solar photovoltaic (PV) technology. It examines the distinct qualities and developments of the three generations of solar PV technologies: first-generation crystalline silicon, second-generation thin-film, and third-generation developing technologies including perovskite and organic cells. The study also looks at the many diverse applications of solar photovoltaics, such as energy communities, microgrids, transportation systems, telecommunications, and agriculture. Moreover, it highlights the deployment of the solar PV system in Italy by overseeing the installed capacity, electricity generation, and energy consumption with different types of energy sources after focusing on global and European scenarios. From the data, it is seen that China, USA, and India have led the world in capacity growth for solar PV, while Europe continues to lead the way in policy-driven solar adoption. Italy h</w:t>
      </w:r>
    </w:p>
    <w:p>
      <w:r>
        <w:t>POSSIBLE 2024: European Union Funds – Application Perspective — https://doi.org/10.33067/se.1.2024.1</w:t>
      </w:r>
    </w:p>
    <w:p>
      <w:r>
        <w:t>Shared claim-specific concepts: application, but, all; EU scope visible. This is a provisional connection, not an outcome finding.</w:t>
      </w:r>
    </w:p>
    <w:p>
      <w:r>
        <w:t>Available abstract (not full text): The result of an effective management of the redistribution of European Union funds should be a reduction of disparities between EU regions by guaranteeing their comprehensive and harmonious development and supporting the economic and social cohesion of member countries. A poorly-conducted programming process of ﬁnancial interventionism, the source of which is EU funds, may result in divergence between regions, the direct effect of which would be their social and economic marginalisation. For this reason, it is important to skillfully manage those funds. The main aim of this article is to present the factors affecting the decision-making process of the use of EU co-ﬁnancing, and that includes the pandemic as an external variable being a threat to the implementation of investments from the EU’s structural funds. To explain the multivariate associations between explanatory variables and the binary outcome variables, logistic regression was employed. Based on the tests’ results, signiﬁcant associations were observed between the dependent variable and (a) participation in training co-ﬁnanced by EU funds, (b) receiving information regarding additional EU funds as pandemic support, and (c) the suspension of planned investments using EU funds due to the pandemic situation. A comprehensive distribution of respondents according to the response categories in the analysed variables within</w:t>
      </w:r>
    </w:p>
    <w:p>
      <w:r>
        <w:t>POSSIBLE 2023: EU enlargement in wartime Europe: three dimensions and scenarios — https://doi.org/10.1080/21582041.2023.2289661</w:t>
      </w:r>
    </w:p>
    <w:p>
      <w:r>
        <w:t>Shared claim-specific concepts: three, but, active; EU scope visible. This is a provisional connection, not an outcome finding.</w:t>
      </w:r>
    </w:p>
    <w:p>
      <w:r>
        <w:t>Available abstract (not full text):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r>
        <w:t>POSSIBLE 2022: The Rise of Three Rs Centres and Platforms in Europe* — https://doi.org/10.1177/02611929221099165</w:t>
      </w:r>
    </w:p>
    <w:p>
      <w:r>
        <w:t>Shared claim-specific concepts: three, but, role, all; EU scope visible. This is a provisional connection, not an outcome finding.</w:t>
      </w:r>
    </w:p>
    <w:p>
      <w:r>
        <w:t>Available abstract (not full text): Public awareness and discussion about animal experiments and replacement methods has greatly increased in recent years. The term ‘the Three Rs’, which stands for the Replacement, Reduction and Refinement of animal experiments, is inseparably linked in this context. A common goal within the Three Rs scientific community is to develop predictive non-animal models and to better integrate all available data from in vitro, in silico and omics technologies into regulatory decision-making processes regarding, for example, the toxicity of chemicals, drugs or food ingredients. In addition, it is a general concern to implement (human) non-animal methods in basic research. Toward these efforts, there has been an ever-increasing number of Three Rs centres and platforms established over recent years — not only to develop novel methods, but also to disseminate knowledge and help to implement the Three Rs principles in policies and education. The adoption of Directive 2010/63/EU on the protection of animals used for scientific purposes gave a strong impetus to the creation of Three Rs initiatives, in the form of centres and platforms. As the first of a series of papers, this article gives an overview of the European Three Rs centres and platforms, and their historical development. The subsequent articles, to be published over the course of ATLA’s 50th Anniversary year, will summarise the curr</w:t>
      </w:r>
    </w:p>
    <w:p>
      <w:r>
        <w:t>POSSIBLE 2022: Integrating nature conservation measures in european forest management – An exploratory study of barriers and drivers in 9 european countries — https://doi.org/10.1016/j.jenvman.2022.116619</w:t>
      </w:r>
    </w:p>
    <w:p>
      <w:r>
        <w:t>Shared claim-specific concepts: application, looks, one; EU scope visible. This is a provisional connection, not an outcome finding.</w:t>
      </w:r>
    </w:p>
    <w:p>
      <w:r>
        <w:t>Available abstract (not full text):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r>
        <w:t>POSSIBLE 2021: European Union/United Kingdom — https://doi.org/10.1093/law/9780198849155.003.0063</w:t>
      </w:r>
    </w:p>
    <w:p>
      <w:r>
        <w:t>Shared claim-specific concepts: application, looks, three, role; EU scope visible. This is a provisional connection, not an outcome finding.</w:t>
      </w:r>
    </w:p>
    <w:p>
      <w:r>
        <w:t>Available abstract (not full text): Abstract This chapter evaluates international environmental law (IEL) in the courts of the European Union (EU) and the United Kingdom. This topic potentially covers many different kinds of courts, considering that the EU comprises many member states, each with its own court system, and the United Kingdom itself is a system of devolved government with different court systems. To draw out some key themes, the chapter focuses on decisions of the EU courts and the UK courts in England and Wales, as well as particularly notable decisions of other EU member state courts (available in English). The different experiences of IEL in these three sets of courts demonstrate that the doctrines of different legal systems and their legal cultures are critical to the experiences of their courts in implementing IEL. The chapter examines the reception and application of IEL in these different courts in two steps. It first looks at cases in which IEL has been directly applied by courts, considering the complex EU law in this area, and the EU's special role in implementing IEL in member states. The chapter then addresses cases where IEL applies indirectly in judicial reasoning.</w:t>
      </w:r>
    </w:p>
    <w:p>
      <w:r>
        <w:t>POSSIBLE 2021: Complex Projects and Transition-Driven Evaluation: The Case of the easyRights European Project — https://doi.org/10.3390/su13042343</w:t>
      </w:r>
    </w:p>
    <w:p>
      <w:r>
        <w:t>Shared claim-specific concepts: application, looks, three; EU scope visible. This is a provisional connection, not an outcome finding.</w:t>
      </w:r>
    </w:p>
    <w:p>
      <w:r>
        <w:t>Available abstract (not full text): More and more, the evaluation of complex projects is being related to the capacity of the project to deal with crucial social, economic, and environmental issues that society is responsible for and with the activation of systemic changes. Within this “mission” perspective, growing attention is given to learning in action. This paper aims at (i) conceptualizing a methodological framework for complex project evaluation within the context of the Triple-Loop Learning mechanism and (ii) showing its application in a European project as well as including the toolbox developed in coherence with the elaborated framework. It does so by looking at the case of an ongoing Horizon 2020 project aiming to develop language-oriented technologies supporting the inclusion of migrants in Europe. In particular, the paper looks at Triple-Loop Learning as pushed by the reflection on three dimensions: the “what”, the “how”, and the “why” of collective actions in complex projects. The consequent learning process is expected to have transformational potentials at the individual, institutional/organizational, and (in the long term) up to the societal scale. By exploring the opportunities offered by the evaluation tools in the easyRights project, the study highlights the potential of nurturing a wider, arguably neglected as yet, learning space for understanding, engaging, and transforming real contexts and</w:t>
      </w:r>
    </w:p>
    <w:p>
      <w:pPr>
        <w:pStyle w:val="Heading2"/>
      </w:pPr>
      <w:r>
        <w:t>A ‘futures’ approach towards the wellbeing of future generations in Wales and beyond</w:t>
      </w:r>
    </w:p>
    <w:p>
      <w:r>
        <w:t>Original source (2020): https://doi.org/10.1093/eurpub/ckaa165.1289</w:t>
      </w:r>
    </w:p>
    <w:p>
      <w:r>
        <w:t>Original wording (abstract; indexed_source_text_not_full_document_verified): It is not about predicting the future but is about developing alternative futures or scenarios and using them to inform how best to move towards the preferred future. This Act has been globally recognised as a unique sustainable development legislation, putting Wales at the forefront of creating a different future for generations to come.</w:t>
      </w:r>
    </w:p>
    <w:p>
      <w:r>
        <w:t>POSSIBLE 2023: A Short Review about Predicting the Dew Point Pressure for Gas Condensate Reservoirs by Empirical Correlations — https://doi.org/10.5281/zenodo.8195449</w:t>
      </w:r>
    </w:p>
    <w:p>
      <w:r>
        <w:t>Shared claim-specific concepts: about, predicting, best, different; EU scope not established. This is a provisional connection, not an outcome finding.</w:t>
      </w:r>
    </w:p>
    <w:p>
      <w:r>
        <w:t>Available abstract (not full text): Abstract: The following essay compiles different correlations found in the literature to determine the dew point pressure of gas condensate reservoirs. An evaluation and comparison study of these methods is performed for 150 gas samples from different regions and literature sources. The tested models were: Shokir, Nemeth-Kennedy, Elsharkawy, Ahmadi, Kamari and Okpo Nnadozie. The before mentioned models were chosen because they are function of reservoir temperature, gas composition, molecular weight, and specific gravity of the heavy component (C7+). The best model representing the dew points pressures of the 150 gases samples in this study was statistically determined. Keywords: Reservoir temperature, dew point pressure, gas composition, molecular weight, specific gravity, retrograde condensation, gas condensate, heavy components. Title: A Short Review about Predicting the Dew Point Pressure for Gas Condensate Reservoirs by Empirical Correlations Author: Alaa Zeinab, Timur-Vasile Chis, Alejandro Osorio Pozo International Journal of Engineering Research and Reviews ISSN 2348-697X (Online) Vol. 11, Issue 3, July 2023 - September 2023 Page No: 31-40 Research Publish Journals Website: www.researchpublish.com Published Date: 29-July-2023 DOI: https://doi.org/10.5281/zenodo.8195450 Paper Download Link (Source) https://www.researchpublish.com/papers/a-short-review-about-predicting-the</w:t>
      </w:r>
    </w:p>
    <w:p>
      <w:r>
        <w:t>POSSIBLE 2023: The Why, When, What, and How About Predictive Continuous Integration: A Simulation-Based Investigation — https://doi.org/10.1109/tse.2023.3330510</w:t>
      </w:r>
    </w:p>
    <w:p>
      <w:r>
        <w:t>Shared claim-specific concepts: not, about, but; EU scope not established. This is a provisional connection, not an outcome finding.</w:t>
      </w:r>
    </w:p>
    <w:p>
      <w:r>
        <w:t>Available abstract (not full text): Continuous Integration (CI) enables developers to detect defects early and thus reduce lead time. However, the high frequency and long duration of executing CI have a detrimental effect on this practice. Existing studies have focused on using CI outcome predictors to reduce frequency. Since there is no reported project using predictive CI, it is difficult to evaluate its economic impact. This research aims to investigate predictive CI from a process perspective, including why and when to adopt predictors, what predictors to be used, and how to practice predictive CI in real projects. We innovatively employ Software Process Simulation to simulate a predictive CI process with a Discrete-Event Simulation (DES) model and conduct simulation-based experiments. We develop the Rollback-based Identification of Defective Commits (RIDEC) method to account for the negative effects of false predictions in simulations. Experimental results show that: 1) using predictive CI generally improves the effectiveness of CI, reducing time costs by up to 36.8% and the average waiting time before executing CI by 90.5%; 2) the time-saving varies across projects, with higher commit frequency projects benefiting more; and 3) predictor performance does not strongly correlate with time savings, but the precision of both failed and passed predictions should be paid more attention. Simulation-based evaluation</w:t>
      </w:r>
    </w:p>
    <w:p>
      <w:r>
        <w:t>POSSIBLE 2023: Physicians' perception about predictors of opioid abuse in patients with chronic non-cancer pain: a Delphi study — https://doi.org/10.3389/fpain.2023.1269018</w:t>
      </w:r>
    </w:p>
    <w:p>
      <w:r>
        <w:t>Shared claim-specific concepts: not, about, developing; EU scope not established. This is a provisional connection, not an outcome finding.</w:t>
      </w:r>
    </w:p>
    <w:p>
      <w:r>
        <w:t>Available abstract (not full text): Background: Opioids are being prescribed widely, and increasingly, for the treatment of chronic non-cancer pain (CNCP). However, several side effects are associated with mid- and long-term opioid use and, for certain patients, with the risk of problematic opioid use. The aim of this study is to know the perception of the physicians about which variables could be associated with increased risk of patients with CNCP developing a problem of abuse or misuse of the prescribed opioid medication. Methods: Twenty-nine physicians with experience in CNCP pain management and opioids prescription participated in a two-round Delphi study focused on the risk factors for opioid misuse and abuse. Results: The variables that reached consensus regarding their relationship with the increased risk of suffering a problem of opioid abuse or misuse were: (1) Experiencing pain on a daily basis, (2) previous use of high-dose opioids, (3) generalized anxiety, (4) hopelessness, (5) benzodiazepine intake, (6) use of opioids for reasons other than pain, (7) family problems, family instability or family breakdown, and (8) having access to several opioid prescribers. The only variable that reached consensus regarding it not being associated to a possible risk of abuse or misuse was having mild pain intensity (0-4 on a NRS-11). Conclusions: This study provides useful information that could help make decisions</w:t>
      </w:r>
    </w:p>
    <w:p>
      <w:r>
        <w:t>POSSIBLE 2022: ‘Confused about Predicting whether This Kid is Good or Not’ — https://doi.org/10.53088/eej.v1i2.556</w:t>
      </w:r>
    </w:p>
    <w:p>
      <w:r>
        <w:t>Shared claim-specific concepts: not, about, predicting; EU scope not established. This is a provisional connection, not an outcome finding.</w:t>
      </w:r>
    </w:p>
    <w:p>
      <w:r>
        <w:t>Available abstract (not full text): Backgrounds: The study analyzed the evaluation of social attitudes in the primary schools in Karanganyar Regency, Indonesia: honesty, discipline, responsibility, and tolerance. Methods: A qualitative descriptive technique with a case study design was employed in this investigation. There were eight recruits made up of both instructors and pupils. Observation and interview were the approaches utilized in this investigation. Data is evaluated through data reduction, presenting of data, and formulation of conclusions. Technical triangulation and source triangulation were evaluation procedures to evaluate the veracity of the data. Results: This study showed evaluations carried out; there were two evaluations for students and an evaluation for parents at Dabin I RA Kartini Elementary School. The obstacles that were complained about by the teachers were mostly about time constraints. Implications: The results of this study can be a reference for authors, teachers, and school principals in evaluating the assessment of social attitudes correctly Novelty: The present study revealed the evaluation of social attitudes assessment in primary school comprehensively.</w:t>
      </w:r>
    </w:p>
    <w:p>
      <w:r>
        <w:t>POSSIBLE 2021: What big data in health care can teach us about predictive policing — https://doi.org/10.4324/9780429265365-6</w:t>
      </w:r>
    </w:p>
    <w:p>
      <w:r>
        <w:t>Shared claim-specific concepts: about, forefront, come; EU scope not established. This is a provisional connection, not an outcome finding.</w:t>
      </w:r>
    </w:p>
    <w:p>
      <w:r>
        <w:t>Available abstract (not full text): The chapter examines how the established use of predictive analytics in one field—policing—can offer insights for its newer application in another—health care—and vice versa. Predictive policing has now been around for decades, employed by police departments across the United States and studied by scholars and policymakers alike. The use of predictive analytics in health care, by contrast, is only now starting to come to the forefront of the profession. Placing the fields side-by-side reveals substantial and important areas of overlap: the balance between privacy and innovation; how professional roles must adapt to new technologies; when reliance on big data changes from blessing to curse; how regulatory regimes should evolve; and many more. As we explore, to the degree that lessons can be learned from this dialogue, they go in both directions.</w:t>
      </w:r>
    </w:p>
    <w:p>
      <w:r>
        <w:t>POSSIBLE 2021: Communication processes about predictive genetic testing within high-risk breast cancer families: a two-phase study design — https://doi.org/10.1038/s41598-021-98737-8</w:t>
      </w:r>
    </w:p>
    <w:p>
      <w:r>
        <w:t>Shared claim-specific concepts: not, about, but; EU scope not established. This is a provisional connection, not an outcome finding.</w:t>
      </w:r>
    </w:p>
    <w:p>
      <w:r>
        <w:t>Available abstract (not full text): Abstract Background: The detection of a pathogenic variant in the BRCA1 or BRCA2 gene has medical and psychological consequences for both, affected mutation carriers and their relatives. This study analyzed the psychological impact of genetic testing and mutation-positive test result as well as associated family communication processes from the perspective of BRCA1 or BRCA2 mutation carriers and their family members.Methods: We conducted a two-phase study with explanatory sequential mixed methods design to understand the perspective of psychological process regarding genetic testing more efficiently. First, we analyzed a survey data of 79 carriers of a BRCA1 or BRCA2 mutation. Second, we conducted focus group interviews of 10 family members to deepen understanding of communication processes in high-risk families.Results: The average age of the BRCA1 or BRCA2 mutation carriers was 48 years, 58% had a history of cancer. The majority (64.6%) had general psychological distress independent of cancer diagnosis in the patients’ history. The point prevalence of depression was 16.9%. The main motives for undergoing genetic testing were desire for safety, prevention and risk assessment for the own children. The mutation carriers were satisfied with the decision to undergo genetic testing. Contrary to their subjective perception, the respondents' knowledge about those mutations was modera</w:t>
      </w:r>
    </w:p>
    <w:p>
      <w:pPr>
        <w:pStyle w:val="Heading2"/>
      </w:pPr>
      <w:r>
        <w:t>Advancing tools to promote health equity across European Union regions: the EURO-HEALTHY project</w:t>
      </w:r>
    </w:p>
    <w:p>
      <w:r>
        <w:t>Original source (2020): https://doi.org/10.1186/s12961-020-0526-y</w:t>
      </w:r>
    </w:p>
    <w:p>
      <w:r>
        <w:t>Original wording (abstract; indexed_source_text_not_full_document_verified): Three scenarios for 2030 were produced - (1) the 'Failing Europe' scenario (worst case/increasing inequalities), (2) the 'Sustainable Prosperity' scenario (best case/decreasing inequalities) and (3) the 'Being Stuck' scenario (the EU and Member States maintain the status quo). Finally, the policy appraisal exercise conducted in Lisbon illustrates which policies have higher potential to improve health and how their feasibility can change according to different scenarios.</w:t>
      </w:r>
    </w:p>
    <w:p>
      <w:r>
        <w:t>POSSIBLE 2026: POLISH POPULISM AND THE COUNCIL OF EUROPE: HOW POLAND IS FAILING TO ADHERE TO ITS CORE OBLIGATIONS AND WHAT IT MEANS — https://doi.org/10.52340/gjes.2022.01.06</w:t>
      </w:r>
    </w:p>
    <w:p>
      <w:r>
        <w:t>Shared claim-specific concepts: three, failing, policies; EU scope visible. This is a provisional connection, not an outcome finding.</w:t>
      </w:r>
    </w:p>
    <w:p>
      <w:r>
        <w:t>Available abstract (not full text): This paper explores the relationship between the Polish state and the Council of Europe (CoE). It examines the actions of the Law and Justice party and how such actions have affected the country’s relationship to the CoE, with particular reference to its three core values: Human Rights, Democracy, and the Rule of Law. It will determine that as a consequence of recent policies and laws the state is no longer adhering to its obligations.</w:t>
      </w:r>
    </w:p>
    <w:p>
      <w:r>
        <w:t>POSSIBLE 2025: European cloud computing policy: failing in Europe to succeed nationally? — https://doi.org/10.1080/01402382.2025.2491962</w:t>
      </w:r>
    </w:p>
    <w:p>
      <w:r>
        <w:t>Shared claim-specific concepts: failing, member, states; EU scope visible. This is a provisional connection, not an outcome finding.</w:t>
      </w:r>
    </w:p>
    <w:p>
      <w:r>
        <w:t>Available abstract (not full text): Why does Europe continue to take initiatives in the cloud computing sector that do not produce the desired results and instead seem to strengthen the position of non-European cloud providers? The existing literature suggests that functional and political obstacles prevent these initiatives from succeeding, but that European institutions and member states are constantly launching new initiatives to gradually succeed in their intention to move towards greater European integration and digital sovereignty. This article offers a different explanation: European member states are strategically using the progress made (albeit incomplete and unresolved) in the European context to protect and promote their own national cloud computing ecosystems. Instead of leading to integration, failure at the EU level is designed to lead to national success. The empirical analysis shows that EU certifications, as well as European industrial policy, are in fact primarily aimed at strengthening the bargaining position of European states and companies vis-à-vis the non-European cloud providers. Rather than excluding them from the European market, the new cloud initiatives enable individual states to negotiate better bilateral deals with the incumbents.</w:t>
      </w:r>
    </w:p>
    <w:p>
      <w:r>
        <w:t>POSSIBLE 2025: Controlling European money for failing banks: designing the European Stability Mechanism as banking union’s financial backstop — https://doi.org/10.1080/07036337.2025.2512579</w:t>
      </w:r>
    </w:p>
    <w:p>
      <w:r>
        <w:t>Shared claim-specific concepts: failing, member, states; EU scope visible. This is a provisional connection, not an outcome finding.</w:t>
      </w:r>
    </w:p>
    <w:p>
      <w:r>
        <w:t>Available abstract (not full text): The Single Resolution Mechanism (SRM) was designed to create a common framework for the recovery and resolution of ailing banks headquartered in the euro area. The Single Resolution Fund (SRF) was created to be this mechanism’s financial backbone and to effectively break the doom loop between banks and governments. However, SRF funds were widely seen as insufficient in the event of the need to resolve one or more large banks. In early 2021, euro area member states agreed to changes to the European Stability Mechanism (ESM) so that it could become the financial backstop for the SRF. This paper analyses the existing and proposed arrangements on the SRF backstops, using elements of the principal–agent model. We argue that the proposed use of the ESM as the SRF’s backstop would allow euro area national governments significant control and veto possibilities through the addition of the ‘permanence of the legal framework’ clause.</w:t>
      </w:r>
    </w:p>
    <w:p>
      <w:r>
        <w:t>POSSIBLE 2023: The bioeconomy in Germany: A failing political project? — https://doi.org/10.1016/j.ecolecon.2023.107783</w:t>
      </w:r>
    </w:p>
    <w:p>
      <w:r>
        <w:t>Shared claim-specific concepts: three, failing; EU scope visible. This is a provisional connection, not an outcome finding.</w:t>
      </w:r>
    </w:p>
    <w:p>
      <w:r>
        <w:t>Available abstract (not full text): Almost two decades ago, the OECD and the EU kickstarted the development of bioeconomy strategies. In Germany, like in many other countries, policy development gained momentum in the 2010s, resulting in three consecutive policy strategies to date. And yet the bioeconomy concept remains largely unknown to a wider public and there are hardly any tangible outcomes in terms of transforming the economy towards sustainability as proposed in these strategies. Against this background, the German bioeconomy is characterized in this article as a political project aiming at a technological fix to problems like supply security and climate change in order to stabilize the social order of neoliberalized capitalism. Evaluating the different dimensions of the project's characteristics as well as its impacts, however, we find that the bioeconomy neither succeeds in universalizing its ideas and attracting a broader range of societal actors to them, nor in delivering the promised pathway to a socio-ecological transformation. Still, the analysis also reveals successes of certain actors in securing funds and advancing their agendas related to the bioeconomy. It can be argued that the bioeconomy succeeded in this way in stabilizing the existing unsustainable social order.</w:t>
      </w:r>
    </w:p>
    <w:p>
      <w:r>
        <w:t>POSSIBLE 2022: Why is emotional data failing to produce more humane cities? Urban governance and the (interdisciplinary) problem of wellbeing — https://doi.org/10.1080/02723638.2021.2003589</w:t>
      </w:r>
    </w:p>
    <w:p>
      <w:r>
        <w:t>Shared claim-specific concepts: failing, policies; EU scope not established. This is a provisional connection, not an outcome finding.</w:t>
      </w:r>
    </w:p>
    <w:p>
      <w:r>
        <w:t>Available abstract (not full text): The city is often highlighted as the key space in which our emotions and personal mental health can be shaped. Globally, place-based approaches to promoting urban health and happiness have become commonplace. Initiatives and policies improving urban and regional wellbeing operate at a range of scales, from global alliances of NGOs and supranational health bodies, to regional, local, and community action. This paper critically reviews the spatial imaginaries and limited discipline-specific definitions of the urban and wellbeing present in data-driven approaches to urban emotions and wellbeing, and the potential effectiveness of the policy solutions which are proposed as a result. Responding to the very specific forms of interdisciplinarity advanced to date, the paper outlines how a dialogue between humanities perspectives on emotional cultures, and political economies of place-based wellbeing interventions can be advanced to address these limitations.</w:t>
      </w:r>
    </w:p>
    <w:p>
      <w:r>
        <w:t>POSSIBLE 2021: Early Detection of Failing Automotive Batteries Using Gas Sensors — https://doi.org/10.3390/batteries7020025</w:t>
      </w:r>
    </w:p>
    <w:p>
      <w:r>
        <w:t>Shared claim-specific concepts: produced, failing, case; EU scope not established. This is a provisional connection, not an outcome finding.</w:t>
      </w:r>
    </w:p>
    <w:p>
      <w:r>
        <w:t>Available abstract (not full text): Safety for automotive lithium-ion battery (LIB) applications is of crucial importance, especially for electric vehicle applications using batteries with high capacity and high energy density. In case of a defect inside or outside the cell, serious safety risks are possible including extensive heat generation, toxic and flammable gas generation, and consequently fire and explosion. New regulations (GB 38031-2020) require a warning for passengers at least five minutes before serious incidents. This regulation can hardly be fulfilled with state-of-the-art battery monitoring. In this study, gases produced during battery failure before and during a thermal runaway (TR) are investigated in detail and the use of different gas sensors as early detectors of battery incidents is tested and proposed. The response of several commercially available gas sensors is tested in four battery failure cases: unwanted electrolysis of voltage carrying parts, electrolyte vapor, first venting of the cell and the TR. The experiments show that battery failure detection with gas sensors is possible but depends highly on the failure case. The chosen gas sensor can detect H2 produced by unwanted electrolysis and electrolyte vapor and gases produced by degassing of state-of-the-art LIBs. The results may contribute significantly to failure detection and improvement of battery safety.</w:t>
      </w:r>
    </w:p>
    <w:p>
      <w:r>
        <w:t>POSSIBLE 2021: Influence of Aging on the Failing Behavior of Automotive Lithium-Ion Batteries — https://doi.org/10.3390/batteries7020023</w:t>
      </w:r>
    </w:p>
    <w:p>
      <w:r>
        <w:t>Shared claim-specific concepts: three, produced, failing; EU scope not established. This is a provisional connection, not an outcome finding.</w:t>
      </w:r>
    </w:p>
    <w:p>
      <w:r>
        <w:t>Available abstract (not full text): Lithium-ion batteries (LIBs) are a dominant state-of-the-art energy storage system and have importance in the automotive sector. Still, LIBs suffer from aging effects and serious hazards from failing batteries are possible. These failures can lead to exothermic chemical reactions inside the cell, ending up in thermal runaway (TR). TR has caused most electric vehicle (EV) fires. Since statistically most accidents with EVs happen after about one year of vehicle usage, in particular, the failing behavior of aged cells needs to be investigated. Little information is available in open literature about the influence of aging paths on the failing behavior and especially on the degassing behavior of large automotive LIBs. Therefore, this study investigates the influence of three different aging paths (cyclic at −10 °C and at 45 °C and calendric at 60 °C) on the thermal behavior, the vent gas emission, and the vent gas composition. The results show a clear effect of aging on the failing behavior. The aged cells showed a less violent failing reaction, reduced maximal temperatures, lower amount of produced gas, significantly lower amount of CO in the vent gas, and lower mass loss than fresh cells in the same overtemperature experiments. The results are valuable for the scientific and industrial community dealing with LIBs.</w:t>
      </w:r>
    </w:p>
    <w:p>
      <w:r>
        <w:t>POSSIBLE 2021: Failure and failing, an ethos of the (self) exiled? The case of the playwright William Saroyan — https://doi.org/10.4000/agon.8325</w:t>
      </w:r>
    </w:p>
    <w:p>
      <w:r>
        <w:t>Shared claim-specific concepts: failing, case, status; EU scope not established. This is a provisional connection, not an outcome finding.</w:t>
      </w:r>
    </w:p>
    <w:p>
      <w:r>
        <w:t>Available abstract (not full text): This article discusses the authorial persona of American novelist and playwright William Saroyan. It is argued that his approach to failure was an essential element of his ethos and a means of endorsing his role and his social status as a writer, reflecting his disapproval of utilitarianism and conventional definitions of success, equated with wealth and celebrity.</w:t>
      </w:r>
    </w:p>
    <w:p>
      <w:pPr>
        <w:pStyle w:val="Heading2"/>
      </w:pPr>
      <w:r>
        <w:t>Alpine Tundra Contraction under Future Warming Scenarios in Europe</w:t>
      </w:r>
    </w:p>
    <w:p>
      <w:r>
        <w:t>Original source (2020): https://doi.org/10.3390/atmos11070698</w:t>
      </w:r>
    </w:p>
    <w:p>
      <w:r>
        <w:t>Original wording (abstract; indexed_source_text_not_full_document_verified): We used 11 regional climate model simulations from EURO-CORDEX disaggregated at a one-kilometre grid size representing the RCP4.5 and RCP8.5 scenarios in the 1.5, 2 and 3 °C warming levels. In this case, the contraction in the Alps, Scandes and Pyrenees together is projected at between 44% and 48% of the present extent.</w:t>
      </w:r>
    </w:p>
    <w:p>
      <w:r>
        <w:t>POSSIBLE 2025: Assessing the Impact of Land Use Changes on Regional Climate over Europe — https://doi.org/10.3390/eesp2025035053</w:t>
      </w:r>
    </w:p>
    <w:p>
      <w:r>
        <w:t>Shared claim-specific concepts: regional, climate, simulations, euro-cordex; EU scope visible. This is a provisional connection, not an outcome finding.</w:t>
      </w:r>
    </w:p>
    <w:p>
      <w:r>
        <w:t>Available abstract (not full text): Anthropogenic alterations of the land surface through activities such as agriculture, forestry and urban development represent important human-induced forcings on the Earth’s climate system. This study, conducted in the framework of the UpClim project, employs the non-hydrostatic WRF-ARW v4.5.1 model forced by ERA5 reanalysis data to assess the impact of land use changes (LUCs) on the European climate. The study aims to quantify the effects of LUCs over the EURO-CORDEX domain at 0.11° resolution during 1980–1985 by comparing simulations with transient land use forcing against a control run with static land use.</w:t>
      </w:r>
    </w:p>
    <w:p>
      <w:r>
        <w:t>POSSIBLE 2025: Investigating the future urban climates of European cities using an ensemble of convection permitting regional climate models — https://doi.org/10.5194/egusphere-egu25-1307</w:t>
      </w:r>
    </w:p>
    <w:p>
      <w:r>
        <w:t>Shared claim-specific concepts: used, regional, climate, simulations, euro-cordex, rcp8; EU scope visible. This is a provisional connection, not an outcome finding.</w:t>
      </w:r>
    </w:p>
    <w:p>
      <w:r>
        <w:t>Available abstract (not full text): Urban areas modify natural land surfaces through the artificialization and sealing of surfaces, which has an impact on their exchanges of energy, water and momentum with the atmosphere. These modifications create specific meteorological conditions in cities, generally referred to as “urban climate”. The most notable – and most studied – climate effect of urbanisation is the increase in nighttime near surface air temperature, known as the Urban Heat Island (UHI).Future climate change projections are most often derived from Global Climate Models (GCMs), which are downscaled to the regional scale using statistical tools, or by limited-area regional climate models (RCMs). Because of their horizontal resolution, which often remains too coarse, RCMs cannot represent most urban areas adequately and, as a result, little is known about projected changes in UHIs in the future. A few studies have examined the projected evolution of UHIs in the context of climate change using different approaches ranging from GCMs and RCMs to high-resolution land surface models, but with little agreement between studies and great sensitivity to the city analyzed, its climate and, more particularly, the downscaling approach used.The latest generation of RCMs, known as Convection Permitting Regional Climate Models (CPMs), now reach horizontal resolutions of the order of a few kilometers, and can be coupled w</w:t>
      </w:r>
    </w:p>
    <w:p>
      <w:r>
        <w:t>POSSIBLE 2025: Regional climate projections using a deep-learning–based model-ranking and downscaling framework: application to European climate zones — https://doi.org/10.1007/s11356-025-36872-9</w:t>
      </w:r>
    </w:p>
    <w:p>
      <w:r>
        <w:t>Shared claim-specific concepts: regional, climate, present; EU scope visible. This is a provisional connection, not an outcome finding.</w:t>
      </w:r>
    </w:p>
    <w:p>
      <w:r>
        <w:t>Available abstract (not full text): Abstract Accurate regional climate projection calls for high-resolution downscaling of Global Climate Models (GCMs). This work presents a deep-learning-based multi-model evaluation and downscaling framework ranking 32 Coupled Model Intercomparison Project Phase 6 (CMIP6) models using a Deep Learning-TOPSIS (DL-TOPSIS) mechanism and refines outputs using advanced deep-learning models. Using nine performance criteria, five Köppen-Geiger climate zones—Tropical, Arid, Temperate, Continental, and Polar—are investigated over four seasons. While TaiESM1 and CMCC-CM2-SR5 show notable biases, ranking results show that NorESM2-LM, GISS-E2-1-G, and HadGEM3-GC31-LL outperform other models. Four models contribute to downscaling the top-ranked GCMs to 0.1 $$^\circ $$ ∘ resolution (Vision Transformer (ViT), Geospatial Spatiotemporal Transformer with Attention and Imbalance-Aware Network (GeoSTANet), CNN-LSTM, CNN-Long Short-Term Memory (ConvLSTM)). Effectively capturing temperature extremes (TXx, TNn), GeoSTANet achieves the highest accuracy (Root Mean Square Error (RMSE) = 1.57 $$^\circ $$ ∘ C, Kling-Gupta Efficiency (KGE) = 0.89, Nash-Sutcliffe Efficiency (NSE) = 0.85, Correlation (r) = 0.92), so reducing RMSE by 20% over ConvLSTM. CNN-LSTM and ConvLSTM do well in Continental and Temperate zones; ViT finds fine-scale temperature fluctuations difficult. These results confirm that multi-crite</w:t>
      </w:r>
    </w:p>
    <w:p>
      <w:r>
        <w:t>POSSIBLE 2025: Local Climate Risks in sight of realistic climate targets: Projecting Co-occurrence of Heat Extremes in Central Europe Using Downscaled CMIP6 and Regional Scenarios — https://doi.org/10.5194/ems2025-241</w:t>
      </w:r>
    </w:p>
    <w:p>
      <w:r>
        <w:t>Shared claim-specific concepts: regional, climate, warming, levels, case; EU scope visible. This is a provisional connection, not an outcome finding.</w:t>
      </w:r>
    </w:p>
    <w:p>
      <w:r>
        <w:t>Available abstract (not full text): Humanity will face the challenge of adapting to the impacts of global warming besides those that have already occurred, even if political ambitions are realized. Challenges differ regionally and include a wide range of weather extremes, which means not only the increasing frequency of dangerous “usual” climatic events but also unprecedented impacts outside of the climate system's natural variability. Many regions globally, including Central Europe, have already experienced changes in climate extremes higher than the internal variability of the climate system. The signal is shown to be especially robust in case of heat extremes, such as warm days or warm nights, with signals reflecting unusual or even unfamiliar conditions. Our analysis focuses on heat-related extreme events, including their co-occurrence. We use a targeted subset of CMIP6 models known for their robust performance over Europe, supplemented by high-resolution regional climate scenarios. We employed different downscaling techniques, including convection-permitting regional climate simulation, to evaluate the sensitivity of results to methodological choices and to better capture regional-to-local-scale climate signals. Rather than focusing on specific emissions scenario pathways, we analyse projections at different levels of global warming. This approach allows us to explore the manifestation of heat-related extrem</w:t>
      </w:r>
    </w:p>
    <w:p>
      <w:r>
        <w:t>POSSIBLE 2024: High-resolution LGM climate of Europe and the Alpine region using the regional climate model WRF — https://doi.org/10.5194/cp-20-449-2024</w:t>
      </w:r>
    </w:p>
    <w:p>
      <w:r>
        <w:t>Shared claim-specific concepts: used, regional, climate, case, between, present; EU scope visible. This is a provisional connection, not an outcome finding.</w:t>
      </w:r>
    </w:p>
    <w:p>
      <w:r>
        <w:t xml:space="preserve">Available abstract (not full text):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r>
        <w:t>POSSIBLE 2024: Assessing the effects of heat and droughts on forest-climate interactions in Europe using a regional climate model with an interactively coupled vegetation module — https://doi.org/10.5194/egusphere-egu24-10675</w:t>
      </w:r>
    </w:p>
    <w:p>
      <w:r>
        <w:t>Shared claim-specific concepts: regional, climate, simulations, euro-cordex, between; EU scope visible. This is a provisional connection, not an outcome finding.</w:t>
      </w:r>
    </w:p>
    <w:p>
      <w:r>
        <w:t>Available abstract (not full text):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r>
        <w:t>POSSIBLE 2024: Assessing the effects of heat and droughts on forest-climate interactions in Europe using a regional climate model with an interactively coupled vegetation module — https://doi.org/10.5281/zenodo.20128050</w:t>
      </w:r>
    </w:p>
    <w:p>
      <w:r>
        <w:t>Shared claim-specific concepts: regional, climate, simulations, euro-cordex, between; EU scope visible. This is a provisional connection, not an outcome finding.</w:t>
      </w:r>
    </w:p>
    <w:p>
      <w:r>
        <w:t>Available abstract (not full text): Forests play a pivotal role in the climate system by exchanging energy, water, and gases with the atmosphere. Through biogeochemical processes such as photosynthesis, respiration, and transpiration, forests heavily influence the carbon and water cycles. In particular, their capacity to sequester carbon through photosynthesis demonstrates their role as carbon sinks. Further, through biogeophysical processes forests influence the local and regional climate by determining local temperature and humidity distributions. However, forests not only influence the climate - they are also affected by it. Their vulnerability to climate extremes, particularly to heat and droughts, raises substantial challenges. Droughts induce water stress, affecting both biogeochemical and biogeophysical processes, at the soil-forest-atmosphere interface. Within the EU Horizon project OptFor-EU and in collaboration with the Euro-CORDEX Flagship Pilot Study LUCAS, we employ numerical models to assess the climate-forest interactions and to evaluate forest resilience in a changing climate. In this study, we examine the effects of heat and droughts on European forests and their climatic feedbacks in simulations using the regional climate model REMO2020 coupled with its interactive, mosaic-based vegetation module iMOVE. The coupling enables the exchange of crucial parameters on model timestep level, and therefor</w:t>
      </w:r>
    </w:p>
    <w:p>
      <w:r>
        <w:t>POSSIBLE 2024: Assessing the impact of transient land use and land cover changes in regional climate modeling using the LUCAS LUC dataset with a focus on forest cover changes in Europe — https://doi.org/10.5194/ems2024-893</w:t>
      </w:r>
    </w:p>
    <w:p>
      <w:r>
        <w:t>Shared claim-specific concepts: regional, climate, simulations, between; EU scope visible. This is a provisional connection, not an outcome finding.</w:t>
      </w:r>
    </w:p>
    <w:p>
      <w:r>
        <w:t>Available abstract (not full text):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r>
        <w:t>POSSIBLE 2023: High-resolution land use and land cover dataset for regional climate modelling: historical and future changes in Europe — https://doi.org/10.5194/essd-15-3819-2023</w:t>
      </w:r>
    </w:p>
    <w:p>
      <w:r>
        <w:t>Shared claim-specific concepts: used, regional, climate, simulations; EU scope visible. This is a provisional connection, not an outcome finding.</w:t>
      </w:r>
    </w:p>
    <w:p>
      <w:r>
        <w:t>Available abstract (not full text):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r>
        <w:t>POSSIBLE 2023: Did the Bronze Age deforestation of Europe affect its climate? A regional climate model study using pollen-based land cover reconstructions — https://doi.org/10.5194/cp-19-1507-2023</w:t>
      </w:r>
    </w:p>
    <w:p>
      <w:r>
        <w:t>Shared claim-specific concepts: used, regional, climate, simulations, representing, between; EU scope visible. This is a provisional connection, not an outcome finding.</w:t>
      </w:r>
    </w:p>
    <w:p>
      <w:r>
        <w:t>Available abstract (not full text): Abstract. This paper studies the impact of land use and land-cover change (LULCC) on the climate around 2 500 years ago (2.5 ka), a period of rapid transitions across the European landscape. One global climate model was used to force two regional climate models (RCMs). The RCMs used two land cover descriptions. The first was from a dynamical vegetation model representing potential land cover; the second a land cover description reconstructed from pollen data by statistical interpolation. The two different land covers enable us to study the impact of land cover on climate conditions. Since the difference in landscape openness between potential and reconstructed land cover is mostly due to LULCC, this can be taken as a measure of early anthropogenic effects on climate. The use of two RCMs enables us to study how sensitive climate models can be to land-cover changes. The results show that the simulated 2.5 ka climate was warmer than the simulated pre-industrial (PI) climate. The largest differences are seen in northern Europe, where the 2.5 ka climate is 2–4 °C warmer than PI. In summer, the difference between the simulated 2.5 ka and PI climates is smaller (0–3 °C), with the smallest differences in southern Europe. Differences in seasonal precipitation are mostly within ±10 %. In parts of northern Europe, the 2.5 ka climate is up to 30 % wetter in winter than that of PI. In summe</w:t>
      </w:r>
    </w:p>
    <w:p>
      <w:r>
        <w:t>POSSIBLE 2023: Review of "High resolution LGM climate over Europe and the Alpine region using the regional climate model WRF" by E. Russo and coauthors — https://doi.org/10.5194/egusphere-2023-1197-rc2</w:t>
      </w:r>
    </w:p>
    <w:p>
      <w:r>
        <w:t>Shared claim-specific concepts: used, regional, climate, case, between, present; EU scope visible. This is a provisional connection, not an outcome finding.</w:t>
      </w:r>
    </w:p>
    <w:p>
      <w:r>
        <w:t xml:space="preserve">Available abstract (not full text): Abstract. In this study we present a series of sensitivity experiments conducted for the Last Glacial Maximum (LGM, ~21000 years ago) over Europe using the regional climate Weather Research and Forecasting model (WRF). Using a 4 step 2-way nesting approach, we are able to reach a convection-permitting horizontal resolution over the inner part of the study area, covering Central Europe and the Alpine region. The main objective of the paper is to evaluate a model version including a series of new developments better suitable for the simulation of paleo-glacial time slices with respect to the ones employed in former studies. The evaluation of the model is conducted against newly available pollen-based reconstructions of the LGM European climate and takes into account the effect of two main sources of model uncertainty: a different height of continental glaciers at higher latitudes of the northern hemisphere and different land cover. Model results are in good agreement with evidence from the proxies, in particular for temperatures. Importantly, the consideration of different ensemble members for characterizing model uncertainty allows to increase the agreement of the model against the proxy reconstructions that would be obtained when considering a single model realization. The spread of the produced ensemble is relatively small for temperature, beside areas surrounding glaciers in </w:t>
      </w:r>
    </w:p>
    <w:p>
      <w:r>
        <w:t>POSSIBLE 2023: Supplementary material to "High resolution LGM climate over Europe and the Alpine region using the regional climate model WRF" — https://doi.org/10.5194/egusphere-2023-1197-supplement</w:t>
      </w:r>
    </w:p>
    <w:p>
      <w:r>
        <w:t>Shared claim-specific concepts: regional, climate; EU scope visible. This is a provisional connection, not an outcome finding.</w:t>
      </w:r>
    </w:p>
    <w:p>
      <w:r>
        <w:t>Available abstract (not full text): Unavailable</w:t>
      </w:r>
    </w:p>
    <w:p>
      <w:pPr>
        <w:pStyle w:val="Heading2"/>
      </w:pPr>
      <w:r>
        <w:t>Assessing the EU’s 2030 Climate and Energy Policy Framework: Incremental change toward radical transformation?</w:t>
      </w:r>
    </w:p>
    <w:p>
      <w:r>
        <w:t>Original source (2020): https://doi.org/10.1111/reel.12358</w:t>
      </w:r>
    </w:p>
    <w:p>
      <w:r>
        <w:t>Original wording (abstract; indexed_source_text_not_full_document_verified): Abstract This article provides a comprehensive overview of the changes to European Union (EU) climate and energy law brought about by the 2030 Climate and Energy Policy Framework. The article also explores the prospects for future change of the 2030 Framework towards more radical transformation in light of the European Green Deal and the ongoing COVID‐19 pandemic.</w:t>
      </w:r>
    </w:p>
    <w:p>
      <w:r>
        <w:t>POSSIBLE 2025: The Palestinian Refugee, Article 1D and Evolving Jurisprudence from Europe: a Practitioner’s Perspective — https://doi.org/10.1163/15718166-12340198</w:t>
      </w:r>
    </w:p>
    <w:p>
      <w:r>
        <w:t>Shared claim-specific concepts: abstract, article, provides, overview, law, framework; EU scope visible. This is a provisional connection, not an outcome finding.</w:t>
      </w:r>
    </w:p>
    <w:p>
      <w:r>
        <w:t>Available abstract (not full text): Abstract This article examines the evolving jurisprudence of the CJEU concerning Palestinian applicants for refugee status under Article 1D of the 1951 Refugee Convention, as implemented in European law through Article 12(1)(a) of the Qualification Directive. It explores the unique legal framework applicable to Palestinian refugees, whose protection needs are addressed outside the architecture of the Refugee Convention. The article provides a brief overview of Article 1D, its interpretation by the CJEU, and contrasts these judgments with the positions of the UNHCR. The article also addresses the implications of the deteriorating situation in Gaza, UNRWA’s operational challenges, and the potential cessation of its mandate.</w:t>
      </w:r>
    </w:p>
    <w:p>
      <w:r>
        <w:t>POSSIBLE 2024: Human trafficking and forced prostitution under article 4 of the European convention on human rights — https://doi.org/10.1017/glj.2023.98</w:t>
      </w:r>
    </w:p>
    <w:p>
      <w:r>
        <w:t>Shared claim-specific concepts: abstract, article, comprehensive, also; EU scope visible. This is a provisional connection, not an outcome finding.</w:t>
      </w:r>
    </w:p>
    <w:p>
      <w:r>
        <w:t>Available abstract (not full text): Abstract We discuss the issue of bringing human trafficking and forced prostitution within the purview of Article 4 of the European Convention on Human Rights. The judgment of the European Court of Human Rights in Rantsev v. Cyprus and Russia marked a turning point by classifying forced prostitution through human trafficking under Article 4. However, in the judgment in S.M. v. Croatia, the ECtHR further reinforced its view that human trafficking and forced prostitution constitute a violation of Article 4. We explain human trafficking and forced prostitution both theoretically and through a number of international legal acts. We then explain Article 4 of the Convention and provide a comprehensive analysis of the material and procedural guarantees against human trafficking and forced prostitution. We also comment on the positive obligations that the ECtHR set for Member States. The authors believe that, despite numerous criticisms, the ECtHR’s position is correct and that both human trafficking and forced prostitution violate the principles of democratic society. Therefore, victims must enjoy the protection afforded by Article 4 of the Human Rights Convention and other conventions if their life situation falls within their scope.</w:t>
      </w:r>
    </w:p>
    <w:p>
      <w:r>
        <w:t>POSSIBLE 2024: Early Marriage: A European Perspective — https://doi.org/10.1007/978-3-031-71598-3_12</w:t>
      </w:r>
    </w:p>
    <w:p>
      <w:r>
        <w:t>Shared claim-specific concepts: abstract, article, provides, overview; EU scope visible. This is a provisional connection, not an outcome finding.</w:t>
      </w:r>
    </w:p>
    <w:p>
      <w:r>
        <w:t>Available abstract (not full text): Abstract This article provides an overview and comparison of the findings of the contributions in this chapter and an outlook on possible European improvements. To protect the persons involved, the article argues against symbolic law-making and emphatically proposes a case-by-case approach.</w:t>
      </w:r>
    </w:p>
    <w:p>
      <w:r>
        <w:t>POSSIBLE 2023: Contesting Europe: Eurosceptic Dissent and Integration Polarization in the European Parliament — https://doi.org/10.1111/jcms.13448</w:t>
      </w:r>
    </w:p>
    <w:p>
      <w:r>
        <w:t>Shared claim-specific concepts: abstract, article, provides, comprehensive; EU scope visible. This is a provisional connection, not an outcome finding.</w:t>
      </w:r>
    </w:p>
    <w:p>
      <w:r>
        <w:t>Available abstract (not full text): Abstract This article provides a comprehensive analysis of Eurosceptic contestation within the legislative arena of the European Parliament (EP) from 2009 to 2019. Under what conditions do Eurosceptics vote differently from their Europhile peers? The literatures on European integration, party competition and policy types lead us to expect variation in Eurosceptic contestation across policy areas. Drawing on roll‐call votes in the EP, we introduce two new measures of such contestation: Eurosceptic dissent, that is, the extent to which Eurosceptics diverge from the Europhile plurality, and integration polarization, that is, the extent to which Eurosceptics and Europhiles oppose each other as cohesive camps. Our two indicators show that Eurosceptic contestation is particularly pronounced when the EP votes on cultural, distributive and constituent issues. When voting on redistributive policies, in contrast, dissent and polarization are curbed by national and ideological diversity.</w:t>
      </w:r>
    </w:p>
    <w:p>
      <w:r>
        <w:t>POSSIBLE 2023: Selective European Solidarity: How Recipient Country Characteristics Shape Support for International Redistribution in Europe — https://doi.org/10.1111/jcms.13506</w:t>
      </w:r>
    </w:p>
    <w:p>
      <w:r>
        <w:t>Shared claim-specific concepts: abstract, article, union, also; EU scope visible. This is a provisional connection, not an outcome finding.</w:t>
      </w:r>
    </w:p>
    <w:p>
      <w:r>
        <w:t>Available abstract (not full text): Abstract This article analyses how the characteristics of recipient countries shape individual support for international redistribution in Europe. Whilst a growing body of research has looked into the determinants of support for international redistribution, we argue that individuals may not be willing to redistribute in equal measure to any foreign country. We use data from a survey asking respondents in 14 European countries whether they think their governments should provide financial help to 35 [European Union (EU) and non‐EU] foreign countries in the event of a major crisis. We show that individuals are more likely to support helping foreign countries that speak the same language, are geographically close, have deeper trade links, are poorer than their own and are also EU members. Individuals who are more sceptical towards international redistribution are more likely to discriminate amongst foreign countries in their support for redistribution across borders.</w:t>
      </w:r>
    </w:p>
    <w:p>
      <w:r>
        <w:t>POSSIBLE 2022: Two Ways of Completing the European Fundamental Rights Union: Amendment to vs. Reinterpretation of Article 51 of the EU Charter of Fundamental Rights — https://doi.org/10.1017/cel.2022.5</w:t>
      </w:r>
    </w:p>
    <w:p>
      <w:r>
        <w:t>Shared claim-specific concepts: abstract, article, union, law, also; EU scope visible. This is a provisional connection, not an outcome finding.</w:t>
      </w:r>
    </w:p>
    <w:p>
      <w:r>
        <w:t>Available abstract (not full text): Abstract The aim of this Article is to show that the enforcement of Article 2 of the Treaty on European Union (‘TEU’) values vis-à-vis Member States could benefit from the application of the EU Charter of Fundamental Rights (‘CFR’) also in instances where the current interpretation of Article 51(1) CFR prevents this. This would be the case if the CFR were also applicable to purely domestic cases, eg—but not only—with regard to fundamental rights-relevant violations related to the values enshrined in Article 2 TEU. In this case, the European Court of Justice, which has already partly taken this path recently, could prevent the violation of core EU values. The most important historical challenge to those values in Europe today is the systematic dismantling of the rule of law and democracy in certain Member States. It is the very purpose of fundamental rights to provide answers to such dangers. When one speaks of the rule of law and democracy, one necessarily also means fundamental rights. This Article thus advocates an EU which perceives itself as a complete fundamental rights union. While the traditional interpretation of Article 51(1) CFR had a balanced division of competence between the EU and its Member States in mind, the disregard of Article 2 TEU values triggers a clausula rebus sic stantibus: the neat federal balance can only be upheld if both ends stick to the original p</w:t>
      </w:r>
    </w:p>
    <w:p>
      <w:r>
        <w:t>POSSIBLE 2022: Wind erosion in European agricultural landscapes: More than physics — https://doi.org/10.1002/pan3.10418</w:t>
      </w:r>
    </w:p>
    <w:p>
      <w:r>
        <w:t>Shared claim-specific concepts: abstract, article, climate; EU scope visible. This is a provisional connection, not an outcome finding.</w:t>
      </w:r>
    </w:p>
    <w:p>
      <w:r>
        <w:t>Available abstract (not full text): Abstract Wind erosion from agricultural land is an underrated and understudied environmental challenge in Europe. Its societal and policy relevance will likely increase in the near future due to climate change and associated increases in the frequency, severity and patterns of atmospheric events such as droughts. We review the research on this issue and find it to be fragmented, siloed and dominated by natural sciences, leaving important research gaps. The most important gaps that circumscribe a research agenda for the future include specific effects of future climate change on wind erosion, the relevance of wind erosion for public health and ecosystem functioning, farmers' behaviour affecting erosion risk and feedback between land management and environmental change, and appropriate policy approaches to address wind erosion risks. Social science contributions are thus required to make wind erosion research relevant for addressing the related societally most pressing questions. We provide a social–environmental systems perspective to highlight the potential of inter‐ and transdisciplinary research into wind erosion in times of climate change and the increasingly recognized need to transform agriculture towards more sustainability and climate resilience. Read the free Plain Language Summary for this article on the Journal blog.</w:t>
      </w:r>
    </w:p>
    <w:p>
      <w:r>
        <w:t>POSSIBLE 2022: European Union Litigation — https://doi.org/10.1515/ercl-2022-2049</w:t>
      </w:r>
    </w:p>
    <w:p>
      <w:r>
        <w:t>Shared claim-specific concepts: abstract, article, provides, overview, union, law; EU scope visible. This is a provisional connection, not an outcome finding.</w:t>
      </w:r>
    </w:p>
    <w:p>
      <w:r>
        <w:t>Available abstract (not full text): Abstract This article provides an overview of the most relevant cases decided by the Court of Justice of the European Union concerning contract law. The present issue covers the period between the beginning of January 2022 and the end of June 2022. Out of a total of 270 judgments decided in this period, 52 had a contract law dimension.</w:t>
      </w:r>
    </w:p>
    <w:p>
      <w:r>
        <w:t>POSSIBLE 2022: European Union Litigation — https://doi.org/10.1515/ercl-2022-2038</w:t>
      </w:r>
    </w:p>
    <w:p>
      <w:r>
        <w:t>Shared claim-specific concepts: abstract, article, provides, overview, union, law; EU scope visible. This is a provisional connection, not an outcome finding.</w:t>
      </w:r>
    </w:p>
    <w:p>
      <w:r>
        <w:t>Available abstract (not full text): Abstract This article provides an overview of the most relevant cases decided by the Court of Justice of the European Union concerning contract law. The present issue covers the period between the beginning of June 2021 and the end of December 2021. Out of a total of 329 judgments decided in this period, 55 had a contract law dimension.</w:t>
      </w:r>
    </w:p>
    <w:p>
      <w:r>
        <w:t>POSSIBLE 2021: The Integrated Carbon Observation System in Europe — https://doi.org/10.1175/bams-d-19-0364.1</w:t>
      </w:r>
    </w:p>
    <w:p>
      <w:r>
        <w:t>Shared claim-specific concepts: abstract, article, provides, climate, also; EU scope visible. This is a provisional connection, not an outcome finding.</w:t>
      </w:r>
    </w:p>
    <w:p>
      <w:r>
        <w:t xml:space="preserve">Available abstract (not full text):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r>
        <w:t>POSSIBLE 2021: European Union Litigation — https://doi.org/10.1515/ercl-2021-2028</w:t>
      </w:r>
    </w:p>
    <w:p>
      <w:r>
        <w:t>Shared claim-specific concepts: abstract, article, provides, overview, union, law; EU scope visible. This is a provisional connection, not an outcome finding.</w:t>
      </w:r>
    </w:p>
    <w:p>
      <w:r>
        <w:t>Available abstract (not full text): Abstract This article provides an overview of cases decided by the Court of Justice of the European Union concerning contract law. The present issue covers the period between the beginning of January 2021 and the end of May 2021.</w:t>
      </w:r>
    </w:p>
    <w:p>
      <w:r>
        <w:t>POSSIBLE 2021: Pandemic Politics: The European Union in Times of the Coronavirus Emergency — https://doi.org/10.1111/jcms.13303</w:t>
      </w:r>
    </w:p>
    <w:p>
      <w:r>
        <w:t>Shared claim-specific concepts: abstract, article, provides, union, law; EU scope visible. This is a provisional connection, not an outcome finding.</w:t>
      </w:r>
    </w:p>
    <w:p>
      <w:r>
        <w:t>Available abstract (not full text): Abstract This article provides an assessment of the EU institutions' response to the coronavirus pandemic. By building on a synthesis of the new intergovernmentalism and the emergency politics approach it contends that the effectiveness and legitimacy of de novo bodies like the European Stability Mechanism (ESM) and the European Investment Bank (EIB) have fallen prey to its intergovernmental decision‐making structure, whereas the ECB has proven to be more resilient. The European Commission as the traditional engine of European integration was able to fill the gap with its large‐scale recovery instrument termed ‘Next Generation EU’ and via the creation of a temporary loan‐based instrument to support national short‐term work schemes (SURE). The historic July 2020 European Council produced policy outputs such as the ‘emergency brake’ and the diluted ‘rule of law mechanism’ that have the potential to deepen the rift between polarized member states.</w:t>
      </w:r>
    </w:p>
    <w:p>
      <w:pPr>
        <w:pStyle w:val="Heading2"/>
      </w:pPr>
      <w:r>
        <w:t>Assessing the future medical cost burden for the European health systems under alternative exposure-to-risks scenarios</w:t>
      </w:r>
    </w:p>
    <w:p>
      <w:r>
        <w:t>Original source (2020): https://doi.org/10.1371/journal.pone.0238565</w:t>
      </w:r>
    </w:p>
    <w:p>
      <w:r>
        <w:t>Original wording (abstract; indexed_source_text_not_full_document_verified): Between 2014 and 2050, the overall healthcare spending is expected to increase by 0.8% annually under BAU. Economic burden of NCDs is modelled under three scenarios based on assumed future risk factors trends: business as usual (BAU); best case and worst case predictions (BCP and WCP).</w:t>
      </w:r>
    </w:p>
    <w:p>
      <w:r>
        <w:t>POSSIBLE 2025: Association between healthcare resources, healthcare systems, and population health in European countries — https://doi.org/10.1186/s12913-024-11743-0</w:t>
      </w:r>
    </w:p>
    <w:p>
      <w:r>
        <w:t>Shared claim-specific concepts: between, healthcare, factors; EU scope visible. This is a provisional connection, not an outcome finding.</w:t>
      </w:r>
    </w:p>
    <w:p>
      <w:r>
        <w:t xml:space="preserve">Available abstract (not full text): BACKGROUND: Recently, the demand for care has risen, while in contrast, healthcare resources remain limited. These resources include health expenditure, the number of physicians, nurses, and hospital beds. Many studies have revealed that healthcare resources are one of the most critical factors contributing to a population's health status. The healthcare system plays a key role in transforming these resources into health outcomes, which are widely used as indicators to measure population health and the performance of healthcare systems. Previous work has primarily investigated the relationship between health expenditure or the number of doctors and population health. However, the association between healthcare resources as a whole has yet to be widely examined. METHODS: This study utilized multilevel regression analysis to explore the association between healthcare resources, healthcare systems, and population health outcomes across 25 European countries. The healthcare systems in these countries are primarily categorized into two types: Beveridge-type and Bismarck-type. In addition to regression analysis, descriptive statistics were used to analyze the allocation patterns of healthcare resources. Welch's t-test was employed to compare the performance metrics of the Beveridge-type and Bismarck-type healthcare systems, providing a statistical basis for understanding differences </w:t>
      </w:r>
    </w:p>
    <w:p>
      <w:r>
        <w:t>POSSIBLE 2025: Exploring the Dichotomy: The Impact of Private Healthcare Investment on Public Healthcare Quality in Europe — https://doi.org/10.37355/kd-2025-09</w:t>
      </w:r>
    </w:p>
    <w:p>
      <w:r>
        <w:t>Shared claim-specific concepts: between, healthcare, factors; EU scope visible. This is a provisional connection, not an outcome finding.</w:t>
      </w:r>
    </w:p>
    <w:p>
      <w:r>
        <w:t>Available abstract (not full text): This essay probes the intricate relationship between private healthcare investment and public healthcare quality. With a significant rise in private healthcare investments in Europe, questions about their impact on public healthcare quality abound. Supporters argue that private investments can inspire competition and innovation, potentially benefiting public healthcare, whereas critics fear resource diversion that may weaken public healthcare and intensify health inequalities. By scrutinizing the interplay of market competition, demographic factors, and policy interventions, this essay illuminates how private healthcare investment shapes the public healthcare landscape in Europe, serving to either bolster or undermine it.</w:t>
      </w:r>
    </w:p>
    <w:p>
      <w:r>
        <w:t>POSSIBLE 2024: Unequal geographies of gender-affirming care: A comparative typology of trans-specific healthcare systems across Europe — https://doi.org/10.1016/j.socscimed.2024.117145</w:t>
      </w:r>
    </w:p>
    <w:p>
      <w:r>
        <w:t>Shared claim-specific concepts: between, overall, healthcare, based; EU scope visible. This is a provisional connection, not an outcome finding.</w:t>
      </w:r>
    </w:p>
    <w:p>
      <w:r>
        <w:t>Available abstract (not full text): RATIONALE: Gender-affirming healthcare can carry significant benefits for trans people. However, there are substantial geographical inequalities in the provision of and access to trans-specific healthcare across Europe. Comparative healthcare systems research has typically focused on universal services, neglecting provision which serves specific groups within populations (e.g., trans people). OBJECTIVE: This study aimed to develop a comparative typology of trans-specific healthcare systems across 28 European countries (the EU 27 plus the UK), and to examine country-level correlates which may influence or be influenced by these systems. METHODS: Using hierarchical and k-means cluster analysis, countries were classified into four types based on measures of trans-specific healthcare provision, regulation and access. Possible country-level correlates (including socio-political climate, medical outcomes, and the general healthcare system) were investigated. RESULTS AND DISCUSSION: The cluster analysis identified four clusters of trans-specific healthcare systems in Europe, characterized as: 1) Centralized conservative (highly centralized, extensive range of treatments, few trans-specific government policies); 2) Centralized reformist (highly centralized, extensive range of treatments, multiple trans-specific government policies); 3) Decentralized marketized (highly decentralized, mo</w:t>
      </w:r>
    </w:p>
    <w:p>
      <w:r>
        <w:t>POSSIBLE 2024: A survey-based assessment of attitudes and needs regarding tinnitus healthcare among patients and healthcare professionals in Europe — https://doi.org/10.3389/fauot.2024.1347283</w:t>
      </w:r>
    </w:p>
    <w:p>
      <w:r>
        <w:t>Shared claim-specific concepts: between, overall, healthcare, based; EU scope visible. This is a provisional connection, not an outcome finding.</w:t>
      </w:r>
    </w:p>
    <w:p>
      <w:r>
        <w:t>Available abstract (not full text): Despite good agreement of national guidelines for the assessment and treatment of tinnitus, there is still substantial variation regarding tinnitus-related healthcare across Europe. In contrast to previous work, which has mainly focussed on the perspective of healthcare professionals, we here report the results of separate web-based surveys conducted with clinicians and researchers as well as tinnitus patients. These surveys were devised to obtain information about their respective attitudes and needs with respect to tinnitus healthcare, and to reveal possible interdisciplinary inconsistencies among clinicians and researchers. We mainly targeted participants from Germany, Cyprus, and Greece, the countries in which the institutions of the researchers involved in this project are based. Results showed, firstly, that the treatment satisfaction of the patients was overall more negative than that of the clinicians and researchers, and that the patients' treatment satisfaction did not depend on the number of different treatments they had received. Secondly, patients as well as clinicians and researchers indicated that they were interested in learning more about a variety of tinnitus-related topics, especially treatment strategies, with no marked differences between clinicians from different professional disciplines. This suggests similar tinnitus-specific educational needs in patient</w:t>
      </w:r>
    </w:p>
    <w:p>
      <w:r>
        <w:t>POSSIBLE 2023: Racism against racialized migrants in healthcare in Europe: a scoping review — https://doi.org/10.1186/s12939-023-02014-1</w:t>
      </w:r>
    </w:p>
    <w:p>
      <w:r>
        <w:t>Shared claim-specific concepts: between, healthcare, three; EU scope visible. This is a provisional connection, not an outcome finding.</w:t>
      </w:r>
    </w:p>
    <w:p>
      <w:r>
        <w:t>Available abstract (not full text): BACKGROUND: Racism is frequently mentioned as a social determinant of migrants' health and a barrier to health services. However, in the European context, racism and its impact on racialized migrants' access to healthcare is remarkably under-researched. This scoping review makes a first step toward filling this void by mapping the existing literature on racial and ethnic discrimination against racialized migrants in healthcare in Europe, identifying evidence gaps, and offering recommendations for future research on this topic. METHODS: Following PRISMA guidelines, four databases were searched for empirical studies published in English between 1992 and 2022. Studies were included if they report findings on manifestations, experiences and/or impacts of racial or ethnic discrimination against racialized migrants in a healthcare setting in a European country. They were summarized by study characteristics (geographical scope, study design, research question and measures) and research findings were synthesized. RESULTS: Out of 2365 initial hits, 1724 records were included in the title/abstract-screening, 87 records in the full text-screening, and 38 records in the data extraction. For many country and healthcare contexts, evidence on racism in healthcare is lacking. Most studies apply an explorative qualitative research design; comparability and generalizability of research results a</w:t>
      </w:r>
    </w:p>
    <w:p>
      <w:r>
        <w:t>POSSIBLE 2023: Socio-demographic and regional differences in unmet healthcare needs among migrants in Europe — https://doi.org/10.1371/journal.pone.0285886</w:t>
      </w:r>
    </w:p>
    <w:p>
      <w:r>
        <w:t>Shared claim-specific concepts: between, overall, healthcare, factors; EU scope visible. This is a provisional connection, not an outcome finding.</w:t>
      </w:r>
    </w:p>
    <w:p>
      <w:r>
        <w:t>Available abstract (not full text): BACKGROUND: Different barriers that hinder migrants' access to healthcare may have detrimental effect on health but also contribute to health inequalities. Given the lack of evidence on unmet healthcare needs among European migrant population, the study aimed to analyse the demographic, socio-economic and health-related patterning of unmet healthcare needs among migrants in Europe. METHODS: European Health Interview Survey data from 2013-2015 covering 26 countries was used to analyse associations of individual-level factors and unmet healthcare needs among migrants (n = 12,817). Prevalences and 95% confidence intervals for unmet healthcare needs were presented for geographical regions and countries. Associations between unmet healthcare needs and demographic, socio-economic, and health indicators were analysed using Poisson regression models. RESULTS: The overall prevalence of unmet healthcare needs among migrants was 27.8% (95% CI 27.1-28.6) but the estimate varied substantially across geographical regions in Europe. Unmet healthcare needs due to cost or access were patterned by various demographic, socio-economic, and health-related indicators but higher prevalence of UHN were universally found for women, those with the lowest income, and poor health. CONCLUSIONS: While the high level of unmet healthcare needs illustrate migrants' vulnerability to health risks, the regional v</w:t>
      </w:r>
    </w:p>
    <w:p>
      <w:r>
        <w:t>POSSIBLE 2022: P1034: HEALTHCARE UTILIZATION OF PATIENTS WITH HYPEREOSINOPHILIC SYNDROME IN EUROPE — https://doi.org/10.1097/01.hs9.0000847004.53726.7b</w:t>
      </w:r>
    </w:p>
    <w:p>
      <w:r>
        <w:t>Shared claim-specific concepts: between, overall, healthcare, burden; EU scope visible. This is a provisional connection, not an outcome finding.</w:t>
      </w:r>
    </w:p>
    <w:p>
      <w:r>
        <w:t>Available abstract (not full text): Background: Hypereosinophilic syndrome (HES) is a rare group of blood disorders characterized by prolonged eosinophilia that can lead to tissue and organ damage. HES was previously considered to be largely idiopathic, but myeloid and lymphocytic variants are also now recognized. The disease may manifest in multiple organ systems, most commonly the heart, nervous system, gastrointestinal tract, skin, and lungs, due to eosinophilic infiltration. Treatment aims to reduce eosinophil counts, and the current standard of care consists of high-dose glucocorticosteroids, despite the risks associated with high doses or long exposure, and antineoplastic agents for those with more severe disease or who do not respond to steroids. Healthcare resource utilization (HCRU) in patients with HES is not well characterized, and data from clinical trials may not be representative of the general disease population encountered in real-world settings. Aims: To describe HES-related HCRU among a real-world cohort of patients with a confirmed diagnosis of HES in Europe. Methods: This retrospective chart review study included patients ≥6 years old with a confirmed diagnosis of HES and ≥1 year of follow-up data from index (first physician encounter: Jan 2015–Dec 2019). Chart review was conducted by physicians in 5 European countries (France, Germany, Italy, Spain, and the United Kingdom [UK]). Data from a s</w:t>
      </w:r>
    </w:p>
    <w:p>
      <w:r>
        <w:t>POSSIBLE 2022: Work schedule characteristics associated with sleep disturbance among healthcare professionals in Europe and South Korea: a report from two cross-sectional surveys — https://doi.org/10.1186/s12912-022-00974-3</w:t>
      </w:r>
    </w:p>
    <w:p>
      <w:r>
        <w:t>Shared claim-specific concepts: between, overall, healthcare, factors; EU scope visible. This is a provisional connection, not an outcome finding.</w:t>
      </w:r>
    </w:p>
    <w:p>
      <w:r>
        <w:t xml:space="preserve">Available abstract (not full text): BACKGROUND: Healthcare professionals worldwide are prone to sleep disturbance. Such sleep disturbance is associated with lower patient safety and quality of care. Therefore, this study aimed to identify the prevalence of sleep disturbance and determine the effect of work schedule characteristics on sleep disturbance among healthcare professionals in Europe and South Korea. METHODS: We used the sixth European Working Conditions Survey and the fifth Korean Working Conditions Survey for analyses. The study included 2285 healthcare professionals aged 18-65 years. Work schedule characteristics included shift work, night work, working hours per week, long work hours (i.e., more than 10 hours per shift), quick return to work, having to come to work on short notice, and changes in work schedules. A multiple logistic regression analysis was performed. RESULTS: The overall prevalence of sleep disturbance was 37.7%. The multivariate logistic regression model indicated that long work hours, quick return to, having to come to work on short notice, and changes in work schedules were significant factors associated with sleep disturbance among healthcare professionals. CONCLUSION: The findings revealed that several work schedule-related factors were associated with sleep disturbances in healthcare professionals in Europe and Korea. Institutions and policymakers should implement strategies and </w:t>
      </w:r>
    </w:p>
    <w:p>
      <w:r>
        <w:t>POSSIBLE 2022: Sex differences in the association between social capital and healthcare use—Results from the Survey of Health, Ageing and Retirement in Europe (SHARE) — https://doi.org/10.1111/hsc.13889</w:t>
      </w:r>
    </w:p>
    <w:p>
      <w:r>
        <w:t>Shared claim-specific concepts: between, overall, healthcare; EU scope visible. This is a provisional connection, not an outcome finding.</w:t>
      </w:r>
    </w:p>
    <w:p>
      <w:r>
        <w:t>Available abstract (not full text): Females and males frequently report substantial differences in social capital indicators and may use healthcare distinctly. Nevertheless, the potential effect of sex on the relation between social capital and healthcare use remains unclear. This study aims to quantify the association between different indicators of individuals' social capital and healthcare use, according to sex. Data were retrieved from the Sixth Wave of the Survey of Health, Ageing and Retirement in Europe (SHARE), which was conducted in 2015, and included 68,188 participants from 18 countries. Adjusted odds ratios (AOR) and 95% confidence intervals (95%CI) were computed using logistic regression. Overall, males and females with smaller social networks, those who live alone or with any other relatives besides their partners, and those whose first close confidant was a family member or a neighbour reported fewer contacts with medical doctors or nurses, as well as with dentists or dental hygienists. Amongst females, participation in educational or training courses (AOR = 1.67, 95%CI:1.40-2.00; p for interaction = 0.035) and sport, social or any other club (AOR = 1.79, 95%CI:1.58-2.02; p for interaction = 0.043) was associated with a more frequent contact with dentists or dental hygienists. Females who participated in volunteer or charity work (AOR = 0.76, 95%CI:0.64-0.91; p for interaction = 0.042) and politica</w:t>
      </w:r>
    </w:p>
    <w:p>
      <w:r>
        <w:t>POSSIBLE 2021: Access to healthcare for people aged 50+ in Europe during the COVID-19 outbreak — https://doi.org/10.1007/s10433-021-00631-9</w:t>
      </w:r>
    </w:p>
    <w:p>
      <w:r>
        <w:t>Shared claim-specific concepts: between, overall, healthcare; EU scope visible. This is a provisional connection, not an outcome finding.</w:t>
      </w:r>
    </w:p>
    <w:p>
      <w:r>
        <w:t>Available abstract (not full text): = 40,919) with institutional and epidemic-related country characteristics to investigate healthcare access for Europeans aged 50+ during the outbreak of COVID-19. We use a micro-macro approach to examine whether and to what extent barriers to accessing healthcare measured by reported unmet healthcare needs vary within and between countries. We consider various aspects of barriers and distinguish among: (1) respondents who forewent medical treatment because they were afraid of becoming infected with the Coronavirus; (2) respondents who had pre-scheduled medical appointments postponed by health providers due to the outbreak; and (3) respondents who tried to arrange a medical appointment but were denied one. Limited access to healthcare during the initial outbreak was more common for the occupationally active, women, the more educated and those living in urban areas. A bad economic situation, poor overall health and higher healthcare utilisation were robust predictors of unmet healthcare. People aged 50+ in countries of 'Old' Europe, countries with higher universal health coverage and stricter containment and closure policies were more likely to have medical services postponed. Policymakers should address the healthcare needs of older people with chronic health conditions and a poor socio-economic status who were made more vulnerable by this pandemic. In the aftermath of the healt</w:t>
      </w:r>
    </w:p>
    <w:p>
      <w:r>
        <w:t>POSSIBLE 2021: Venture capital healthcare investments and health care sector growth: A panel data analysis of Europe — https://doi.org/10.1016/j.bir.2021.06.008</w:t>
      </w:r>
    </w:p>
    <w:p>
      <w:r>
        <w:t>Shared claim-specific concepts: between, overall, healthcare, increase, trends; EU scope visible. This is a provisional connection, not an outcome finding.</w:t>
      </w:r>
    </w:p>
    <w:p>
      <w:r>
        <w:t>Available abstract (not full text): We examine the effect of venture capital investments on health sector growth, using a macro sample data from EVCA (now Invest Europe), World Bank, OECD and Eurostat databases covering 23 EU/EEA countries between 2000 and 2019. We follow the system GLS fixed effect and random effect approach, posit and find evidence that VC healthcare investments and age of VC industry increase healthcare sector growth in Europe. Life expectancy (one of the proxy variables for health sector growth) shows increasing trends in Europe. We also find that innovation, financial sector development, macroeconomic variables and healthcare infrastructure significantly increase health sector growth. We conjecture that VC investors may enjoy returns on investments which decipher into social returns to health sector outcomes. Our study makes justification for private-public partnership to support health sector growth. We recommend more funding support and inducement policy models tailor-made to reap benefits from overall health sector growth.</w:t>
      </w:r>
    </w:p>
    <w:p>
      <w:r>
        <w:t>POSSIBLE 2021: Access to Healthcare for Migrant Patients in Europe: Healthcare Discrimination and Translation Services — https://doi.org/10.3390/ijerph18157901</w:t>
      </w:r>
    </w:p>
    <w:p>
      <w:r>
        <w:t>Shared claim-specific concepts: healthcare, three, based, factors; EU scope visible. This is a provisional connection, not an outcome finding.</w:t>
      </w:r>
    </w:p>
    <w:p>
      <w:r>
        <w:t>Available abstract (not full text): BACKGROUND: Discrimination based on ethnicity and the lack of translation services in healthcare have been identified as main barriers to healthcare access. However, the actual experiences of migrant patients in Europe are rarely present in the literature. OBJECTIVES: The aim of this study was to assess healthcare discrimination as perceived by migrants themselves and the availability of translation services in the healthcare systems of Europe. METHODS: A total of 1407 migrants in 10 European Union countries (consortium members of the Mig-HealthCare project) were surveyed concerning healthcare discrimination, access to healthcare services, and need of translation services using an interviewer-administered questionnaire. Migrants in three countries were excluded from the analysis, due to small sample size, and the new sample consisted of N = 1294 migrants. Descriptive statistics and multivariable regression analyses were conducted to investigate the risk factors on perceived healthcare discrimination for migrants and refugees in the EU. RESULTS: Mean age was 32 (±11) years and 816 (63.26%) participants were males. The majority came from Syria, Afghanistan, Iraq, Nigeria, and Iran. Older migrants reported better treatment experience. Migrants in Italy (0.191; 95% CI [0.029, 0.352]) and Austria (0.167; 95% CI [0.012, 0.323]) scored higher in the Discrimination Scale to Medical Set</w:t>
      </w:r>
    </w:p>
    <w:p>
      <w:pPr>
        <w:pStyle w:val="Heading2"/>
      </w:pPr>
      <w:r>
        <w:t>Backcasting for desirable futures in Finnish forest-based firms</w:t>
      </w:r>
    </w:p>
    <w:p>
      <w:r>
        <w:t>Original source (2020): https://doi.org/10.1108/fs-01-2020-0005</w:t>
      </w:r>
    </w:p>
    <w:p>
      <w:r>
        <w:t>Original wording (abstract; indexed_source_text_not_full_document_verified): In these desirable futures, expanded businesses will be based on strong knowledge.</w:t>
      </w:r>
    </w:p>
    <w:p>
      <w:r>
        <w:t>POSSIBLE 2024: Technology‐Driven Business Ethics — https://doi.org/10.1002/9781394234028.ch20</w:t>
      </w:r>
    </w:p>
    <w:p>
      <w:r>
        <w:t>Shared claim-specific concepts: desirable, expanded, businesses; EU scope not established. This is a provisional connection, not an outcome finding.</w:t>
      </w:r>
    </w:p>
    <w:p>
      <w:r>
        <w:t>Available abstract (not full text): Business ethics is a subfield of applied ethics, which is in itself a major field of philosophy that examines ethical principles and moral values within the context of business operations. Due to the expanding impact of technology on business operations, the field of business ethics has expanded to include technology-driven ethical considerations. The chapter tries to examine potential theories of business ethics and their applicability within the context of technology-driven business operations. In the context of technology-driven business operations, theories of business ethics provide frameworks and perspectives for analyzing and addressing ethical challenges. The escalating significance of ethical implications in technology's evolution and its pervasive integration into business operations is imperative. This study also scrutinizes technology's influence on normative frameworks, challenges to maintaining ethical standards, and strategies for leveraging technology for business benefit. The chapter will show that businesses need proactive normative frameworks and strategies to deal with the moral dilemmas raised by technological advancements at the workplace. The author will try to posit that the incorporation of these ethical theories into the design and implementation of technology in the digital age can contribute to desirable advancements in businesses and their operation</w:t>
      </w:r>
    </w:p>
    <w:p>
      <w:r>
        <w:t>POSSIBLE 2022: ENTREPRENEURS' SKILL OF HANDLING TECHNOLOGY IN AGRO AND GENERAL BUSINESSES — https://doi.org/10.37231/apj.2022.5.1.312</w:t>
      </w:r>
    </w:p>
    <w:p>
      <w:r>
        <w:t>Shared claim-specific concepts: desirable, expanded, businesses, knowledge; EU scope not established. This is a provisional connection, not an outcome finding.</w:t>
      </w:r>
    </w:p>
    <w:p>
      <w:r>
        <w:t>Available abstract (not full text): The importance of technology cannot be overemphasized in an attainment of a good and a sustainable business. As a result, this work carefully shows the impacts and effects of entrepreneurship education and technology adopted by the entrepreneur in the running of a business. As presented in this paperwork, a systematic review method was used to investigate the relationship between entrepreneurship education and entrepreneurs' adequate use of technology in agro and general business. It revealed the efficacy of entrepreneurship education on an entrepreneur as it relates to the use of technology in business enterprise. Furthermore, this careful review provided a good understanding on entrepreneurship education, an entrepreneur’s skill of handling technology, reasons for handling technology by an entrepreneur and various technologies available for entrepreneurs. Against these backdrops, entrepreneurship education should be given maximum priority for a desirable output. More so, this study is of great importance, especially as applies to the tertiary institutions where knowledge on entrepreneurship education in relation to entrepreneurs and professional handling of technology would be expanded and dug deep for effective business application. Keywords: Agro; Entrepreneurs; General Business; Skill of Handling; Technology</w:t>
      </w:r>
    </w:p>
    <w:p>
      <w:r>
        <w:t>POSSIBLE 2021: Social entrepreneurial intentions and motivational drivers among business students — https://doi.org/10.51680/ev.34.1.4</w:t>
      </w:r>
    </w:p>
    <w:p>
      <w:r>
        <w:t>Shared claim-specific concepts: desirable, expanded, based; EU scope not established. This is a provisional connection, not an outcome finding.</w:t>
      </w:r>
    </w:p>
    <w:p>
      <w:r>
        <w:t>Available abstract (not full text): Purpose: The paper is aimed at determining young people's motives and views related to entrepreneurship, in particular social entrepreneurship. To this purpose, a survey was conducted at the School of Economics and Business in Sarajevo to explore the motivations of the student population to pursue entrepreneurship, with a focus on social entrepreneurship and their intentions to engage in it. The survey examined socio-political, situational and personal factors and their direct and mediating effect on the intention to engage in social entrepreneurship. Methodology: The research model and methodology presented in the paper are based on the process theory of motivation and the model used by Barton et al. (2018) and by Krueger (1993). The model elaborated by this paper’s authors is expanded and redefined so as to take account of socio-political factors and the respondents’ views of them. Results: The research revealed a limiting and de-stimulating effect of environmental factors on the intention to start a business, as well as the significance of situational and personal factors when deciding on engaging in social entrepreneurship. Conclusion: The conducted research revealed that young people in Bosnia and Herzegovina understand the significance of social entrepreneurship for society at large, as well as for themselves, i.e. the sense of fulfilment it could bring. The results could</w:t>
      </w:r>
    </w:p>
    <w:p>
      <w:pPr>
        <w:pStyle w:val="Heading2"/>
      </w:pPr>
      <w:r>
        <w:t>Brexit and Its Impact on Poland’s Policy Towards Europe – An Attempt to Forecast</w:t>
      </w:r>
    </w:p>
    <w:p>
      <w:r>
        <w:t>Original source (2020): https://doi.org/10.33067/se.2.2020.5</w:t>
      </w:r>
    </w:p>
    <w:p>
      <w:r>
        <w:t>Original wording (abstract; indexed_source_text_not_full_document_verified): This article presents three scenarios for the development of Poland's European policy, i.e. the British scenario, a conservative scenario and a pro-European scenario. A study shows the political consequences of the UK’s exit from the European Union alog with the potential scenarios of Poland’s European policy in the next 2–3 years.</w:t>
      </w:r>
    </w:p>
    <w:p>
      <w:r>
        <w:t>POSSIBLE 2026: Freedom of Expression and speech threatened in Europe — https://doi.org/10.52224/21845263/rev45a4</w:t>
      </w:r>
    </w:p>
    <w:p>
      <w:r>
        <w:t>Shared claim-specific concepts: article, presents, three, political; EU scope visible. This is a provisional connection, not an outcome finding.</w:t>
      </w:r>
    </w:p>
    <w:p>
      <w:r>
        <w:t>Available abstract (not full text): Freedom of expression and speech were one of the most important assets of the Western liberal democracies. Europe was proud to expand these values around the world. However, in recent years, they have been deteriorating. The present text raises the question on why freedom of expression and speech are losing ground. The text aims to study their decline in Europe and also in the UK in the last decade. The text is guided by the assumption that they have been limited by political elites and corporate interests. The article is divided in three sections. The first presents a brief historical debate. The second offers some examples that expose the attacks on freedom of expression and speech in Europe. The third describes the intrinsic relation between freedom of expression and democracy and their mutual interconnection. Finally, some comments are offered to wrap up the discussion.</w:t>
      </w:r>
    </w:p>
    <w:p>
      <w:r>
        <w:t>POSSIBLE 2026: Differentiating early European psychobiography—An Eastern European contribution. — https://doi.org/10.1037/hop0000317</w:t>
      </w:r>
    </w:p>
    <w:p>
      <w:r>
        <w:t>Shared claim-specific concepts: article, presents, three; EU scope visible. This is a provisional connection, not an outcome finding.</w:t>
      </w:r>
    </w:p>
    <w:p>
      <w:r>
        <w:t>Available abstract (not full text): Psychobiography of the early 20th century generally developed in Western Europe and primarily in the spirit of psychoanalysis. The history of this discipline and its early works creates a rather monolithic picture that is absent of representatives of Eastern countries or alternative theories. Articles, monographs, and scientific journals constantly construct their own (i.e., Western) world of research in this field. Using the example of one of the psychological-philosophical schools of Eastern Europe, the Lvov-Warsaw School, I attempt to demonstrate that its representatives conducted original psychobiographical analyses not only in light of psychoanalysis but also developed their own theory, providing them with a unique conceptual framework, categories, and possible explanations of human behavior. The article presents three main psychobiographies: Socrates, Jesus of Nazareth, and Taras Shevchenko-an icon of Ukrainian culture. The conclusions require a broader consideration of research in this field at the beginning of the 20th century and a closer look at the contributions of Eastern European psychologists. Eastern European psychology offered (and still offers) interesting propositions, which, I believe, can enrich the conceptual instrumentarium of psychobiography. (PsycInfo Database Record (c) 2026 APA, all rights reserved).</w:t>
      </w:r>
    </w:p>
    <w:p>
      <w:r>
        <w:t>POSSIBLE 2025: ANALYSIS OF CAMPING RESORTS IN EUROPE: A LAYOUT AND INFRASTRUCTURE STUDY — https://doi.org/10.7862/rb.2025.2</w:t>
      </w:r>
    </w:p>
    <w:p>
      <w:r>
        <w:t>Shared claim-specific concepts: article, presents, three; EU scope visible. This is a provisional connection, not an outcome finding.</w:t>
      </w:r>
    </w:p>
    <w:p>
      <w:r>
        <w:t>Available abstract (not full text): Camping has become a popular leisure activity since the dawn of the modern motor vehicle. It is associated with an increasing interest in contact with nature and a commitment to discovering cultural diversity. This article presents an analysis of the urban form of camping centres in Europe. The principles of their planning, composition, layout and character will be discussed. The article analyses three different centres within Europe: Ca'Savio in Italy, Cikat in Croatia and Arena in Hungary. The selected examples illustrate the variety of urban forms of camping centres. The article presents and compares their common features, which were formulated on the basis of in situ observations.</w:t>
      </w:r>
    </w:p>
    <w:p>
      <w:r>
        <w:t>POSSIBLE 2025: The Three Seas Initiative as a Component of India–Middle East–Europe Economic Corridor (IMEC) — https://doi.org/10.35757/stp.2025.53.1.11</w:t>
      </w:r>
    </w:p>
    <w:p>
      <w:r>
        <w:t>Shared claim-specific concepts: article, presents, three, potential; EU scope visible. This is a provisional connection, not an outcome finding.</w:t>
      </w:r>
    </w:p>
    <w:p>
      <w:r>
        <w:t>Available abstract (not full text): The article presents the Three Seas Initiative (3SI) as a key component of the India–Middle East–Europe Economic Corridor (IMEC). It analyses the strategic role of transport infrastructure in Central and Eastern Europe amid shifting geopolitical dynamics. The study explores the impact of the pandemic, the war in Ukraine, and supply chain disruptions on the need for alternative trade routes. Special attention is given to Adriatic and Aegean ports such as Koper, Rijeka, and Thessaloniki as potential European endpoints of IMEC, highlighting their links to 3SI infrastructure and the broader TEN-T network. In this article IMEC and 3SI are portrayed not only as a logistics projects, but as a geopolitical tool reshaping regional alliances. The implementation of both may serve as a counterbalance to China’s Belt and Road Initiative by fostering secure and democratic trade connectivity across continents. Furthermore, the 3SI, supported by southern ports and expanding infrastructure along the north–south axis, may significantly improve access to the northernmost EU countries and Scandinavia, enhancing European cohesion and connectivity. This paper also emphasizes the dual-use nature of infrastructure investments, supporting both economic development and military mobility.</w:t>
      </w:r>
    </w:p>
    <w:p>
      <w:r>
        <w:t>POSSIBLE 2025: The Silver Economy in the European Perspective — https://doi.org/10.37075/isa.2025.2.04</w:t>
      </w:r>
    </w:p>
    <w:p>
      <w:r>
        <w:t>Shared claim-specific concepts: article, presents, three, exit; EU scope visible. This is a provisional connection, not an outcome finding.</w:t>
      </w:r>
    </w:p>
    <w:p>
      <w:r>
        <w:t>Available abstract (not full text): This article presents a comprehensive interdisciplinary analysis of demographic agеing in Europe through the analytical lens of the so-called ‘silver economy’, a conceptual paradigm that reframes ageing not as a unilateral social challenge but as a strategic economic asset. The study follows the evolving discourse surrounding older adults, shifting from perceptions of dependency and care to recognition of their agency as consumers, innovators, and contributors to productivity in the context of societal development. Drawing on up-to-date demographic indicators and EU-level policy documents, the paper systematizes three core dimensions through which the silver economy intersects with human well-being: late-life labor force participation, integrated social and healthcare services, and the infrastructure for digital and territorial connectivity. The findings suggest that the combination of policies aimed at extending working life – including raising the retirement age, promoting lifelong learning and reducing early exit from the labour market — significantly enhances the active social role of older individuals. Currently, the silver economy acts as a driver of innovation in healthcare, assistive technologies, and digital services, improving the quality of life of older people and opening new markets. The paper concludes that a successful transformation of demographic trends into su</w:t>
      </w:r>
    </w:p>
    <w:p>
      <w:r>
        <w:t>POSSIBLE 2024: Artificial Intelligence Across Europe: A Study on Awareness, Attitude and Trust — https://doi.org/10.1109/tai.2024.3461633</w:t>
      </w:r>
    </w:p>
    <w:p>
      <w:r>
        <w:t>Shared claim-specific concepts: article, presents, three, poland; EU scope visible. This is a provisional connection, not an outcome finding.</w:t>
      </w:r>
    </w:p>
    <w:p>
      <w:r>
        <w:t>Available abstract (not full text): This article presents the results of an extensive study investigating the opinions on artificial intelligence (AI) of a sample of 4006 European citizens from eight distinct countries (France, Germany, Italy, Netherlands, Poland, Romania, Spain, and Sweden). The aim of the study is to gain a better understanding of people's views and perceptions within the European context, which is already marked by important policy actions and regulatory processes. To survey the perceptions of the citizens of Europe, we design and validate a new questionnaire (PAICE) structured around three dimensions: people's awareness, attitude, and trust. We observe that while awareness is characterized by a low level of self-assessed competency, the attitude toward AI is very positive for more than half of the population. Reflecting on the collected results, we highlight implicit contradictions and identify trends that may interfere with the creation of an ecosystem of trust and the development of inclusive AI policies. The introduction of rules that ensure legal and ethical standards, along with the activity of high-level educational entities, and the promotion of AI literacy are identified as key factors in supporting a trustworthy AI ecosystem. We make some recommendations for AI governance focused on the European context and conclude with suggestions for future work.</w:t>
      </w:r>
    </w:p>
    <w:p>
      <w:r>
        <w:t>POSSIBLE 2023: EU enlargement in wartime Europe: three dimensions and scenarios — https://doi.org/10.1080/21582041.2023.2289661</w:t>
      </w:r>
    </w:p>
    <w:p>
      <w:r>
        <w:t>Shared claim-specific concepts: article, presents, three, union; EU scope visible. This is a provisional connection, not an outcome finding.</w:t>
      </w:r>
    </w:p>
    <w:p>
      <w:r>
        <w:t>Available abstract (not full text): The enlargement policy of the European Union from 2013 to 2022 was not only ineffective, but also lacked an active enlargement drive.Russia's war in Ukraine changed the equation of costs and benefits in favour of new members and gave the EU a geopolitical incentive to restart enlargement.Enlargement is not only a geopolitical strategy, however: it also requires successful state-building efforts in the neighbourhood.Moreover, it is closely interlinked with the EU's internal development.This article analyses the current evolution of the EU enlargement policy as it emerges from the interplay of geopolitics, state-building challenges, and the EU's internal dynamics.Drawing on original interviews with officials, the paper also presents three scenarios for the coming decade.The paper concludes that to achieve its foreign policy objectives in the neighbourhood, the EU cannot continue 'business as usual' with enlargement.On the contrary, the policy of 2013-2022 needs to be replaced by a more effective model that encourages candidate countries to undertake genuine efforts towards democratic development.At the same time, reforms and compromises are required at the EU's end.Finally, the EU needs to better address the security needs of the applicant countries already during the accession process.</w:t>
      </w:r>
    </w:p>
    <w:p>
      <w:r>
        <w:t>POSSIBLE 2023: A Lexicographic Practice Map of Europe — https://doi.org/10.1093/ijl/ecad023</w:t>
      </w:r>
    </w:p>
    <w:p>
      <w:r>
        <w:t>Shared claim-specific concepts: article, presents, three; EU scope visible. This is a provisional connection, not an outcome finding.</w:t>
      </w:r>
    </w:p>
    <w:p>
      <w:r>
        <w:t>Available abstract (not full text): Abstract This article presents the combined results of three international surveys that were carried out in the context of the Horizon 2020 European Lexicographic Infrastructure project (ELEXIS). The aim of these surveys was to gain more insight into lexicographic practices and the needs of lexicographers in Europe. The surveys were delivered via online platforms. Based on the combined results, we sketch a map of lexicographic practices in Europe, both for born-digital and retrodigitized resources, analyze current needs in terms of tools, functionalities and training, and identify emerging trends that will affect lexicography in the short and long term.</w:t>
      </w:r>
    </w:p>
    <w:p>
      <w:r>
        <w:t>POSSIBLE 2022: Abortion: legislation and statistics in Europe — https://doi.org/10.1080/13625187.2022.2057469</w:t>
      </w:r>
    </w:p>
    <w:p>
      <w:r>
        <w:t>Shared claim-specific concepts: article, presents, three, union; EU scope visible. This is a provisional connection, not an outcome finding.</w:t>
      </w:r>
    </w:p>
    <w:p>
      <w:r>
        <w:t>Available abstract (not full text): Objective: The Parliamentary Assembly invited the member states of the Council of Europe to ‘guarantee women's effective exercise of their right of access to a safe and legal abortion’. While abortion legislation and statistics give an impression of the legislative, cultural, and religious views of the societies and the socio-economic health of the female population, only one study conducted in 2011 looked into the current legislation and trends in terminations of pregnancy in the European Union.Materials and Methods: From January 2017 to December 2018, a group of experts, the authors of the present article, liaised with colleagues practising in 32 European countries to collect data on abortion legislation and statistics using three different questionnaires.Results: The article presents the results of this initiative and compares the status quo and recent trends in abortion legislation and statistics across Europe.Conclusions: The European legislations are still very heterogenous and abortion rates vary widely between countries, confirming that laws do not correlate with abortion rates. This compilation of data, also available on a website (www.abort-report.eu), may help to change laws to better meet the needs of women who decided to have an abortion as a solution to the underlying problem of an unwanted pregnancy.</w:t>
      </w:r>
    </w:p>
    <w:p>
      <w:r>
        <w:t>POSSIBLE 2022: The Current Status and Work of Three Rs Centres and Platforms in Europe* — https://doi.org/10.1177/02611929221140909</w:t>
      </w:r>
    </w:p>
    <w:p>
      <w:r>
        <w:t>Shared claim-specific concepts: article, presents, three; EU scope visible. This is a provisional connection, not an outcome finding.</w:t>
      </w:r>
    </w:p>
    <w:p>
      <w:r>
        <w:t>Available abstract (not full text): The adoption of Directive 2010/63/EU on the protection of animals used for scientific purposes has given a major push to the formation of Three Rs initiatives in the form of centres and platforms. These centres and platforms are dedicated to the so-called Three Rs, which are the Replacement, Reduction and Refinement of animal use in experiments. ATLA’s 50th Anniversary year has seen the publication of two articles on European Three Rs centres and platforms. The first of these was about the progressive rise in their numbers and about their founding history; this second part focuses on their current status and activities. This article takes a closer look at their financial and organisational structures, describes their Three Rs focus and core activities (dissemination, education, implementation, scientific quality/translatability, ethics), and presents their areas of responsibility and projects in detail. This overview of the work and diverse structures of the Three Rs centres and platforms is not only intended to bring them closer to the reader, but also to provide role models and show examples of how such Three Rs centres and platforms could be made sustainable. The Three Rs centres and platforms are very important focal points and play an immense role as facilitators of Directive 2010/63/EU ‘on the ground’ in their respective countries. They are also invaluable for the wide di</w:t>
      </w:r>
    </w:p>
    <w:p>
      <w:r>
        <w:t>POSSIBLE 2022: The Regional Development Trap in Europe — https://doi.org/10.1080/00130095.2022.2080655</w:t>
      </w:r>
    </w:p>
    <w:p>
      <w:r>
        <w:t>Shared claim-specific concepts: article, political; EU scope visible. This is a provisional connection, not an outcome finding.</w:t>
      </w:r>
    </w:p>
    <w:p>
      <w:r>
        <w:t>Available abstract (not full text):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r>
        <w:t>POSSIBLE 2022: DESIGNING SPACE IN MUSEUM FACILITIES IN EUROPE — https://doi.org/10.21005/pif.2022.49.b-03</w:t>
      </w:r>
    </w:p>
    <w:p>
      <w:r>
        <w:t>Shared claim-specific concepts: article, presents, three; EU scope visible. This is a provisional connection, not an outcome finding.</w:t>
      </w:r>
    </w:p>
    <w:p>
      <w:r>
        <w:t>Available abstract (not full text): The article presents research on the conscious shaping of museum spaces in Europe. The research focused on elements of architectural composition and spatial treatments experienced on three levels: pre-narratives, protonarrations and procedural narratives of the unconscious (Dimaggio, Semerari, 2001, 14: 1-23), as based solely on past experiences. sensual user. Selected elements influencing the user were divided into three categories: causing action, focusing attention or causing a reaction, and building awareness of space.</w:t>
      </w:r>
    </w:p>
    <w:p>
      <w:pPr>
        <w:pStyle w:val="Heading2"/>
      </w:pPr>
      <w:r>
        <w:t>Brexit deal and demographics drag on long‐term outlook</w:t>
      </w:r>
    </w:p>
    <w:p>
      <w:r>
        <w:t>Original source (2020): https://doi.org/10.1111/1468-0319.12461</w:t>
      </w:r>
    </w:p>
    <w:p>
      <w:r>
        <w:t>Original wording (abstract; indexed_source_text_not_full_document_verified): This will result in damage to trade and lower FDI inflows. ▀ We now expect potential output growth to slow to 1.4% a year from 2020–2030 down from 1.6% a year from 2010–2020. In the two decades after 2030 we expect the drag from Brexit‐related effects to fade, but weaker contributions in labour supply and human capital will cut output growth to 1.2% a year. ▀ Demographics have been a key contributor to potential output growth over the past 30 years.</w:t>
      </w:r>
    </w:p>
    <w:p>
      <w:r>
        <w:t>POSSIBLE 2026: Damage — https://doi.org/10.1093/he/9780198949695.003.0035</w:t>
      </w:r>
    </w:p>
    <w:p>
      <w:r>
        <w:t>Shared claim-specific concepts: result, damage, trade, potential, related; EU scope not established. This is a provisional connection, not an outcome finding.</w:t>
      </w:r>
    </w:p>
    <w:p>
      <w:r>
        <w:t>Available abstract (not full text): This chapter examines one element that a claimant must prove to sustain a passing off action: the requirement that they have suffered, or are likely to suffer, damage as a result of the defendant’s misrepresentation. It first considers five types of damage that have been recognized by the courts in connection with misrepresentation: loss of existing trade and profits; loss of potential trade and profits; loss of licensing revenues; damage to reputation; and dilution. It then discusses the notion of extended passing off and relevant modifications to its constituent elements: goodwill, misrepresentation, and damage. It also looks at the related principles of unfair competition prevention and image or publicity rights protection.</w:t>
      </w:r>
    </w:p>
    <w:p>
      <w:r>
        <w:t>POSSIBLE 2023: A Study on Trade Damage and Trade Adjustment Assistance(TAA) — https://doi.org/10.18104/kalc.2023.38.1.31</w:t>
      </w:r>
    </w:p>
    <w:p>
      <w:r>
        <w:t>Shared claim-specific concepts: damage, trade, related, but; EU scope not established. This is a provisional connection, not an outcome finding.</w:t>
      </w:r>
    </w:p>
    <w:p>
      <w:r>
        <w:t>Available abstract (not full text): Purpose: This paper tries to evaluate Korea's Trade Adjustment Assistance (TAA) system and proposes measures to more faithfully implement amendments to the TAA legislation from 2022. Research design, data, and methodology: This paper focuses on the regulations related to the TAA system, and on the problems that may arise from the regulations. Results: TAA support is allowed only when damage caused by the opening of trade is proven and confirmed. But it is very difficult for most small and medium-sized companies to prove trade damage. Conclusions: While the TAA system is designed to support trade-damaged companies, it should also include policies that focus on restructuring the business of a damaged company.</w:t>
      </w:r>
    </w:p>
    <w:p>
      <w:r>
        <w:t>POSSIBLE 2023: Trade, Transport Emissions and Multimarket Collusion with Border Adjustments — https://doi.org/10.1007/s10640-023-00799-x</w:t>
      </w:r>
    </w:p>
    <w:p>
      <w:r>
        <w:t>Shared claim-specific concepts: damage, trade, but; EU scope not established. This is a provisional connection, not an outcome finding.</w:t>
      </w:r>
    </w:p>
    <w:p>
      <w:r>
        <w:t>Available abstract (not full text): Abstract We analyze the impact of border adjustment policies on trade, pollution and welfare when firms, located in different countries, sell differentiated products in geographically-separated markets. Transportation of goods not only incurs a cost, but also generates emissions. We compare outcomes under competition and multimarket collusion. Cooperating governments can implement the first-best using appropriate border adjustments regardless of the market structure. When governments set policies non-cooperatively, the border adjustment tariffs exceed the marginal damage from emissions. While it is expected that colluding firms would reduce trade flows relative to competition, trade increases under collusion, resulting in higher welfare. This highlights the possibility of allowing firms to collude and taxing (part of) their profits, which can be redistributed to citizens or used to mitigate the effects of pollution.</w:t>
      </w:r>
    </w:p>
    <w:p>
      <w:r>
        <w:t>POSSIBLE 2022: Damage — https://doi.org/10.1093/he/9780198869917.003.0034</w:t>
      </w:r>
    </w:p>
    <w:p>
      <w:r>
        <w:t>Shared claim-specific concepts: result, damage, trade, potential; EU scope not established. This is a provisional connection, not an outcome finding.</w:t>
      </w:r>
    </w:p>
    <w:p>
      <w:r>
        <w:t>Available abstract (not full text): Abstract This chapter examines one element that a claimant must prove to sustain a passing off action: the requirement that they have suffered, or are likely to suffer, damage as a result of the defendant’s misrepresentation. It first considers four types of damage that have been recognized by the courts in connection with misrepresentation: loss of existing trade and profits; loss of potential trade and profits; damage to reputation; and dilution. It then discusses the notion of extended passing off and its three elements: goodwill, misrepresentation, and damage. It also looks at the principles of unfair competition.</w:t>
      </w:r>
    </w:p>
    <w:p>
      <w:r>
        <w:t>POSSIBLE 2022: Conflict and Intergroup Trade: Evidence from the 2014 Russia-Ukraine Crisis — https://doi.org/10.1257/aer.20191701</w:t>
      </w:r>
    </w:p>
    <w:p>
      <w:r>
        <w:t>Shared claim-specific concepts: trade, after; EU scope not established. This is a provisional connection, not an outcome finding.</w:t>
      </w:r>
    </w:p>
    <w:p>
      <w:r>
        <w:t>Available abstract (not full text): Does armed conflict reduce trade, even in noncombat areas, through the destruction of intergroup social capital? We analyze Ukrainian trade transactions before and after the 2014 Russia-Ukraine conflict. In a difference-in-differences framework, we find that Ukrainian firms from districts with fewer ethnic Russians experienced a deeper decline in trade with Russia. This decline is economically signifi-cant, persistent, and can be explained by erosion of intergroup trust. Affected Ukrainian firms suffered a decrease in performance and diverted trade to other countries. Our results suggest that, through social effects, conflict can be economically damaging even away from combat areas. (JEL D74, F14, F51, J15, P31, P33, Z13)</w:t>
      </w:r>
    </w:p>
    <w:p>
      <w:r>
        <w:t>POSSIBLE 2021: Neural Network in the Forecast of Compensation for Ecological Environment Damage Caused by Trade — https://doi.org/10.25236/ijfs.2021.031313</w:t>
      </w:r>
    </w:p>
    <w:p>
      <w:r>
        <w:t>Shared claim-specific concepts: damage, trade, after, but; EU scope not established. This is a provisional connection, not an outcome finding.</w:t>
      </w:r>
    </w:p>
    <w:p>
      <w:r>
        <w:t>Available abstract (not full text): With the rapid growth of China's trade, the aggravation of environmental damage, research on trade growth and environmental damage forecasting issues is of great significance for the formulation and coordination of trade policies, environmental policies, and industrial policies. This article mainly studies the application of neural network in the prediction of compensation for ecological environment damage caused by trade. In this paper, the neural network model is applied to time series forecasting and panel data forecasting respectively, and the MATLAB tool is used to simulate the model, and the environmental damage compensation caused by trade is predicted. After L = 7613 iteration training, the total error value gradually decreases, and the given total error accuracy is 0.001. At this point, training is complete. After training, the BP neural network has been able to correctly predict these training samples. The prediction accuracy of this study reached 98%. This shows that the BP neural network model established in this paper not only meets the overall classification accuracy, but also has high accuracy in predicting the compensation of the ecological environment damage of each sample data. The research results show that the model is applied to the prediction of compensation for eco-environmental damage caused by trade. It has the advantages of fewer samples, high predicti</w:t>
      </w:r>
    </w:p>
    <w:p>
      <w:r>
        <w:t>POSSIBLE 2021: The choice of cap-and-trade and carbon tax regulations in a cap-dependent carbon trading price setting — https://doi.org/10.1108/k-09-2020-0610</w:t>
      </w:r>
    </w:p>
    <w:p>
      <w:r>
        <w:t>Shared claim-specific concepts: damage, two, related; EU scope not established. This is a provisional connection, not an outcome finding.</w:t>
      </w:r>
    </w:p>
    <w:p>
      <w:r>
        <w:t>Available abstract (not full text): Purpose The purpose of this paper is to analyze the operational decisions of a manufacturer who produces multiple products and the government's selection of cap-and-trade and carbon tax regulations. Design/methodology/approach This paper explores the production decisions of a multi-product manufacturer under cap-and-trade and carbon tax regulations in a cap-dependent carbon trading price setting and compares carbon emission, the manufacturer's profits and social welfare under the two regulations. Game theory and extreme value theory are used to analyze our models. Findings First, the authors find that the optimal profit of the manufacturer (the optimal cap) increases and then decreases with the cap (the unit carbon emission of product). Second, if the environmental damage coefficient is moderate, the optimal cap of unit environmental damage coefficient is independent of the product carbon emission or other related product parameters. Ultimately, cap-and-trade regulation always generates more carbon emission than carbon tax regulation. And cap-and-trade regulation (carbon tax regulation) can generate more social welfare if the environmental damage coefficient is low (high), and the social welfare under the two regulations is equal to each other, or otherwise. Originality/value This paper contributes the prior literature by considering the inverse relationship of the allocated ca</w:t>
      </w:r>
    </w:p>
    <w:p>
      <w:pPr>
        <w:pStyle w:val="Heading2"/>
      </w:pPr>
      <w:r>
        <w:t>Burden of Stroke in Europe</w:t>
      </w:r>
    </w:p>
    <w:p>
      <w:r>
        <w:t>Original source (2020): https://doi.org/10.1161/strokeaha.120.029606</w:t>
      </w:r>
    </w:p>
    <w:p>
      <w:r>
        <w:t>Original wording (abstract; indexed_source_text_not_full_document_verified): By 2047, we estimated an additional 40 000 incident strokes (+3%) and 2.58 million prevalent cases (+27%).</w:t>
      </w:r>
    </w:p>
    <w:p>
      <w:r>
        <w:t>POSSIBLE 2024: Estimating the burden of vitiligo: a systematic review and modelling study — https://doi.org/10.1016/s2468-2667(24)00026-4</w:t>
      </w:r>
    </w:p>
    <w:p>
      <w:r>
        <w:t>Shared claim-specific concepts: estimated, million, cases; EU scope visible. This is a provisional connection, not an outcome finding.</w:t>
      </w:r>
    </w:p>
    <w:p>
      <w:r>
        <w:t>Available abstract (not full text): BACKGROUND: Vitiligo is a chronic autoimmune disease characterised by depigmented skin patches, which can pose substantial psychosocial challenges particularly in individuals with dark skin tones. Despite its impact on quality of life, there is an absence of standardised global epidemiological data. We sought to address this gap with the present study. METHODS: In this study we did a systematic review and modelling analysis to estimate the global, regional, and national prevalence and incidence of vitiligo. We did a comprehensive search of nine digital libraries (PubMed, Embase, Web of Science, Scientific Electronic Library Online, KCI Korean Journal Database, Russian Science Citation Index, Western Pacific Region Index Medicus, Informit, and Health Research and Development Information Network) from inception up to May 25, 2023. We included cross-sectional or cohort studies reporting the incidence rate or prevalence of vitiligo, or data from which incidence rate or prevalence could be calculated, in the general population of a country or area of a country. Summary estimate data were extracted. A main outcome was to estimate the worldwide, regional, and country-specific lifetime prevalence of vitiligo diagnosed by physicians or dermatologists among the general population and in adults and children (as per age groups defined in included studies). We used a Bayesian hierarchical l</w:t>
      </w:r>
    </w:p>
    <w:p>
      <w:r>
        <w:t>POSSIBLE 2024: Estimated frequency and economic burden of incident fragility fractures during 2023 in Mexico — https://doi.org/10.1007/s11657-024-01468-2</w:t>
      </w:r>
    </w:p>
    <w:p>
      <w:r>
        <w:t>Shared claim-specific concepts: estimated, incident, million; EU scope not established. This is a provisional connection, not an outcome finding.</w:t>
      </w:r>
    </w:p>
    <w:p>
      <w:r>
        <w:t>Available abstract (not full text): Epidemiologic and economic data regarding osteoporotic fractures in Mexico is scarce and mostly outdated. Through a model, we estimated the incidence and costs of osteoporotic fractures in adults ≥ 50 years old in Mexico during the year 2023. Results showed that these events are both frequent and costly, leading to a considerable economic impact. PURPOSE: Osteoporosis and its fractures impose a high clinical and economic burden. The objective of this analysis was to estimate the frequency and costs owing to incident fragility fractures (FFs) during the year 2023 in Mexico. METHODS: This is an incidence-based cost-of-illness study. The target population is adults ≥ 50 years old sustaining a fracture related to osteoporosis (caused by a fall on the same level). The model estimates the costs and productivity losses associated with their treatment within 1 year post-fracture. National epidemiologic databases supplemented with information, derived from literature when appropriate, were used to estimate the frequency of new FFs during 2023 in the study population. Resource use included surgical and non-surgical inpatient or ambulatory care the patients received immediately after fracture plus the outpatient physiotherapy post-discharge and the eventual follow-up with a specialist who may prescribe pharmacotherapy. Sick days taken in employed patients were estimated from the literatur</w:t>
      </w:r>
    </w:p>
    <w:p>
      <w:r>
        <w:t>POSSIBLE 2023: The incidence and prevalence of IgA nephropathy in Europe — https://doi.org/10.1093/ndt/gfad082</w:t>
      </w:r>
    </w:p>
    <w:p>
      <w:r>
        <w:t>Shared claim-specific concepts: estimated, prevalent, cases; EU scope visible. This is a provisional connection, not an outcome finding.</w:t>
      </w:r>
    </w:p>
    <w:p>
      <w:r>
        <w:t>Available abstract (not full text): BACKGROUND: This study aimed to determine the incidence and prevalence of immunoglobulin A nephropathy (IgAN) in Europe based on high-quality data from national registries. METHODS: IgAN incidences were obtained from a literature review of European studies of national kidney biopsy registry data in which IgAN diagnosis was biopsy-verified using contemporary techniques. Studies were eligible for the main analysis if published from 1990 to 2020. IgAN point prevalence was defined as the annual IgAN incidence multiplied by the estimated duration of disease. Incidence and prevalence estimates were made for three pooled populations: (i) patients of all ages; (ii) pediatric patients; and (iii) elderly patients. RESULTS: Across 10 European countries, the estimated annual IgAN incidence was 0.76 per 100 000 in patients of all ages. The corresponding pooled IgAN point prevalence was 2.53 per 10 000 (95% confidence interval: 2.51-2.55), ranging from 1.14 per 10 000 in Spain to 5.98 per 10 000 in Lithuania. Applied to 2021 population estimates, the number of expected prevalent IgAN cases was 47 027 across all 10 countries and ranged from 577 in Estonia to 16 645 in Italy. Among pediatric patients, IgAN incidence was 0.20 per 100 000 children and IgAN point prevalence was 0.12 per 10 000 children. Among elderly patients, IgAN incidence was 0.30 per 100 000 and IgAN point prevalence was 0.36</w:t>
      </w:r>
    </w:p>
    <w:p>
      <w:r>
        <w:t>POSSIBLE 2021: Type 1 diabetes in 2017: global estimates of incident and prevalent cases in children and adults — https://doi.org/10.1007/s00125-021-05571-8</w:t>
      </w:r>
    </w:p>
    <w:p>
      <w:r>
        <w:t>Shared claim-specific concepts: estimated, incident, prevalent, cases; EU scope visible. This is a provisional connection, not an outcome finding.</w:t>
      </w:r>
    </w:p>
    <w:p>
      <w:r>
        <w:t>Available abstract (not full text): AIMS/HYPOTHESIS: Data on type 1 diabetes incidence and prevalence are limited, particularly for adults. This study aims to estimate global numbers of incident and prevalent cases of type 1 diabetes in 2017 for all age groups, by country and areas defined by income and region. METHODS: Incidence rates of type 1 diabetes in children (available from 94 countries) from the IDF Atlas were used and extrapolated to countries without data. Age-specific incidence rates in adults (only known across full age range for fewer than ten countries) were obtained by applying scaling ratios for each adult age group relative to the incidence rate in children. Age-specific incidence rates were applied to population estimates to obtain incident case numbers. Duration of diabetes was estimated from available data and adjusted using differences in childhood mortality rate between countries from United Nations demographic data. Prevalent case numbers were derived by modelling the relationship between prevalence, incidence and disease duration. Sensitivity analyses were performed to quantify the impact of alternative assumptions and model inputs. RESULTS: Global numbers of incident and prevalent cases of type 1 diabetes were estimated to be 234,710 and 9,004,610, respectively, in 2017. High-income countries, with 17% of the global population, accounted for 49% of global incident cases and 52% of preval</w:t>
      </w:r>
    </w:p>
    <w:p>
      <w:r>
        <w:t>POSSIBLE 2021: Financial losses for Dutch stakeholders during the 2013 aflatoxin incident in Maize in Europe — https://doi.org/10.1007/s12550-021-00429-9</w:t>
      </w:r>
    </w:p>
    <w:p>
      <w:r>
        <w:t>Shared claim-specific concepts: estimated, incident, million; EU scope visible. This is a provisional connection, not an outcome finding.</w:t>
      </w:r>
    </w:p>
    <w:p>
      <w:r>
        <w:t>Available abstract (not full text): contaminated maize from Eastern Europe that was processed into compound feed, which was fed to dairy cows. Since the contamination was discovered in the downstream stages of the supply chain, multiple countries and parties were involved and recalls of the feed were necessary, resulting into financial losses. The aim of this study was to estimate the direct short-term financial losses related to the 2013 aflatoxin incident for the maize traders, the feed industry, and the dairy sector in the Netherlands. First, the sequence of events of the incident was retrieved. Then, a Monte Carlo simulation model was built to combine the scarce and uncertain data to estimate the direct financial losses for each stakeholder. The estimated total direct financial losses of this incident were estimated to be between 12 and 25 million euros. The largest share, about 60%, of the total losses was endured by the maize traders. About 39% of the total losses were for the feed industry, and less than 1% of the total losses were for the dairy sector. The financial losses estimated in this study should be interpreted cautiously due to limitations associated with the quality of the data used. Furthermore, this incident led to indirect long-term financial effects, identified but not estimated in this study.</w:t>
      </w:r>
    </w:p>
    <w:p>
      <w:r>
        <w:t>POSSIBLE 2021: SCORE2-OP risk prediction algorithms: estimating incident cardiovascular event risk in older persons in four geographical risk regions — https://doi.org/10.1093/eurheartj/ehab312</w:t>
      </w:r>
    </w:p>
    <w:p>
      <w:r>
        <w:t>Shared claim-specific concepts: estimated, additional, incident; EU scope visible. This is a provisional connection, not an outcome finding.</w:t>
      </w:r>
    </w:p>
    <w:p>
      <w:r>
        <w:t>Available abstract (not full text): AIMS: The aim of this study was to derive and validate the SCORE2-Older Persons (SCORE2-OP) risk model to estimate 5- and 10-year risk of cardiovascular disease (CVD) in individuals aged over 70 years in four geographical risk regions. METHODS AND RESULTS: Sex-specific competing risk-adjusted models for estimating CVD risk (CVD mortality, myocardial infarction, or stroke) were derived in individuals aged over 65 without pre-existing atherosclerotic CVD from the Cohort of Norway (28 503 individuals, 10 089 CVD events). Models included age, smoking status, diabetes, systolic blood pressure, and total- and high-density lipoprotein cholesterol. Four geographical risk regions were defined based on country-specific CVD mortality rates. Models were recalibrated to each region using region-specific estimated CVD incidence rates and risk factor distributions. For external validation, we analysed data from 6 additional study populations {338 615 individuals, 33 219 CVD validation cohorts, C-indices ranged between 0.63 [95% confidence interval (CI) 0.61-0.65] and 0.67 (0.64-0.69)}. Regional calibration of expected-vs.-observed risks was satisfactory. For given risk factor profiles, there was substantial variation across the four risk regions in the estimated 10-year CVD event risk. CONCLUSIONS: The competing risk-adjusted SCORE2-OP model was derived, recalibrated, and externally validated</w:t>
      </w:r>
    </w:p>
    <w:p>
      <w:r>
        <w:t>POSSIBLE 2021: Milk intake and incident stroke and CHD in populations of European descent: a Mendelian randomisation study — https://doi.org/10.1017/s0007114521004244</w:t>
      </w:r>
    </w:p>
    <w:p>
      <w:r>
        <w:t>Shared claim-specific concepts: estimated, additional, incident, cases; EU scope visible. This is a provisional connection, not an outcome finding.</w:t>
      </w:r>
    </w:p>
    <w:p>
      <w:r>
        <w:t>Available abstract (not full text): Abstract Higher milk intake has been associated with a lower stroke risk, but not with risk of CHD. Residual confounding or reverse causation cannot be excluded. Therefore, we estimated the causal association of milk consumption with stroke and CHD risk through instrumental variable (IV) and gene-outcome analyses. IV analysis included 29 328 participants (4611 stroke; 9828 CHD) of the European Prospective Investigation into Cancer and Nutrition (EPIC)-CVD (eight European countries) and European Prospective Investigation into Cancer and Nutrition-Netherlands (EPIC-NL) case-cohort studies. rs4988235, a lactase persistence (LP) SNP which enables digestion of lactose in adulthood was used as genetic instrument. Intake of milk was first regressed on rs4988235 in a linear regression model. Next, associations of genetically predicted milk consumption with stroke and CHD were estimated using Prentice-weighted Cox regression. Gene-outcome analysis included 777 024 participants (50 804 cases) from MEGASTROKE (including EPIC-CVD), UK Biobank and EPIC-NL for stroke, and 483 966 participants (61 612 cases) from CARDIoGRAM, UK Biobank, EPIC-CVD and EPIC-NL for CHD. In IV analyses, each additional LP allele was associated with a higher intake of milk in EPIC-CVD (β = 13·7 g/d; 95 % CI 8·4, 19·1) and EPIC-NL (36·8 g/d; 95 % CI 20·0, 53·5). Genetically predicted milk intake was not associated w</w:t>
      </w:r>
    </w:p>
    <w:p>
      <w:r>
        <w:t>POSSIBLE 2021: Risk of Incident Heart Failure in Individuals With Early-Onset Type 2 Diabetes — https://doi.org/10.1210/clinem/dgab620</w:t>
      </w:r>
    </w:p>
    <w:p>
      <w:r>
        <w:t>Shared claim-specific concepts: estimated, additional, incident; EU scope visible. This is a provisional connection, not an outcome finding.</w:t>
      </w:r>
    </w:p>
    <w:p>
      <w:r>
        <w:t>Available abstract (not full text): CONTEXT: Early-onset diabetes has been associated with unfavorable cardiovascular risk but data on heart failure (HF) in this subpopulation are scarce. OBJECTIVE: We aimed to study the risk of, and risk factors for, incident HF in individuals with early-onset type 2 diabetes. METHODS: We studied 606 individuals with type 2 diabetes diagnosed before 40 years of age (early-onset) and 1258 counterparts with diabetes diagnosed from 41 to 65 years of age (usual-onset) with no HF history, at a regional hospital, over a median follow-up period of 7.1 years. Incident HF by European Cardiology Society criteria was determined. RESULTS: A total of 62 and 108 HF events were identified in the early- and usual-onset groups (1.55 and 1.29 per 100 patient-years), respectively. Compared with usual-onset counterparts, individuals with early-onset diabetes had a 1.20-fold unadjusted (95% CI, 0.88-1.63; P = 0.26) and 1.91-fold age-adjusted (95% CI, 1.37-2.66; P &lt; 0.001) hazard ratio (HR) for incident HF. Adjustment for traditional cardiometabolic risk factors only moderately mitigated the hazards (adjusted HR 1.69; 95% CI, 1.19-2.40; P = 0.003). However, additional adjustment for estimated glomerular filtration rate and albuminuria markedly attenuated the association of early-onset age with incident HF (adjusted HR 1.24; 95% CI, 0.87-1.77; P = 0.24). Notably, a long diabetes duration was not signi</w:t>
      </w:r>
    </w:p>
    <w:p>
      <w:r>
        <w:t>POSSIBLE 2021: Risk of incident atrial fibrillation with low-to-moderate alcohol consumption is associated with gender, region, alcohol category: a systematic review and meta-analysis — https://doi.org/10.1093/europace/euab266</w:t>
      </w:r>
    </w:p>
    <w:p>
      <w:r>
        <w:t>Shared claim-specific concepts: estimated, additional, incident; EU scope not established. This is a provisional connection, not an outcome finding.</w:t>
      </w:r>
    </w:p>
    <w:p>
      <w:r>
        <w:t xml:space="preserve">Available abstract (not full text): AIMS: The association between low-to-moderate alcohol consumption and atrial fibrillation (AF) has yet to be fully elucidated. The main purpose of this meta-analysis was to estimate the risk of incident AF related to low-to-moderate alcohol consumption. METHODS AND RESULTS: A meta-analysis was performed on 13 publications discussing the estimated risk for AF with habitual low-to-moderate alcohol intake in 10 266 315 participants. Graphical augmentations to the funnel plots were used to illustrate the potential impact of additional evidence on the current meta-analysis. Thirteen eligible studies were included in this meta-analysis. We found that moderate alcohol consumption was associated with an increased risk of incident AF in males [hazard ratio (HR) 1.09, 95% confidence interval (CI): 1.07-1.11, P &lt; 0.00001], Europeans (HR 1.32, 95% CI: 1.23-1.42, P &lt; 0.00001), and Asians (HR 1.09, 95% CI: 1.07-1.11, P &lt; 0.00001). Moderate beer consumption was associated with an increased risk of developing AF (HR 1.11, 95% CI: 1.02-1.21, P = 0.01). Low alcohol consumption conferred an increased risk of AF in males (HR 1.14, 95% CI: 1.01-1.28, P = 0.04) and Europeans (HR 1.12, 95% CI: 1.07-1.17, P &lt; 0.00001). CONCLUSIONS: This analysis represents the increased risk of incident AF in males, Europeans, and Asians at moderate alcohol consumption levels and in males and Europeans at low alcohol </w:t>
      </w:r>
    </w:p>
    <w:p>
      <w:r>
        <w:t>POSSIBLE 2021: Epigenetic Age and the Risk of Incident Atrial Fibrillation — https://doi.org/10.1161/circulationaha.121.056456</w:t>
      </w:r>
    </w:p>
    <w:p>
      <w:r>
        <w:t>Shared claim-specific concepts: additional, incident, cases; EU scope not established. This is a provisional connection, not an outcome finding.</w:t>
      </w:r>
    </w:p>
    <w:p>
      <w:r>
        <w:t>Available abstract (not full text): Background: The most prominent risk factor for atrial fibrillation (AF) is chronological age; however, underlying mechanisms are unexplained. Algorithms using epigenetic modifications to the human genome effectively predict chronological age. Chronological and epigenetic predicted ages may diverge in a phenomenon referred to as epigenetic age acceleration (EAA), which may reflect accelerated biological aging. We sought to evaluate for associations between epigenetic age measures and incident AF. Methods: Measures for 4 epigenetic clocks (Horvath, Hannum, DNA methylation [DNAm] PhenoAge, and DNAm GrimAge) and an epigenetic predictor of PAI-1 (plasminogen activator inhibitor-1) levels (ie, DNAm PAI-1) were determined for study participants from 3 population-based cohort studies. Cox models evaluated for associations with incident AF and results were combined via random-effects meta-analyses. Two-sample summary-level Mendelian randomization analyses evaluated for associations between genetic instruments of the EAA measures and AF. Results: Among 5600 participants (mean age, 65.5 years; female, 60.1%; Black, 50.7%), there were 905 incident AF cases during a mean follow-up of 12.9 years. Unadjusted analyses revealed all 4 epigenetic clocks and the DNAm PAI-1 predictor were associated with statistically significant higher hazards of incident AF, though the magnitudes of their point e</w:t>
      </w:r>
    </w:p>
    <w:p>
      <w:pPr>
        <w:pStyle w:val="Heading2"/>
      </w:pPr>
      <w:r>
        <w:t>ClimateEU, scale-free climate normals, historical time series, and future projections for Europe</w:t>
      </w:r>
    </w:p>
    <w:p>
      <w:r>
        <w:t>Original source (2020): https://doi.org/10.1038/s41597-020-00763-0</w:t>
      </w:r>
    </w:p>
    <w:p>
      <w:r>
        <w:t>Original wording (abstract; indexed_source_text_not_full_document_verified): Here, we contribute an accessible, comprehensive database of interpolated climate data for Europe that includes monthly, annual, decadal, and 30-year normal climate data for the last 119 years (1901 to 2019) as well as multi-model CMIP5 climate change projections for the 21 st century.</w:t>
      </w:r>
    </w:p>
    <w:p>
      <w:r>
        <w:t>POSSIBLE 2024: The European Nucleotide Archive in 2024 — https://doi.org/10.1093/nar/gkae975</w:t>
      </w:r>
    </w:p>
    <w:p>
      <w:r>
        <w:t>Shared claim-specific concepts: here, contribute, accessible, data; EU scope visible. This is a provisional connection, not an outcome finding.</w:t>
      </w:r>
    </w:p>
    <w:p>
      <w:r>
        <w:t>Available abstract (not full text):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Outlined here are changes to and updates on the ENA service in 2024, aligning with the broad goals of enhancing interoperability, globalisation of the service and scaling the platform to meet current and future needs.</w:t>
      </w:r>
    </w:p>
    <w:p>
      <w:r>
        <w:t>POSSIBLE 2024: Lessons from pond creation and restoration projects in Europe — https://doi.org/10.1111/rec.14342</w:t>
      </w:r>
    </w:p>
    <w:p>
      <w:r>
        <w:t>Shared claim-specific concepts: here, contribute, accessible; EU scope visible. This is a provisional connection, not an outcome finding.</w:t>
      </w:r>
    </w:p>
    <w:p>
      <w:r>
        <w:t>Available abstract (not full text): Pond ecosystems harbour substantial biodiversity and contribute to several ecosystem services as nature‐based solutions (NbS). Pond restoration and creation projects have been initiated to address these trends, yet while some insights are published, many remain within the expertise of practitioners and are not easily accessible. Moreover, papers synthesizing findings from multiple such projects to derive broad, universal conclusions are very much lacking. Here, we contacted pond creation and restoration practitioners that worked on recent pond restoration projects in Europe using a questionnaire. We reported which practices are currently most common and identified where current good practices might need to be modified. As expected, most projects targeted and monitored species and habitats protected under the European Union Birds Directive and Habitats Directive. Most projects focused on species as conservation targets, rather than the promotion of specific Natura 2000 habitats, pond ecosystem services or NbS. Several challenges were highlighted including funding limitations and stakeholder engagement difficulties. Recommendations included amending legal frameworks, improving connectivity among pondscapes for effective biodiversity conservation and implementing more systematic monitoring. This work illustrates how consultation of practitioners as stakeholders can generate insigh</w:t>
      </w:r>
    </w:p>
    <w:p>
      <w:r>
        <w:t>POSSIBLE 2024: In temperate Europe, fire is already here: The case of The Netherlands — https://doi.org/10.1007/s13280-023-01960-y</w:t>
      </w:r>
    </w:p>
    <w:p>
      <w:r>
        <w:t>Shared claim-specific concepts: here, climate, data; EU scope visible. This is a provisional connection, not an outcome finding.</w:t>
      </w:r>
    </w:p>
    <w:p>
      <w:r>
        <w:t>Available abstract (not full text): Abstract Landscape fires are usually not associated with temperate Europe, yet not all temperate countries record statistics indicating that actual risks remain unknown. Here we introduce new wildfire statistics for The Netherlands, and summarize significant events and fatalities. The period 2017–2022 saw 611 wildfires and 405 ha burned per year, which Copernicus’ European Forest Fire Information System satellite data vastly underestimate. Fires burned more heathland than forest, were small (mean fire size 1.5 ha), were caused by people, and often burned simultaneously, in Spring and in Summer drought. Suppression, restoration and traffic delays cost 3 M€ year−1. Dozens of significant events illustrate fire has never been away and has major societal impact amidst grave concerns for firefighter safety. Since 1833, 31 fatalities were reported. A legal framework is needed to ensure continuity of recordkeeping, as the core foundation of integrated fire management, to create a baseline for climate change, and to fulfill international reporting requirements.</w:t>
      </w:r>
    </w:p>
    <w:p>
      <w:r>
        <w:t>POSSIBLE 2021: The European Nucleotide Archive in 2021 — https://doi.org/10.1093/nar/gkab1051</w:t>
      </w:r>
    </w:p>
    <w:p>
      <w:r>
        <w:t>Shared claim-specific concepts: here, contribute, accessible, data; EU scope visible. This is a provisional connection, not an outcome finding.</w:t>
      </w:r>
    </w:p>
    <w:p>
      <w:r>
        <w:t>Available abstract (not full text): The European Nucleotide Archive (ENA, https://www.ebi.ac.uk/ena), maintained at the European Molecular Biology Laboratory's European Bioinformatics Institute (EMBL-EBI) provides freely accessible services, both for deposition of, and access to, open nucleotide sequencing data. Open scientific data are of paramount importance to the scientific community and contribute daily to the acceleration of scientific advance. Here, we outline the major updates to ENA's services and infrastructure that have been delivered over the past year.</w:t>
      </w:r>
    </w:p>
    <w:p>
      <w:pPr>
        <w:pStyle w:val="Heading2"/>
      </w:pPr>
      <w:r>
        <w:t>Connected and Automated Transport: Research and Innovation Capacity in Europe</w:t>
      </w:r>
    </w:p>
    <w:p>
      <w:r>
        <w:t>Original source (2020): https://doi.org/10.1016/j.trpro.2020.08.213</w:t>
      </w:r>
    </w:p>
    <w:p>
      <w:r>
        <w:t>Original wording (abstract; indexed_source_text_not_full_document_verified): We argue that this approach can aid policy makers to support the future development of CAT technologies and help researchers to forge collaborations and identify research gaps.</w:t>
      </w:r>
    </w:p>
    <w:p>
      <w:r>
        <w:t>POSSIBLE 2026: The Limits of European State Aid Law — https://doi.org/10.4324/9781003736141</w:t>
      </w:r>
    </w:p>
    <w:p>
      <w:r>
        <w:t>Shared claim-specific concepts: aid, researchers, identify; EU scope visible. This is a provisional connection, not an outcome finding.</w:t>
      </w:r>
    </w:p>
    <w:p>
      <w:r>
        <w:t>Available abstract (not full text): This book explores the existing limits of State aid law within the European Union. By examining the State aid acquis, the book provides a critical analysis of interpretative approaches to two key areas essential to the functioning of the State aid control system: when a measure constitutes State aid and the identification and assessment of its effects. It argues that the perception of what law can realistically achieve is limited by the assumption that all processes are steerable and that lawmakers are entirely capable of achieving their results as long as they correctly identify causal links, as well as by an implied belief in the continued relevance of interpretative approaches even when they no longer fit evolving realities. The focus is on assessing how well-established interpretative approaches to Article 107 TFEU continue to function and whether they produce unintended consequences as economic conditions and forms of State interventionism evolve. It determines whether the identified limits of law are truly impassable in a complex environment and, where they are not, formulates realistic solutions to improve the functioning of the control system. The book will be of interest to researchers and practitioners in the field of State aid law, competition law, economics, and EU law.</w:t>
      </w:r>
    </w:p>
    <w:p>
      <w:r>
        <w:t>POSSIBLE 2026: Humanitarian Aid and the European Union — https://doi.org/10.4324/9781003666486</w:t>
      </w:r>
    </w:p>
    <w:p>
      <w:r>
        <w:t>Shared claim-specific concepts: approach, aid; EU scope visible. This is a provisional connection, not an outcome finding.</w:t>
      </w:r>
    </w:p>
    <w:p>
      <w:r>
        <w:t>Available abstract (not full text): This book critically examines the effectiveness of EU humanitarian aid delivery in the wake of multiple crises. Focusing on four primary case studies – Myanmar, Lebanon, Mozambique, and Mali – which present distinct crisis types (complex, human-made, and natural), it reveals why the effectiveness of EU humanitarian aid programmes varies in relation to pre-established objectives. Drawing on extensive interviews and official documents from UN, EU, and NGO officials, the book introduces an innovative, multidimensional theoretical framework conceptualising effectiveness beyond goal attainment, encompassing needs assessment, the seamlessness of the policy cycle, and the transition between humanitarian and development aid. The book argues that EU humanitarian aid effectiveness is primarily influenced by institutional, relational, and political factors rather than by the type of crisis or funding gap. In particular, the attitudes of national authorities toward donors and implementing agents are the most decisive factors, followed by the quality of coordination among donors and agents. The book ultimately suggests that adopting a holistic, ‘resilience-first’ approach that integrates humanitarian and long-term development goals, creating integrated funding instruments that enable comprehensive responses from the outset, and fostering collegiality and formal and informal relationships am</w:t>
      </w:r>
    </w:p>
    <w:p>
      <w:r>
        <w:t>POSSIBLE 2026: Gender equality in European Union development aid: assessing the dual approach of gender mainstreaming and targeted actions — https://doi.org/10.2861/9870183</w:t>
      </w:r>
    </w:p>
    <w:p>
      <w:r>
        <w:t>Shared claim-specific concepts: approach, aid; EU scope visible. This is a provisional connection, not an outcome finding.</w:t>
      </w:r>
    </w:p>
    <w:p>
      <w:r>
        <w:t>Available abstract (not full text): This paper examines how the European Union (EU) promotes gender equality in development cooperation through gender mainstreaming and targeted gender-equality actions. It asks whether this twin-track approach delivers meaningful results, where its strengths and weaknesses lie and what is at stake in the post-2027 period. The current EU framework is ambitious and gender mainstreaming has become increasingly visible and routine across EU development cooperation. In many mainstreamed actions, gender is included in diagnostic framing, cross-cutting commitments and some indicators, helping to bring gender equality into sectors where it was previously more marginal. However, the quality and depth of mainstreaming remain uneven. Gender is often better integrated in design and narrative than in implementation, resource allocation, accountability and structural change. Targeted actions are usually clearer and more direct in addressing gender inequality as the central problem, but remain more limited in number, scale and sectoral reach. The paper concludes that mainstreaming and targeted actions are indispensable and complementary. The post-2027 framework should make the twin-track approach more consequential. It is recommended to protect binding gender targets in the Global Europe instrument, use Gender Action Plan IV to set stronger operational standards, improve gender budgeting and re</w:t>
      </w:r>
    </w:p>
    <w:p>
      <w:r>
        <w:t>POSSIBLE 2024: Unlocking public infrastructures? State aid and the common European data space — https://doi.org/10.1177/02673231241290675</w:t>
      </w:r>
    </w:p>
    <w:p>
      <w:r>
        <w:t>Shared claim-specific concepts: argue, approach, aid; EU scope visible. This is a provisional connection, not an outcome finding.</w:t>
      </w:r>
    </w:p>
    <w:p>
      <w:r>
        <w:t>Available abstract (not full text): EU state aid rules are part of the EU’s competition policy, a form of soft law developed to nudge states away from public investments in many areas. Rules were used to impose that market competition holds a privileged position, and that enacting social, political, or economic benefits that might stifle competition requires a complicated legal and political negotiation process between the European Commission, Member States, and private companies. Nonetheless, many strategic projects or situations in recent years led to significant state aid. The Commission utilised a variety of means to encourage both private and public investments in EU based digital infrastructure that is critical for public media services and for unified European data space. Despite EU’s balancing act between the private and public interests, business interests are dangerously capturing the development in the media data space. To grasp the social and economic contribution of publicly financed productive activities, we approach public broadcasting systems as producers of public wealth of a peculiar kind whose activities and goals are defined by their public purpose, rather than the imperatives of capital and profitmaking. Unifying data spaces with too many design decisions conceded to capitalist production runs the risk of further neglecting social foundations of member states. We argue that the desired digita</w:t>
      </w:r>
    </w:p>
    <w:p>
      <w:r>
        <w:t>POSSIBLE 2024: European social funding and the institutionalisation of food aid : a wicked policy problem — https://doi.org/10.63028/10067/2092390151162165141</w:t>
      </w:r>
    </w:p>
    <w:p>
      <w:r>
        <w:t>Shared claim-specific concepts: argue, approach, aid, gaps; EU scope visible. This is a provisional connection, not an outcome finding.</w:t>
      </w:r>
    </w:p>
    <w:p>
      <w:r>
        <w:t>Available abstract (not full text): This dissertation explores European social funding as a pivotal tool within the EU’s social policy framework, specifically examining its influence on national policies and governance structures. By focusing on EU funds aimed at addressing material deprivation, particularly those supporting food aid, the study unveils the complexities and challenges policymakers face in this area of social policy. Adopting a novel perspective, we analyse the institutionalisation of food aid in Europe through the lens of ‘wicked problems’ (Rittel &amp; Webber, 1973). This framework allows us to better understand the intricate and normative nature of food aid as a policy issue, offering fresh insights into the multifaceted challenges involved. To further our analysis, we employ the ‘Governance Analytical Framework’ (Hufty, 2009) to shed light on often overlooked aspects of EU food aid policy, such as underlying norms and budget trends, especially within the ‘Fund for European Aid to the Most Deprived’ (FEAD) and the ‘European Social Fund Plus’ (ESF+). The study also examines how EU food aid policies contribute to reinforcing social rights and citizenship by applying a resource-based and multi-level approach to social rights (Vandenbroucke, Keune, Ferrera &amp; Corti, 2021). Additionally, the research investigates the extent to which local food aid organisations in Belgium, Lithuania, and Portugal collabor</w:t>
      </w:r>
    </w:p>
    <w:p>
      <w:r>
        <w:t>POSSIBLE 2023: The suspension of the Democratic Governance Facility in Uganda: the illusion of “politically smart aid” — https://doi.org/10.1080/09614524.2023.2238915</w:t>
      </w:r>
    </w:p>
    <w:p>
      <w:r>
        <w:t>Shared claim-specific concepts: approach, aid, support; EU scope visible. This is a provisional connection, not an outcome finding.</w:t>
      </w:r>
    </w:p>
    <w:p>
      <w:r>
        <w:t>Available abstract (not full text): In 2021, the President of Uganda suspended the “Democratic Governance Facility” (DGF), which is a European basket fund aimed at providing financial support in areas such as democracy, human rights, and rule of law. Paradoxically, the DGF had explicitly adopted a new “politically smart framework”, which is a development approach that promises to deliver aid more effectively and sustainably in contentious environments. This raises the question: what went wrong? Informed by post-development theoretical arguments and through a discursive analysis of the DGF’s implementation of this new aid framework, this paper argues that this framework itself does not allow proper understanding of what makes aid “political”; in casu that it does not allow appreciation of local viewpoints of democracy, representation, and ownership. Then, rather than improving the status quo, this paper argues in favour of making aid “political” through a fundamental reconsideration of the very substance and infrastructure of aid itself.</w:t>
      </w:r>
    </w:p>
    <w:p>
      <w:r>
        <w:t>POSSIBLE 2022: China’s Evolving Approach to Foreign Aid — https://doi.org/10.55163/wtnj4163</w:t>
      </w:r>
    </w:p>
    <w:p>
      <w:r>
        <w:t>Shared claim-specific concepts: approach, aid; EU scope not established. This is a provisional connection, not an outcome finding.</w:t>
      </w:r>
    </w:p>
    <w:p>
      <w:r>
        <w:t>Available abstract (not full text): China’s role in foreign aid and, more broadly, in development cooperation on the global stage has grown significantly since it began seven decades ago. Particularly in recent years, through such platforms as the Belt and Road Initiative (BRI), China’s profile and engagement in global governance in foreign aid and related areas has been further enhanced. China’s ambition is taking a more proactive approach in foreign aid and moving towards a model of international development cooperation by linking with the United Nations 2030 Agenda for Sustainable Development and by including the BRI as a major platform to achieve key development goals. This paper provides a timely analysis of the evolution of China’s foreign aid policy in the past seven decades with a particular focus on the developments since 2000. It discusses China’s development finance to Africa and the major sectors receiving Chinese aid. It also analyses recent trends of Chinese foreign aid and identifies some of the challenges that China faces as it becomes a major player in international development financing.</w:t>
      </w:r>
    </w:p>
    <w:p>
      <w:r>
        <w:t>POSSIBLE 2022: The European Union's migration management aid: Developing democracies or supporting authoritarianism? — https://doi.org/10.1111/imig.13075</w:t>
      </w:r>
    </w:p>
    <w:p>
      <w:r>
        <w:t>Shared claim-specific concepts: argue, aid; EU scope visible. This is a provisional connection, not an outcome finding.</w:t>
      </w:r>
    </w:p>
    <w:p>
      <w:r>
        <w:t>Available abstract (not full text): Abstract The European Union and its member states have invested billions of euros in migration management programs that purport to promote “good migration governance” around the world. But what is the impact of migration management aid on governance outside of the EU? In this article, we theorise the impact of migration management aid on governance in recipient countries by analysing the key policy areas of intervention. To do so, we focus on the effects of the European Union Emergency Trust Fund for Africa and draw on data collected from policy and government documents, in addition to secondary literature, to understand how migration management aid negatively impacts institutions of governance in recipient countries. While migration management aid may build the capacity of states to monitor borders and prevent irregular migration, we argue that this fails to account for negative externalities including human rights abuses and increased surveillance for migrants and citizens alike.</w:t>
      </w:r>
    </w:p>
    <w:p>
      <w:r>
        <w:t>POSSIBLE 2022: The European Commission and the COVID-19 pandemic: a pluri-institutional approach — https://doi.org/10.1080/13501763.2022.2140821</w:t>
      </w:r>
    </w:p>
    <w:p>
      <w:r>
        <w:t>Shared claim-specific concepts: argue, approach, support; EU scope visible. This is a provisional connection, not an outcome finding.</w:t>
      </w:r>
    </w:p>
    <w:p>
      <w:r>
        <w:t>Available abstract (not full text): According to a widely held view, the European Council decides how the EU should respond in times of crisis, since the European Council alone has the authority to lead. Other institutions, meanwhile, adopt at best a secondary role. An alternative perspective has emerged, however, which contends, first, that the European Council’s influence on the EU's crisis response is variable and, second, that other EU institutions, in particular the European Commission, are able to shape EU action, including through interventions made independently of the European Council. This article builds on this alternative view to argue that the respective role played by the European Council and the European Commisson is contingent, first, on the policy area where a crisis strikes and second, on leadership or agency on the part of the Presidents of the two institutions. The dynamics of the EU’s response to the COVID-19 pandemic support this view. Acting on its powers in public health and other affected areas, and with Commission President Ursula von der Leyen taking a highly pro-active approach to outbreak of the virus, the Commission intervened early, framed the pandemic as a crisis, and set and then expanded the EU’s agenda. Although its decision-making role was important, the European Council largely followed the Commission's lead.</w:t>
      </w:r>
    </w:p>
    <w:p>
      <w:r>
        <w:t>POSSIBLE 2021: Replication Data for: "A Sectoral Approach to the Politics of State Aid in the European Union: an Analysis of the European Automotive Industry" — https://doi.org/10.7910/dvn/ejijkf</w:t>
      </w:r>
    </w:p>
    <w:p>
      <w:r>
        <w:t>Shared claim-specific concepts: approach, aid, help; EU scope visible. This is a provisional connection, not an outcome finding.</w:t>
      </w:r>
    </w:p>
    <w:p>
      <w:r>
        <w:t>Available abstract (not full text): A growing body of scholarship has been focusing on the determinants of subsidy spending. Yet, this literature has mostly overlooked sectoral approaches to explain variation in aid allocations, which can provide useful insights about state-business relations that macroanalyses cannot. The article explores the political determinants of state aid in a key sector of the European economy, the automotive industry, which represents a crucial test case to analyse the relationship between big firms and the state. The article argues that there are two mechanisms through which governments may choose to allocate aid: achievement of policy goals and electoral competition. The resulting hypotheses are tested on an original dataset of over 120 state aid measures in 16 member states of the European Union (EU) where an automotive industry is present between 1992 and 2011. The results show that aid allocations are seldom found to be determined by a government’s preferences over its policy objectives. Instead, electoral rules such as the cultivation of a personal reputation by distribution of targeted benefits to a constituency may help legislators in their chances of being re-elected. The article concludes with limitations of the present study and suggestions for future research.</w:t>
      </w:r>
    </w:p>
    <w:p>
      <w:r>
        <w:t>POSSIBLE 2021: Poland towards a new approach to state aid policy after accession to the European Union — https://doi.org/10.33119/978-83-8030-468-0_2021_37_56</w:t>
      </w:r>
    </w:p>
    <w:p>
      <w:r>
        <w:t>Shared claim-specific concepts: approach, aid, support; EU scope visible. This is a provisional connection, not an outcome finding.</w:t>
      </w:r>
    </w:p>
    <w:p>
      <w:r>
        <w:t>Available abstract (not full text): Taking into consideration all changes in the EU law after Poland’s accession, one can assume, that directions and scope of public interventions should be similar among the EU Member States. At the same time, it is obvious, that they should take account of financial constraints, starting points and national/government preferences. Therefore, the primary goal of the chapter is to present Poland’s performance in the EU in terms of state aid granted after the EU accession. To this end we introduced two indices, which are based on works on trade by distinguished authors: Relative State Aid Intensity Index and State Aid Similarity Index. Our research allows us to formulate two observations: first, that state aid in Poland is subordinated to EU multiannual financial programmes in terms of available/offered financial sources, and second, the structure of state aid offered in Poland does not match the structure of public financial assistance observed in most other EU Member States. Poland still grants mailny regional investment aid, which does not require any sophisticated criteria, and only a small percentage of aid for environmental protection and energy, which would support innovation and, at the same time, is desirable in the face of climate change.</w:t>
      </w:r>
    </w:p>
    <w:p>
      <w:r>
        <w:t>POSSIBLE 2021: Research Handbook on European State Aid Law — https://doi.org/10.4337/9781789909258</w:t>
      </w:r>
    </w:p>
    <w:p>
      <w:r>
        <w:t>Shared claim-specific concepts: approach, aid, support; EU scope visible. This is a provisional connection, not an outcome finding.</w:t>
      </w:r>
    </w:p>
    <w:p>
      <w:r>
        <w:t>Available abstract (not full text): This chapter reviews the political science research on European Union (EU) State aid policy. The literature focuses primarily on the evolution of State aid control and on the institutions and actors who play a role in the policy. Resting on Treaty provisions that were little used in the first decades of the European Community, the Commission’s incremental soft law approach, supportive jurisprudence from the Court of Justice of the European Union (CJEU), and the involvement private complainants have helped bring together Commission and Member State interests in support of State aid control. The Commission’s handling of the financial crisis, a test for the more mature regime, has been largely judged a success. Over time policy initiatives have helped to reduce and target national subsidies, and the enforcement of and compliance with the Treaty provisions have improved dramatically since the late 1980s. The political dimension of the policy seems to have less resonance these days, as there are fewer high-profile controversial cases than in the past, but there are still interesting questions to be addressed about the way in which competition, regional, environmental, cultural and industrial policies are balanced against each other in the design and application of the EU-level policy and decision-making, and what the implications of UK’s departure from the EU and the emergence of po</w:t>
      </w:r>
    </w:p>
    <w:p>
      <w:pPr>
        <w:pStyle w:val="Heading2"/>
      </w:pPr>
      <w:r>
        <w:t>Crisis futures: The affects and temporalities of economic collapse in Iceland</w:t>
      </w:r>
    </w:p>
    <w:p>
      <w:r>
        <w:t>Original source (2020): https://doi.org/10.1080/02757206.2020.1762589</w:t>
      </w:r>
    </w:p>
    <w:p>
      <w:r>
        <w:t>Original wording (abstract; indexed_source_text_not_full_document_verified): We conclude by discussing the unfinished nature of crisis and role of public forecasting as a means for contending with ongoing economic insecurity.</w:t>
      </w:r>
    </w:p>
    <w:p>
      <w:r>
        <w:t>POSSIBLE 2025: "Happy those for whom the fold of ...": Intention and interpretation in the unfinished Romantic poetic text — https://openalex.org/W7135642000</w:t>
      </w:r>
    </w:p>
    <w:p>
      <w:r>
        <w:t>Shared claim-specific concepts: conclude, unfinished, role; EU scope not established. This is a provisional connection, not an outcome finding.</w:t>
      </w:r>
    </w:p>
    <w:p>
      <w:r>
        <w:t>Available abstract (not full text): This thesis interrogates the "unfinished" aspect of Romantic poetic text as that which facilitates potential meaning and interpretation, realising the claim to "participate in the infinite", as per Percy Bysshe Shelley. Both Shelley and John Keats concern themselves with investigating the limits of finite language and the mediating role of the poet in their major unfinished works, The Triumph of Life and The Fall of Hyperion, close readings of which will be conducted across three chapters. To supplement this analysis, the conciliations between a range of critical approaches to "unfinished" text will be discussed, from the structural linguistic view of text in general as both process and product of language use, poetic text being one aesthetic typology thereof, to the monumentalising of fragmentary, discontinuous text as a discrete poetic form in Romantic criticism. As well as this, the accretion of unintentional aesthetic features in the work into an intentional structure will be seen as a necessary procedure in this substantiation of the fragment form. The thesis will conclude that the capacity for unfinished text to potentialise meaning through the absence of finite language is far more potent than the use of language for specific expression. As such, the unfinished poems discussed herein realize and...</w:t>
      </w:r>
    </w:p>
    <w:p>
      <w:r>
        <w:t>POSSIBLE 2023: Unfinished Discourse Of ‘Backwardness’ In Independent India — https://doi.org/10.59670/ml.v20is5.8377</w:t>
      </w:r>
    </w:p>
    <w:p>
      <w:r>
        <w:t>Shared claim-specific concepts: unfinished, role; EU scope not established. This is a provisional connection, not an outcome finding.</w:t>
      </w:r>
    </w:p>
    <w:p>
      <w:r>
        <w:t>Available abstract (not full text): This paper discusses the Second Backward Commission (Mandal Commission) and its impact on the discourse of backwardness in India. It provides an overview of the formation and function of the Mandal Commission of India. It was established to address the issue of ‘socially and educationally backward classes’ in country in the late 1980s. The Commission identified backwardness based on eleven social, educational and economic indicators and recommended the formation of a third category of groups eligible for reservations called ‘Other Backward Classes’ (OBCs). The article also highlights the controversy and implementation of the Commission's recommendations between 1990 and 2006. Additionally, it discusses the role of political parties of India and other stakeholders in the debates surrounding reservation policies. (F. No. 02/151/2016-17/RP_ICSSR Research 2016). “The excerpts and findings of this article are sourced from the ICSSR-sponsored national research project titled “Status of Reservation Policy: A Study of Higher Educational Institutions in Bihar.” (1)</w:t>
      </w:r>
    </w:p>
    <w:p>
      <w:r>
        <w:t>POSSIBLE 2021: The unfinished business of Church history — https://doi.org/10.4102/ve.v42i1.2329</w:t>
      </w:r>
    </w:p>
    <w:p>
      <w:r>
        <w:t>Shared claim-specific concepts: unfinished, role, ongoing; EU scope not established. This is a provisional connection, not an outcome finding.</w:t>
      </w:r>
    </w:p>
    <w:p>
      <w:r>
        <w:t>Available abstract (not full text): The Church will presumably have unfinished business until the day when Christ returns. And Church history will, in gruesome details, bear witness to the missed opportunities, the failures and wrongdoings and all the mistakes made. This is especially true in South Africa where racial tensions, violence, crimes and numerous other evils prevail, while the bride of Christ, in hiding from the realities of life, is awaiting death. The first part of the article explains why this is the case and the second part proposes some rectifications towards how adjudication and reconciliation can be attained through new life in a novel way of being Church to the world. Intradisciplinary and/or interdisciplinary implications: Christians, theologians and Church historians must openly and honestly expose the use and abuse of (Church) history, and the role that collective memory played in constructing misleading perceptions of the past through the implementation of motivated reasoning. A comprehensive, amended rewriting of Church history that includes all sources that fed Christianity in South Africa during the past nearly 370 years must reconceptualise our religious past towards a healing future. This can promote unity and bring closure to at least some issues while providing a renewed focus on the ongoing need for constant reformation, a renewed comprehension of spirituality, and inspiring Missiol</w:t>
      </w:r>
    </w:p>
    <w:p>
      <w:pPr>
        <w:pStyle w:val="Heading2"/>
      </w:pPr>
      <w:r>
        <w:t>Diverging hydrological drought traits over Europe with global warming</w:t>
      </w:r>
    </w:p>
    <w:p>
      <w:r>
        <w:t>Original source (2020): https://doi.org/10.5194/hess-24-5919-2020</w:t>
      </w:r>
    </w:p>
    <w:p>
      <w:r>
        <w:t>Original wording (abstract; indexed_source_text_not_full_document_verified):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w:t>
      </w:r>
    </w:p>
    <w:p>
      <w:r>
        <w:t>POSSIBLE 2026: Hydrological drought but not flood synchronicity increases over Europe — https://doi.org/10.5194/egusphere-egu26-4770</w:t>
      </w:r>
    </w:p>
    <w:p>
      <w:r>
        <w:t>Shared claim-specific concepts: hydrological, droughts, water; EU scope visible. This is a provisional connection, not an outcome finding.</w:t>
      </w:r>
    </w:p>
    <w:p>
      <w:r>
        <w:t>Available abstract (not full text):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r>
        <w:t>POSSIBLE 2026: Hydrological drought projections across Europe under climate change — https://doi.org/10.1038/s44304-025-00152-w</w:t>
      </w:r>
    </w:p>
    <w:p>
      <w:r>
        <w:t>Shared claim-specific concepts: hydrological, across, increasing, index, water; EU scope visible. This is a provisional connection, not an outcome finding.</w:t>
      </w:r>
    </w:p>
    <w:p>
      <w:r>
        <w:t>Available abstract (not full text):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r>
        <w:t>POSSIBLE 2026: Future changes in frequency and intensity of meteorological and hydrological droughts in Denmark — https://doi.org/10.5194/egusphere-egu26-5003</w:t>
      </w:r>
    </w:p>
    <w:p>
      <w:r>
        <w:t>Shared claim-specific concepts: hydrological, droughts, across, increasing, simulations, water; EU scope visible. This is a provisional connection, not an outcome finding.</w:t>
      </w:r>
    </w:p>
    <w:p>
      <w:r>
        <w:t>Available abstract (not full text): Drought frequency is projected to increase in mainland Europe while decreasing in Scandinavia under climate change, placing Denmark in a hydro-climatic transition zone with an uncertain future. This makes Denmark a relevant case for analysing future changes in the meteorological forcing and hydrological response, that can ultimately lead to substantial implications for agriculture and water resource management.We investigate future changes in drought frequency and intensity in Denmark up to 2100, combining regional climate model simulations (Euro-CORDEX), which were adjusted using observational data to produce Klimaatlas Denmark, and hydrological model outputs from the National Hydrological Model of Denmark. Drought conditions are analysed using standardised indices representing different components of the hydrological cycle, including precipitation (SPI), precipitation-evapotranspiration balance (SPEI), soil moisture (ESSMI), streamflow (SDI) as well as shallow and deep groundwater (SGDI). We compared these indices using a drought multi-threshold method for a consistent comparison across variables.Results show a clear seasonal signal in meteorological drought, with decreasing frequency in winter and increasing frequency in summer. Accounting for evapotranspiration further amplifies projected summer drought conditions. In contrast, streamflow and groundwater droughts are projec</w:t>
      </w:r>
    </w:p>
    <w:p>
      <w:r>
        <w:t>POSSIBLE 2025: Spatiotemporal characteristics of meteorological and hydrological droughts across Europe — https://doi.org/10.1080/19475705.2025.2567413</w:t>
      </w:r>
    </w:p>
    <w:p>
      <w:r>
        <w:t>Shared claim-specific concepts: hydrological, droughts, across, warming, water; EU scope visible. This is a provisional connection, not an outcome finding.</w:t>
      </w:r>
    </w:p>
    <w:p>
      <w:r>
        <w:t>Available abstract (not full text): Amid ongoing global warming and growing water resource pressures, droughts have intensified in frequency and severity across Europe. Using ERA5 reanalysis data (1970–2024), we assessed four drought indices—meteorological (SPI, SPEI) and hydrological (SRI, RZI)—at 3-, 6-, and 12-month scales. Spatiotemporal dynamics were evaluated through trend analysis (Mann–Kendall), persistence assessment (Hurst exponent), abrupt change detection (mutation test), spatial pattern metrics (Fragstats), and inter-index correlation. Results show that hydrological droughts exhibited stronger trends and persistence than meteorological droughts. Significant intensification emerged in Western, Eastern, and Southern Europe, with SRI and RZI affecting nearly 700 × 10⁴ km². Breakpoints were detected in 1974 for meteorological and 1993–1994 for hydrological indices. Landscape analysis indicated increased patch numbers, higher spatial complexity, and aggregation, particularly for hydrological indices. Inter-index correlations were high at the 12-month scale (|R| &gt; 0.6) but declined (~0.3) at the 3-month scale, revealing divergence between meteorological and hydrological droughts. These findings advance understanding of drought evolution and underlying climate mechanisms, providing scientific support for monitoring, early warning, and adaptive water management strategies in Europe.</w:t>
      </w:r>
    </w:p>
    <w:p>
      <w:r>
        <w:t>POSSIBLE 2025: Intergenerational inequity from hydrological drought in a warming world — https://doi.org/10.1016/j.jenvman.2025.125988</w:t>
      </w:r>
    </w:p>
    <w:p>
      <w:r>
        <w:t>Shared claim-specific concepts: shows, hydrological, droughts, across, warming, river; EU scope visible. This is a provisional connection, not an outcome finding.</w:t>
      </w:r>
    </w:p>
    <w:p>
      <w:r>
        <w:t xml:space="preserve">Available abstract (not full text): As warmer temperatures enhance atmospheric moisture, hydrological droughts tend to intensify in most regions of the globe. Consequently, younger generations are expected to face a more severe risk of hydrological drought during their lifetimes, emphasizing the critical issue of intergenerational inequity due to climate change. To quantify exposure to hydrological drought across generations, we constructed a cascade model chain for drought simulation using hybrid terrestrial models, based on 5 GCM outputs under SSP5-85, five hydrological models and a deep learning model. We then projected future univariate and bivariate hydrological drought evolution in 4091 river basins, and quantified lifetime exposure to drought for the age groups born in 2020 and 1960. Drought severity and duration are projected to increase substantially in the Eastern America, Southern Brazil and Western Europe, over 79 % of basins. Extreme droughts far beyond historical records are expected to become more frequent and impact Western Europe in particular. Of note, the exposure of the different age groups to hydrological drought shows a notable disequilibrium. Exposure of people born in 2020 to hydrological drought hazards is projected to increase by 12 % over the late 21st century compared to those born in 1960, indicating that the acceleration of climate change is expected to increase the lifetime risk of </w:t>
      </w:r>
    </w:p>
    <w:p>
      <w:r>
        <w:t>POSSIBLE 2024: Direct and lagged climate change effects intensified the 2022 European drought — https://doi.org/10.1038/s41561-024-01559-2</w:t>
      </w:r>
    </w:p>
    <w:p>
      <w:r>
        <w:t>Shared claim-specific concepts: hydrological, droughts, warming, river, simulations, water; EU scope visible. This is a provisional connection, not an outcome finding.</w:t>
      </w:r>
    </w:p>
    <w:p>
      <w:r>
        <w:t>Available abstract (not full text):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r>
        <w:t>POSSIBLE 2023: Hydrological Drought Generation Processes and Severity Are Changing in the Alps — https://doi.org/10.1029/2022gl101776</w:t>
      </w:r>
    </w:p>
    <w:p>
      <w:r>
        <w:t>Shared claim-specific concepts: hydrological, droughts, water; EU scope visible. This is a provisional connection, not an outcome finding.</w:t>
      </w:r>
    </w:p>
    <w:p>
      <w:r>
        <w:t>Available abstract (not full text): Abstract Streamflow droughts are governed by different hydro‐meteorological processes, whose relative importance may change over time, with potential impacts on drought severity. Here, we assess changes in the importance of different hydrological drought generation processes in the European Alps by applying a standardized drought type classification scheme to two time periods—one in the distant (1970–1993) and one in the recent past (1994–2017). Our findings show that changes in the relative importance of different drought generation processes are stronger in high‐elevation catchments, where we detect clear changes in drought seasonality, than in low‐elevation catchments. Furthermore, they suggest that changes in drought severity and generation processes are related because increasingly frequent snowmelt‐deficit droughts in high‐elevation catchments have larger deficits than droughts caused by decreasingly frequent cold temperatures. These changes might persist into the future, because of continuing decreases in snow cover and increases in evapotranspiration, with potential implications for water management.</w:t>
      </w:r>
    </w:p>
    <w:p>
      <w:r>
        <w:t>POSSIBLE 2023: A pan-European analysis of drought events and impacts — https://doi.org/10.5194/egusphere-egu23-12961</w:t>
      </w:r>
    </w:p>
    <w:p>
      <w:r>
        <w:t>Shared claim-specific concepts: hydrological, droughts, across, index, river, simulations; EU scope visible. This is a provisional connection, not an outcome finding.</w:t>
      </w:r>
    </w:p>
    <w:p>
      <w:r>
        <w:t>Available abstract (not full text): A drought is a slowly developing natural phenomenon that can occur in all climatic zones, and propagates through the entire hydrological cycle with long-term economic and environmental impacts. Climate change has made drought one of the greatest natural hazards in Europe, affecting large areas and populations. Different definitions of drought exist, i.e. meteorological, hydrological, and agricultural droughts, which vary according to the time horizon considered and differ in the variable used to define them. Just as there is no single definition of drought, there is no single index that accounts for all the types of droughts. As a consequence, capturing the evolution of drought dynamics and associated impacts across different temporal and spatial scales remains a critical challenge.In this work, we analyze existing standardized drought indexes in terms of their ability in detecting drought events at the pan-European scale using data from HydroGFD2.0 reanalysis and E-HYPE hydrological model simulations over the time period 1993-2018. We firstly compare the frequency and mean duration of drought events detected by different indexes to identify the river basins mostly affected by droughts and to assess similarities and differences in the information provided by different indexes. We then compare them with the drought impacts recorded in the Geocoded Disasters (GDIS) dataset to exa</w:t>
      </w:r>
    </w:p>
    <w:p>
      <w:r>
        <w:t>POSSIBLE 2023: The Development of a Hydrological Drought Index for Lithuania — https://doi.org/10.3390/w15081512</w:t>
      </w:r>
    </w:p>
    <w:p>
      <w:r>
        <w:t>Shared claim-specific concepts: hydrological, droughts, increasing, levels, index, river; EU scope visible. This is a provisional connection, not an outcome finding.</w:t>
      </w:r>
    </w:p>
    <w:p>
      <w:r>
        <w:t>Available abstract (not full text): Recently, the number and intensity of hydrological droughts have been increasing; thus, it is necessary to identify and respond to them quickly. Since the primary hydrological data in Lithuania are water levels, and converting these data into discharge takes additional time, there is a need to develop a methodology or adapt these data to analyze and detect hydrological droughts. This paper examines the concept of the standardized water level index (SWLI) calculation, which is based on the standardized precipitation index (SPI) and streamflow drought index (SDI) methods. SDI and SWLI data were compared; SWLI was used to analyze the situation in the past and future. A total of 15 main sub-basins were considered, and the future discharge of three rivers was estimated; SWLI showed good compatibility with SDI. To better analyze droughts, the use of severe drought threshold values (SDTV) was suggested as some river data (especially those for small rivers) needed to be corrected due to dense riverine flora. The dry years and trends identified by SWLI are consistent with previous studies.</w:t>
      </w:r>
    </w:p>
    <w:p>
      <w:r>
        <w:t>POSSIBLE 2022: The Complex and Spatially Diverse Patterns of Hydrological Droughts Across Europe — https://doi.org/10.1029/2022wr031976</w:t>
      </w:r>
    </w:p>
    <w:p>
      <w:r>
        <w:t>Shared claim-specific concepts: hydrological, droughts, across; EU scope visible. This is a provisional connection, not an outcome finding.</w:t>
      </w:r>
    </w:p>
    <w:p>
      <w:r>
        <w:t>Available abstract (not full text): Abstract This study presents a new data set of gauged streamflow (N = 3,224) for Europe spanning the period 1962–2017. The Monthly Streamflow of Europe Dataset (MSED) is freely available at http://msed.csic.es/ . Based on this data set, changes in the characteristics of hydrological drought (i.e., frequency, duration, and severity) were assessed for different regions of Europe. Due to the density of the database, it is possible to delimit spatial patterns in hydrological droughts trend with the greatest detail available to date. Results reveal bidirectional changes in monthly streamflow, with negative changes predominating over central and southern Europe, while positive trends dominate over northern Europe. Temporally, two dominant patterns were noted. The first pattern corresponds to a consistent downward trend in all months, evident for southern Europe. A second pattern was noted over central and northern Europe and western France, with a predominant negative trend during warm months and a positive trend in cold months. For hydrological drought events, results suggest a positive trend toward more frequent and severe droughts in southern and central Europe and conversely a negative trend over northern Europe. This study emphasizes that hydrological droughts show complex spatial patterns across Europe over the past six decades, implying that hydrological drought behavior in Eu</w:t>
      </w:r>
    </w:p>
    <w:p>
      <w:r>
        <w:t>POSSIBLE 2022: The timing of unprecedented hydrological drought under climate change — https://doi.org/10.1038/s41467-022-30729-2</w:t>
      </w:r>
    </w:p>
    <w:p>
      <w:r>
        <w:t>Shared claim-specific concepts: hydrological, droughts, low-flow, river, discharge, simulations; EU scope visible. This is a provisional connection, not an outcome finding.</w:t>
      </w:r>
    </w:p>
    <w:p>
      <w:r>
        <w:t>Available abstract (not full text): Droughts that exceed the magnitudes of historical variation ranges could occur increasingly frequently under future climate conditions. However, the time of the emergence of unprecedented drought conditions under climate change has rarely been examined. Here, using multimodel hydrological simulations, we investigate the changes in the frequency of hydrological drought (defined as abnormally low river discharge) under high and low greenhouse gas concentration scenarios and existing water resource management measures and estimate the time of the first emergence of unprecedented regional drought conditions centered on the low-flow season. The times are detected for several subcontinental-scale regions, and three regions, namely, Southwestern South America, Mediterranean Europe, and Northern Africa, exhibit particularly robust results under the high-emission scenario. These three regions are expected to confront unprecedented conditions within the next 30 years with a high likelihood regardless of the emission scenarios. In addition, the results obtained herein demonstrate the benefits of the lower-emission pathway in reducing the likelihood of emergence. The Paris Agreement goals are shown to be effective in reducing the likelihood to the unlikely level in most regions. However, appropriate and prior adaptation measures are considered indispensable when facing unprecedented drough</w:t>
      </w:r>
    </w:p>
    <w:p>
      <w:r>
        <w:t>POSSIBLE 2022: Hydrological Retrospective and Historical Drought Analysis in a Brazilian Savanna Basin — https://doi.org/10.3390/w14142178</w:t>
      </w:r>
    </w:p>
    <w:p>
      <w:r>
        <w:t>Shared claim-specific concepts: hydrological, droughts, index, water; EU scope visible. This is a provisional connection, not an outcome finding.</w:t>
      </w:r>
    </w:p>
    <w:p>
      <w:r>
        <w:t>Available abstract (not full text): Analyzing historical droughts is essential to improve the assessment of future hydrological risks and to understand the effects of climate variability on streamflow. However, prolonged and consistent hydrological time series are scarce in the Brazilian savanna region. This study aimed to analyze the performance of climate reanalysis products in precipitation estimation, hydrological modeling, and historical drought analysis in a Brazilian savanna basin. For this purpose, precipitation data from the twentieth-century atmospheric model ensemble (ERA-20CM) and the land component of the fifth generation of European ReAnalysis (ERA5-Land) with bias correction were used. The weather variables were obtained from the Climatic Research Unit (CRU) and the hydrological modeling was performed using the Soil and Water Assessment Tool (SWAT). The Standardized Streamflow Index (SSI) was used to calculate hydrological drought in the basin. Overall, ERA5-Land performed satisfactorily in precipitation estimation, mainly on the monthly time scale, hydrological modeling, and drought prediction. Since ERA-20CM showed unsatisfactory values for the performance statistics in all analyses, the hydrologic drought (1950 to 2018) was performed with ERA5-Land. The results showed both an increase in the number of dry months and a decrease in wet months in recent decades.</w:t>
      </w:r>
    </w:p>
    <w:p>
      <w:pPr>
        <w:pStyle w:val="Heading2"/>
      </w:pPr>
      <w:r>
        <w:t>Dutch Public health Foresight study 2018/20</w:t>
      </w:r>
    </w:p>
    <w:p>
      <w:r>
        <w:t>Original source (2020): https://doi.org/10.1093/eurpub/ckaa165.1290</w:t>
      </w:r>
    </w:p>
    <w:p>
      <w:r>
        <w:t>Original wording (abstract; indexed_source_text_not_full_document_verified): Dementia will be the leading cause of mortality and disease burden in 2040 by far. Health care expenditures will double by 2040, with cancers showing the most rapid growth of all disease groups.</w:t>
      </w:r>
    </w:p>
    <w:p>
      <w:r>
        <w:t>POSSIBLE 2026: Seeking the Cause of Dementia: An Analysis of Correlation Leading to Hypotheses for Causation and the Grok-Ritchie Dementia Protocol — https://doi.org/10.5281/zenodo.19362993</w:t>
      </w:r>
    </w:p>
    <w:p>
      <w:r>
        <w:t>Shared claim-specific concepts: dementia, leading, cause, health; EU scope not established. This is a provisional connection, not an outcome finding.</w:t>
      </w:r>
    </w:p>
    <w:p>
      <w:r>
        <w:t>Available abstract (not full text):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and actually a protocol for the NIH funders.</w:t>
      </w:r>
    </w:p>
    <w:p>
      <w:r>
        <w:t>POSSIBLE 2026: Seeking the Cause of Dementia: An Analysis of Correlation Leading to Hypotheses for Causation and Treatment — https://doi.org/10.5281/zenodo.19360093</w:t>
      </w:r>
    </w:p>
    <w:p>
      <w:r>
        <w:t>Shared claim-specific concepts: dementia, leading, cause, health; EU scope not established. This is a provisional connection, not an outcome finding.</w:t>
      </w:r>
    </w:p>
    <w:p>
      <w:r>
        <w:t>Available abstract (not full text): The US Health and Human Services Secretary, RFK Junior, said in testimony to the House Labor-HHS Appropriations Subcommittee on 2026March14-15 in response to the heavily funded and fruitless amyloidal plaque focussed dementia research that: "We should have the cure for Alzheimer’s today. We don’t have it purely because of corruption at NIH. And we are going to have it quickly." So lets have a look at some of the evidence for the potential causes and potential cures for dementia and see if we can offer some alternative hypotheses for the NIH funders.</w:t>
      </w:r>
    </w:p>
    <w:p>
      <w:r>
        <w:t>POSSIBLE 2026: New data showing dementia is Australia’s leading cause of death means we need to make brain health a national priority — https://doi.org/10.1016/j.anzjph.2026.100318</w:t>
      </w:r>
    </w:p>
    <w:p>
      <w:r>
        <w:t>Shared claim-specific concepts: dementia, leading, cause, health, showing; EU scope not established. This is a provisional connection, not an outcome finding.</w:t>
      </w:r>
    </w:p>
    <w:p>
      <w:r>
        <w:t>Available abstract (not full text): Unavailable</w:t>
      </w:r>
    </w:p>
    <w:p>
      <w:r>
        <w:t>POSSIBLE 2025: Dementia is a neglected noncommunicable disease and leading cause of death — https://doi.org/10.1038/s41582-024-01051-w</w:t>
      </w:r>
    </w:p>
    <w:p>
      <w:r>
        <w:t>Shared claim-specific concepts: dementia, leading, cause, disease; EU scope not established. This is a provisional connection, not an outcome finding.</w:t>
      </w:r>
    </w:p>
    <w:p>
      <w:r>
        <w:t>Available abstract (not full text): Unavailable</w:t>
      </w:r>
    </w:p>
    <w:p>
      <w:r>
        <w:t>POSSIBLE 2025: Dementia is now the leading cause of death in Australia. But why is it fatal? — https://doi.org/10.64628/aa.ykgeqx5n6</w:t>
      </w:r>
    </w:p>
    <w:p>
      <w:r>
        <w:t>Shared claim-specific concepts: dementia, leading, cause; EU scope not established. This is a provisional connection, not an outcome finding.</w:t>
      </w:r>
    </w:p>
    <w:p>
      <w:r>
        <w:t>Available abstract (not full text): Unavailable</w:t>
      </w:r>
    </w:p>
    <w:p>
      <w:r>
        <w:t>POSSIBLE 2023: Ranking of Alzheimer's disease and related dementia among the leading causes of death in the US varies depending on NCHS or WHO definitions — https://doi.org/10.1002/dad2.12442</w:t>
      </w:r>
    </w:p>
    <w:p>
      <w:r>
        <w:t>Shared claim-specific concepts: dementia, leading, disease, health; EU scope not established. This is a provisional connection, not an outcome finding.</w:t>
      </w:r>
    </w:p>
    <w:p>
      <w:r>
        <w:t>Available abstract (not full text): INTRODUCTION: We compared the ranking of Alzheimer's disease and related dementia (ADRD) among the leading causes of death (LCODs) between those according to the National Center for Health Statistics (NCHS) and the World Health Organization (WHO) lists by sex. METHOD: The number of deaths in each LCOD category was obtained from CDC WONDER. RESULTS: According to the WHO list, ADRD was the second LCOD from 2005 to 2013, the first from 2014 to 2020, and the third in 2021, respectively, for women and was the second in 2018 and 2019, the third in 2020, and the fourth in 2021, respectively, for men. According to the NCHS list, Alzheimer's disease was the fourth in 2019 and 2020 for women and was the seventh from 2016 to 2019 for men. DISCUSSION: The ranking of ADRD among the LCODs according to the WHO list was higher than those according to the NCHS list.</w:t>
      </w:r>
    </w:p>
    <w:p>
      <w:r>
        <w:t>POSSIBLE 2023: The worldwide costs of dementia in 2019 — https://doi.org/10.1002/alz.12901</w:t>
      </w:r>
    </w:p>
    <w:p>
      <w:r>
        <w:t>Shared claim-specific concepts: dementia, leading, cause, care; EU scope not established. This is a provisional connection, not an outcome finding.</w:t>
      </w:r>
    </w:p>
    <w:p>
      <w:r>
        <w:t>Available abstract (not full text): INTRODUCTION: Dementia is a leading cause of death and disability globally. Estimating total societal costs demonstrates the wide impact of dementia and its main direct and indirect economic components. METHODS: We constructed a global cost model for dementia, presenting costs as cumulated global and regional costs. RESULTS: In 2019, the annual global societal costs of dementia were estimated at US $1313.4 billion for 55.2 million people with dementia, corresponding to US $23,796 per person with dementia. Of the total, US $213.2 billion (16%) were direct medical costs, US $448.7 billion (34%) direct social sector costs (including long-term care), and US $651.4 billion (50%) costs of informal care. DISCUSSION: The huge costs of dementia worldwide place enormous strains on care systems and families alike. Although most people with dementia live in low- and middle-income countries, highest total and per-person costs are seen in high-income countries. HIGHLIGHTS: Global economic costs of dementia were estimated to reach US $1313.4 in 2019. Sixty-one percent of people with dementia live in low-and middle-income countries, whereas 74% of the costs occur in high-income countries. The impact of informal care accounts for about 50% of the global costs. The development of a long-term care infrastructure is a great challenge for low-and middle-income countries. There is a great need for m</w:t>
      </w:r>
    </w:p>
    <w:p>
      <w:r>
        <w:t>POSSIBLE 2023: Dementia: Dementia Types. — https://openalex.org/W4388801546</w:t>
      </w:r>
    </w:p>
    <w:p>
      <w:r>
        <w:t>Shared claim-specific concepts: dementia, leading, cause, disease; EU scope not established. This is a provisional connection, not an outcome finding.</w:t>
      </w:r>
    </w:p>
    <w:p>
      <w:r>
        <w:t>Available abstract (not full text): Dementia, also called major neurocognitive disorder, is characterized by a chronic progressive loss of cognitive function in the absence of fluctuating consciousness. It represents a primarily geriatric syndrome that may be caused by one of several underlying conditions. There is insufficient evidence to support universal screening for cognitive impairment in older adults; however, clinicians should be alert to patient and caregiver concerns about cognitive changes and investigate such concerns with validated cognitive assessment tools. Alzheimer disease is the leading cause and prototypical form of dementia, presenting insidiously and causing progressive cognitive impairment with increasing severity over a period of years. Vascular dementia is the second most common form of dementia and often co-occurs with other progressive cognitive disorders. Lewy body dementias encompass Parkinson disease dementia and dementia with Lewy bodies, which have similar features and are differentiated primarily by the order of motor and cognitive symptom onset. Frontotemporal dementias occur earlier than other forms of dementia, progress rapidly, and often have a genetic component. An understanding of the conditions that cause dementia will assist clinicians in making an accurate diagnosis and providing appropriate treatment recommendations and counseling regarding the diagnosis and prognosis.</w:t>
      </w:r>
    </w:p>
    <w:p>
      <w:r>
        <w:t>POSSIBLE 2023: The use of neuroimaging techniques in the early and differential diagnosis of dementia — https://doi.org/10.1038/s41380-023-02215-8</w:t>
      </w:r>
    </w:p>
    <w:p>
      <w:r>
        <w:t>Shared claim-specific concepts: dementia, leading, cause, disease, care; EU scope not established. This is a provisional connection, not an outcome finding.</w:t>
      </w:r>
    </w:p>
    <w:p>
      <w:r>
        <w:t>Available abstract (not full text): Abstract Dementia is a leading cause of disability and death worldwide. At present there is no disease modifying treatment for any of the most common types of dementia such as Alzheimer’s disease (AD), Vascular dementia, Lewy Body Dementia (LBD) and Frontotemporal dementia (FTD). Early and accurate diagnosis of dementia subtype is critical to improving clinical care and developing better treatments. Structural and molecular imaging has contributed to a better understanding of the pathophysiology of neurodegenerative dementias and is increasingly being adopted into clinical practice for early and accurate diagnosis. In this review we summarise the contribution imaging has made with particular focus on multimodal magnetic resonance imaging (MRI) and positron emission tomography imaging (PET). Structural MRI is widely used in clinical practice and can help exclude reversible causes of memory problems but has relatively low sensitivity for the early and differential diagnosis of dementia subtypes. 18 F-fluorodeoxyglucose PET has high sensitivity and specificity for AD and FTD, while PET with ligands for amyloid and tau can improve the differential diagnosis of AD and non-AD dementias, including recognition at prodromal stages. Dopaminergic imaging can assist with the diagnosis of LBD. The lack of a validated tracer for α-synuclein or TAR DNA-binding protein 43 (TDP-43) imaging rema</w:t>
      </w:r>
    </w:p>
    <w:p>
      <w:r>
        <w:t>POSSIBLE 2023: Dementia Related Deaths: A Multiple Cause Coding Study — https://doi.org/10.52403/ijhsr.20231034</w:t>
      </w:r>
    </w:p>
    <w:p>
      <w:r>
        <w:t>Shared claim-specific concepts: dementia, leading, cause, mortality, disease, all; EU scope not established. This is a provisional connection, not an outcome finding.</w:t>
      </w:r>
    </w:p>
    <w:p>
      <w:r>
        <w:t>Available abstract (not full text): Background: A multiple cause coding of death certificates is a new way of looking at mortality statistics. Death is attributed to a network of interacting pathological conditions, not just to one disease. For dementia - the leading cause of death in many countries today - this implies a revaluation on its role as cause of death. Methods: All records mentioning dementia in the 2014-2017 Dutch cause-of-death registry were selected (n = 98 718, 18% of all records). Two internationals agreed on measures for multiple cause coding were calculated: the standardized rate of dementia begin mentioned versus dementia being underlying cause of death (SRMU) and the cause of death association index (CDAI) for relationships between dementia and other diseases or disorders mentioned on the same death certificate. Results: Dementia was the underlying cause of death in 59% of the death certificates mentioning dementia. The SRMU was 1.68 for all forms of dementia and decreased with an increase of diagnostic specification. For men the SRMU was higher than for women. With regard to all causes being mentioned on a death certificate, several clusters causing death could be identified: 1. Dementia associated with cachexia and dehydration, 2. Dementia associated with infections (pneumonia, urinary tract), 3. Dementia associated with falls, 4. Dementia associated with cardiovascular disorders. Conclusio</w:t>
      </w:r>
    </w:p>
    <w:p>
      <w:r>
        <w:t>POSSIBLE 2023: Dementia in Diabetes: The Role of Hypoglycemia — https://doi.org/10.3390/ijms24129846</w:t>
      </w:r>
    </w:p>
    <w:p>
      <w:r>
        <w:t>Shared claim-specific concepts: dementia, leading, cause, mortality; EU scope not established. This is a provisional connection, not an outcome finding.</w:t>
      </w:r>
    </w:p>
    <w:p>
      <w:r>
        <w:t>Available abstract (not full text): Hypoglycemia, a common consequence of diabetes treatment, is associated with severe morbidity and mortality and has become a major barrier to intensifying antidiabetic therapy. Severe hypoglycemia, defined as abnormally low blood glucose requiring the assistance of another person, is associated with seizures and comas, but even mild hypoglycemia can cause troubling symptoms such as anxiety, palpitations, and confusion. Dementia generally refers to the loss of memory, language, problem-solving, and other cognitive functions, which can interfere with daily life, and there is growing evidence that diabetes is associated with an increased risk of both vascular and non-vascular dementia. Neuroglycopenia resulting from a hypoglycemic episode in diabetic patients can lead to the degeneration of brain cells, with a resultant cognitive decline, leading to dementia. In light of new evidence, a deeper understating of the relationship between hypoglycemia and dementia can help to inform and guide preventative strategies. In this review, we discuss the epidemiology of dementia among patients with diabetes, and the emerging mechanisms thought to underlie the association between hypoglycemia and dementia. Furthermore, we discuss the risks of various pharmacological therapies, emerging therapies to combat hypoglycemia-induced dementia, as well as risk minimization strategies.</w:t>
      </w:r>
    </w:p>
    <w:p>
      <w:r>
        <w:t>POSSIBLE 2022: Occupational Therapy Utilization in Veterans With Dementia: A Retrospective Review of Root Cause Analyses of Falls Leading to Adverse Events. — https://doi.org/10.1097/pts.0000000000000860</w:t>
      </w:r>
    </w:p>
    <w:p>
      <w:r>
        <w:t>Shared claim-specific concepts: dementia, leading, cause, mortality, health, all; EU scope not established. This is a provisional connection, not an outcome finding.</w:t>
      </w:r>
    </w:p>
    <w:p>
      <w:r>
        <w:t>Available abstract (not full text): INTRODUCTION: Falls in persons with dementia are associated with increased mortality. Occupational therapy (OT) is a rehabilitation discipline, which has, among its goals, the promotion of safety and fall prevention in older adults and those with dementia. The purpose of this study was to evaluate root cause analysis (RCA) data to identify causes of falls with adverse events in patients with dementia who were referred to or receiving OT services within the Veterans Health Administration (VHA). METHODS: This study used retrospective review of RCAs within the National Center for Patient Safety database for the VHA. The RCA database was searched using these terms: falls with adverse events, dementia, and OT. Descriptive statistical analysis of demographic information, location, occurrence of orthopedic fracture, and mortality was used. All root causes were qualitatively categorized using thematic analysis of determined causes. RESULTS: Eighty RCAs were included in analysis. Mean age of veterans included was 80 years; 96% were male; 76% resulted in hip fracture; and 20% died as a result of the fall. Occupational therapy evaluations occurred within 7 days of admission to VHA and falls most frequently occurred within 4 days of OT evaluation. Most common causes included inappropriate or lack of equipment (21%), need for falls/rehabilitation assessment (20%), compliance/training to fal</w:t>
      </w:r>
    </w:p>
    <w:p>
      <w:pPr>
        <w:pStyle w:val="Heading2"/>
      </w:pPr>
      <w:r>
        <w:t>ENERGY: DEVELOPMENT FORECASTS, BIFURCATION POINTS (OVERVIEW)</w:t>
      </w:r>
    </w:p>
    <w:p>
      <w:r>
        <w:t>Original source (2020): https://doi.org/10.31472/ttpe.4.2020.7</w:t>
      </w:r>
    </w:p>
    <w:p>
      <w:r>
        <w:t>Original wording (abstract; indexed_source_text_not_full_document_verified): Global political changes in the USSR and in the world (the era of "perestroika", the collapse of the USSR and the entire socialist camp) made it impossible to fulfill the main provisions of the USSR Energy Program for the long term and the republican target complex scientific and technical program "Energocomplex", as well as the creation of a new production technology electric power (thermal power plant with combined cycle - MHD generator as a superstructure above the steam power unit). 2020 may also be a bifurcation point in the development of energy in the world and in the regions. Suggestions are made for the need to support the energy strategy, including the energy strategy adopted in Ukraine in 2017 for the period up to 2035, by working documents - operational sliding forecast plans (roadmaps) to manage and monitor its implementation at intermediate time intervals, creating perhaps a specialized structure for these purposes.</w:t>
      </w:r>
    </w:p>
    <w:p>
      <w:r>
        <w:t>POSSIBLE 2026: CLIMATE CHANGE AND GLOBAL POLITICS IN CONTEMPORARY AGE — https://doi.org/10.56815/ijmrr.v5i7.2026.395-411</w:t>
      </w:r>
    </w:p>
    <w:p>
      <w:r>
        <w:t>Shared claim-specific concepts: political, energy, well; EU scope not established. This is a provisional connection, not an outcome finding.</w:t>
      </w:r>
    </w:p>
    <w:p>
      <w:r>
        <w:t>Available abstract (not full text): This study examined the relationship between climate change and global politics in the contemporary age. The method of systematic literature review was applied to analyse the recent academic research that was published in the period between 2020 and 2025. The major databases were searched to gather articles, which were filtered according to PRISMA rules and analysed via thematic analysis. According to the findings, climate change influences international cooperation, diplomacy, energy policy, as well as global governance. Climate action and the creation of a common goal are assisted by global institutions and climate agreements, helping countries to coordinate action and create goals. Nonetheless, effective standards to enforce climate policies remain stifled by political issues, economic gains, and societal polarisation. The paper stated that effective climate action requires more international cooperation and fully committed political action. The review leads to comprehending climate change as an environmental and political issue.</w:t>
      </w:r>
    </w:p>
    <w:p>
      <w:r>
        <w:t>POSSIBLE 2025: Bodily Autonomy and Identity Politics: Feminist Approaches in the Era of Global Political Changes : Editors’ Note — https://openalex.org/W7125467776</w:t>
      </w:r>
    </w:p>
    <w:p>
      <w:r>
        <w:t>Shared claim-specific concepts: political, era, main; EU scope not established. This is a provisional connection, not an outcome finding.</w:t>
      </w:r>
    </w:p>
    <w:p>
      <w:r>
        <w:t>Available abstract (not full text): Our intention for this special issue of the AM Journal of Art and Media Studies was to offer a platform for voices that are rarely heard in public discourse, and to present topics that are of great importance primarily to the feminist and queer communities, but also to the society as a whole – because no one is free and safe until we are all free and safe. Collected papers in this issue deal with feminist and queer topics belonging to various social contexts. The main topic is divided into three thematic units. The first unit comprises texts describing feminist and related progressive movements. The second thematic unit focuses on anti-gender movements and transfeminist resistance against them. The third thematic unit is dedicated to the feminist and queer analyses of various artistic formats.</w:t>
      </w:r>
    </w:p>
    <w:p>
      <w:r>
        <w:t>POSSIBLE 2022: Change in Global Environmental Politics — https://doi.org/10.1017/9781009165877</w:t>
      </w:r>
    </w:p>
    <w:p>
      <w:r>
        <w:t>Shared claim-specific concepts: political, world; EU scope not established. This is a provisional connection, not an outcome finding.</w:t>
      </w:r>
    </w:p>
    <w:p>
      <w:r>
        <w:t>Available abstract (not full text): As wildfires rage, pollution thickens, and species disappear, the world confronts environmental crisis with a set of global institutions in urgent need of reform. Yet, these institutions have proved frustratingly resistant to change. Introducing the concept of Temporal Focal Points, Manulak shows how change occurs in world politics. By re-envisioning the role of timing and temporality in social relations, his analysis presents a new approach to understanding transformative phases in international cooperation. We may now be entering such a phase, he argues, and global actors must be ready to realize the opportunities presented. Charting the often colorful and intensely political history of change in global environmental politics, this book sheds new light on the actors and institutions that shape humanity's response to planetary decline. It will be of interest to scholars and advanced students of international relations, international organization and environmental politics and history.</w:t>
      </w:r>
    </w:p>
    <w:p>
      <w:r>
        <w:t>POSSIBLE 2022: Livestock, methane, and climate change: The politics of global assessments — https://doi.org/10.1002/wcc.790</w:t>
      </w:r>
    </w:p>
    <w:p>
      <w:r>
        <w:t>Shared claim-specific concepts: political, scientific; EU scope not established. This is a provisional connection, not an outcome finding.</w:t>
      </w:r>
    </w:p>
    <w:p>
      <w:r>
        <w:t>Available abstract (not full text): The relationship between livestock production and climate change is the subject of hot debate, with arguments for major shifts in diets and a reduction in livestock production. This Perspective examines how global assessments of livestock-derived methane emissions are framed, identifying assumptions and data gaps that influence standard life-cycle analysis approaches. These include inadequate data due to a focus on industrial not extensive systems; errors arising due to inappropriate emission factors being applied; questions of how global warming potentials are derived for different greenhouse gases and debates about what baselines are appropriate. The article argues for a holistic systems approach that takes account of diverse livestock systems-both intensive and extensive-including both positive and negative impacts. In particular, the potential benefits of extensive livestock systems are highlighted, including supporting livelihoods, providing high-quality nutrition, enhancing biodiversity, protecting landscapes, and sequestering carbon. By failing to differentiate between livestock systems, global assessments may mislead. Inappropriate measurement, verification and reporting processes linked to global climate change policy may in turn result in interventions that can undermine the livelihoods of extensive livestock-keepers in marginal areas, including mobile pastoralists. I</w:t>
      </w:r>
    </w:p>
    <w:p>
      <w:r>
        <w:t>POSSIBLE 2021: Generic, growing, green?: The changing political economy of the global pesticide complex — https://doi.org/10.1080/03066150.2020.1839053</w:t>
      </w:r>
    </w:p>
    <w:p>
      <w:r>
        <w:t>Shared claim-specific concepts: political, complex; EU scope not established. This is a provisional connection, not an outcome finding.</w:t>
      </w:r>
    </w:p>
    <w:p>
      <w:r>
        <w:t>Available abstract (not full text): Agriculture is now more dependent on pesticides than ever. The value of global pesticide imports increased 3x faster in the 2000s than in the 1990s. Structural transformations in the industry – including reduced innovation, increased regulatory costs, consolidation, and a dramatic shift to generic pesticides largely produced in China – have shifted prices, supply chains and formulations. The ‘supermarket revolution’, migration, and rising labor costs are driving an increase in demand. The result is a pesticide complex that is multipolar, where commodity chains and environmental impacts are less legible, requiring a hard look at the chemical nature of agrarian capitalism.</w:t>
      </w:r>
    </w:p>
    <w:p>
      <w:r>
        <w:t>POSSIBLE 2021: The Climate Crisis, Renewable Energy, and the Changing Landscape of Global Energy Politics — https://doi.org/10.1177/03043754211040698</w:t>
      </w:r>
    </w:p>
    <w:p>
      <w:r>
        <w:t>Shared claim-specific concepts: political, world, era, collapse, energy; EU scope not established. This is a provisional connection, not an outcome finding.</w:t>
      </w:r>
    </w:p>
    <w:p>
      <w:r>
        <w:t>Available abstract (not full text): Abstract This essay reviews three recent books on the changing landscape of global energy politics in the era of climate change. Key questions that the authors investigate include: how will the renewable energy transition reshape the global balance of power? How will political-economic interdependencies and geopolitical alignments shift? Will contemporary petro-states adapt or collapse? And what new patterns of peace and conflict may emerge in a decarbonized world order? The authors provide different perspectives on the likely speed of the energy transition and its geopolitical implications. However, they occlude deeper questions about the depth of the transformations needed to prevent climate catastrophe—particularly in the nature of capitalism and military power—and the potential for more radical perspectives on energy futures. In contrast, I will argue that we should advance a critical research agenda on the global energy transition that accounts for the possibility of more far-reaching transformations in the political-economic, military, and ideological bases of world politics and highlights diverse movements fighting for their realization. These possible transformations include (1) transitions to post-growth political economies; (2) a radical shrinkage of emissions-intensive military–industrial complexes; and (3) decolonizing ideologies of “progress.” If struggles for alte</w:t>
      </w:r>
    </w:p>
    <w:p>
      <w:pPr>
        <w:pStyle w:val="Heading2"/>
      </w:pPr>
      <w:r>
        <w:t>EU land use futures: modelling food, bioenergy and carbon dynamics</w:t>
      </w:r>
    </w:p>
    <w:p>
      <w:r>
        <w:t>Original source (2020): https://doi.org/10.1016/j.esr.2020.100545</w:t>
      </w:r>
    </w:p>
    <w:p>
      <w:r>
        <w:t>Original wording (abstract; indexed_source_text_not_full_document_verified): We demonstrate that changes in types and quantities of food consumed and reductions in food wastes along with sustainable bioenergy and forestry dynamics would materially assist the EU in meeting its 2050 climate mitigation obligations. This paper presents an original system dynamics model, which aims to assess how changes in diet, agricultural practices, bioenergy and forestry could help reduce greenhouse gas emissions.</w:t>
      </w:r>
    </w:p>
    <w:p>
      <w:r>
        <w:t>POSSIBLE 2026: European runoff drought event types: From historical classification to projected future changes — https://doi.org/10.5194/egusphere-2026-973</w:t>
      </w:r>
    </w:p>
    <w:p>
      <w:r>
        <w:t>Shared claim-specific concepts: demonstrate, types, climate, assess; EU scope visible. This is a provisional connection, not an outcome finding.</w:t>
      </w:r>
    </w:p>
    <w:p>
      <w:r>
        <w:t>Available abstract (not full text): Abstract. European drought events have intensified in recent decades, raising concerns about water resources, agriculture, and ecosystem health. Most existing continental-scale drought assessments provide limited attribution of drought changes to the processes that generate runoff drought, which constrains understanding of how these processes will evolve in a warming climate. In this study, we provide the first continental-scale assessment of future changes in runoff drought generation processes across Europe, focusing on rainfall deficit, rain-to-snow and wet-to-dry season transitions, and snow-related processes. We used a continental-scale hydrological model in combination with observed meteorological data and climate simulations (GCMs) under a middle-of-the-road emission scenario (i.e., RCP4.5, ≈2 °C global warming by 2100). Unlike widely used aggregated drought index-based studies, our mechanism-specific classification approach distinguishes the physical drivers of drought events by classifying runoff droughts into seven event types based on their severity, duration, and frequency and leverages spatial clustering analysis (Getis–Ord G∗i method) to assess the climate responses. Our analysis reveals considerable regional differences in drought mechanisms and their responses. Historical observations (1971–2000) highlight that Mediterranean Europe experiences the most severe dr</w:t>
      </w:r>
    </w:p>
    <w:p>
      <w:r>
        <w:t>POSSIBLE 2026: Sowing the seeds of change: unveiling farmer types to promote climate-smart agriculture adoption in Europe — https://doi.org/10.1016/j.jrurstud.2026.104043</w:t>
      </w:r>
    </w:p>
    <w:p>
      <w:r>
        <w:t>Shared claim-specific concepts: demonstrate, types, food, climate, mitigation; EU scope visible. This is a provisional connection, not an outcome finding.</w:t>
      </w:r>
    </w:p>
    <w:p>
      <w:r>
        <w:t>Available abstract (not full text): Climate-smart agriculture (CSA) promises to provide a triple win in economic viability, food security and climate change mitigation. This study develops a European farmer typology to enhance the adoption of CSA by combining two research streams, the COM-B behavioural-change theory and segmentation research. Using a survey of 603 farmers from five European countries (Denmark, Lithuania, Netherlands, Slovenia, Spain), the study applies a systematic approach, examining capability, opportunity and motivation factors of the COM-B model. Data analysis resulted into classifying farmers into four types: environmentalists, constrained, indifferents, and traditionalists . The farmer typology reveals that all components of the COM-B model were useful to differentiate the four farmer groups. Environmentalists express high intention to adopt CSA, motivated both internally, by capabilities and motivation, and externally by the opportunities in the social and food systems environments. Constrained farmers share similar intentions but face significant barriers in physical opportunities, such as limited access to markets and credit, policy framework and market willingness to pay. Indifferents, despite sharing some commonalities with constrained farmers, they demonstrate low interest in CSA mainly due to lower levels of psychological capabilities and motivation. Finally, the traditionalists face</w:t>
      </w:r>
    </w:p>
    <w:p>
      <w:r>
        <w:t>POSSIBLE 2024: European Forest Type Map — https://doi.org/10.5194/egusphere-egu24-3418</w:t>
      </w:r>
    </w:p>
    <w:p>
      <w:r>
        <w:t>Shared claim-specific concepts: types, along, climate, mitigation, system, aims; EU scope visible. This is a provisional connection, not an outcome finding.</w:t>
      </w:r>
    </w:p>
    <w:p>
      <w:r>
        <w:t>Available abstract (not full text): Forest types are key factors to consider when monitoring forests, particularly in consideration of the increasing need to assess how climate change is affecting different forests in Europe and beyond. A comprehensive classification system is indeed essential for understanding the diverse forest ecosystems, tracking their changes over time and across various spatial and geographical scales. Moreover, it provides valuable insights on the baseline conditions and current states of forest ecosystems, aiding in decision-making for conservation and resource management. A "forest type classification scheme" aims to break down extensive forested areas, like stocked forest land, into smaller, more similar units. This breakdown helps streamline the analysis, interpretation, and communication of forest-related data. In Europe, the European Forest Types (EFT) classification system has demonstrated its effectiveness and user-friendliness in facilitating the comprehension, interpretation, and dissemination of data regarding indicators that depict the conditions and changes within European forests, as well as forest management practices. The EFT, could support a standardised reporting of several forest area related indicators. This includes assessments of biodiversity, organised into ecologically similar groups across the entire European region. However, until now, there was no EFTs map availa</w:t>
      </w:r>
    </w:p>
    <w:p>
      <w:r>
        <w:t>POSSIBLE 2024: Cross‐border dimensions of Arctic climate change impacts and implications for Europe — https://doi.org/10.1002/wcc.905</w:t>
      </w:r>
    </w:p>
    <w:p>
      <w:r>
        <w:t>Shared claim-specific concepts: demonstrate, climate; EU scope visible. This is a provisional connection, not an outcome finding.</w:t>
      </w:r>
    </w:p>
    <w:p>
      <w:r>
        <w:t>Available abstract (not full text):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r>
        <w:t>POSSIBLE 2024: Projections and uncertainties of winter windstorm damage in Europe in a changing climate — https://doi.org/10.5194/nhess-24-1555-2024</w:t>
      </w:r>
    </w:p>
    <w:p>
      <w:r>
        <w:t>Shared claim-specific concepts: demonstrate, climate, mitigation; EU scope visible. This is a provisional connection, not an outcome finding.</w:t>
      </w:r>
    </w:p>
    <w:p>
      <w:r>
        <w:t>Available abstract (not full text):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r>
        <w:t>POSSIBLE 2024: Natural Hazards in a Changing World: Methods for Analyzing Trends and Non‐Linear Changes — https://doi.org/10.1029/2023ef003553</w:t>
      </w:r>
    </w:p>
    <w:p>
      <w:r>
        <w:t>Shared claim-specific concepts: types, dynamics, assess; EU scope visible. This is a provisional connection, not an outcome finding.</w:t>
      </w:r>
    </w:p>
    <w:p>
      <w:r>
        <w:t>Available abstract (not full text): Abstract Estimating the frequency and magnitude of natural hazards largely hinges on stationary models, which do not account for changes in the climatological, hydrological, and geophysical baseline conditions. Using five diverse case studies encompassing various natural hazard types, we present advanced statistical and machine learning methods to analyze and model transient states from long‐term inventory data. A novel storminess metric reveals increasing European winter windstorm severity from 1950 to 2010. Non‐stationary extreme value models quantify trends, seasonal shifts, and regional differences in extreme precipitation for Germany between 1941 and 2021. Utilizing quantile sampling and empirical mode decomposition on 148 years of daily weather and discharge data in the European Alps, we assess the impacts of changing snow cover, precipitation, and anthropogenic river network modifications on river runoff. Moreover, a probabilistic framework estimates return periods of glacier lake outburst floods in the Himalayas, demonstrating large differences in 100‐year flood levels. Utilizing a Bayesian change point algorithm, we track the onset of increased seismicity in the southern central United States and find correlation with wastewater injections into deep wells. In conclusion, data science reveals transient states for very different natural hazard types, characterized by div</w:t>
      </w:r>
    </w:p>
    <w:p>
      <w:r>
        <w:t>POSSIBLE 2023: Reduced grazing and changes in the area of agroforestry in Europe — https://doi.org/10.3389/fenvs.2023.1258697</w:t>
      </w:r>
    </w:p>
    <w:p>
      <w:r>
        <w:t>Shared claim-specific concepts: types, food, system; EU scope visible. This is a provisional connection, not an outcome finding.</w:t>
      </w:r>
    </w:p>
    <w:p>
      <w:r>
        <w:t>Available abstract (not full text):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r>
        <w:t>POSSIBLE 2023: Deep learning-based classification of atmospheric circulation types over Europe in a CMIP6 Large Ensemble — https://doi.org/10.5194/ems2023-327</w:t>
      </w:r>
    </w:p>
    <w:p>
      <w:r>
        <w:t>Shared claim-specific concepts: demonstrate, types, climate, assess; EU scope visible. This is a provisional connection, not an outcome finding.</w:t>
      </w:r>
    </w:p>
    <w:p>
      <w:r>
        <w:t>Available abstract (not full text): The 29 circulation types by Hess &amp; Brezowsky, called “Großwetterlagen”, are one of the most established classification schemes of the large-scale atmospheric circulation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historical data, only very few studies examine future trends in the frequency distribution of these circulation types using climate models. Potential reasons for this, are the lack of an open-source classification method of the “Großwetterlagen” and their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classifying the “Großwetterlagen” using deep learning. We apply this method to the SMHI-LE, an initial-condition single-model large ensemble of the CMIP6 gener</w:t>
      </w:r>
    </w:p>
    <w:p>
      <w:r>
        <w:t>POSSIBLE 2022: COSMOS-Europe: a European network of cosmic-ray neutron soil moisture sensors — https://doi.org/10.5194/essd-14-1125-2022</w:t>
      </w:r>
    </w:p>
    <w:p>
      <w:r>
        <w:t>Shared claim-specific concepts: demonstrate, types, climate, presents; EU scope visible. This is a provisional connection, not an outcome finding.</w:t>
      </w:r>
    </w:p>
    <w:p>
      <w:r>
        <w:t>Available abstract (not full text): Abstract. Climate change increases the occurrence and severity of droughts due to increasing temperatures, altered circulation patterns, and reduced snow occurrence. While Europe has suffered from drought events in the last decade unlike ever seen since the beginning of weather recordings, harmonized long-term datasets across the continent are needed to monitor change and support predictions. Here we present soil moisture data from 66 cosmic-ray neutron sensors (CRNSs) in Europe (COSMOS-Europe for short) covering recent drought events. The CRNS sites are distributed across Europe and cover all major land use types and climate zones in Europe. The raw neutron count data from the CRNS stations were provided by 24 research institutions and processed using state-of-the-art methods. The harmonized processing included correction of the raw neutron counts and a harmonized methodology for the conversion into soil moisture based on available in situ information. In addition, the uncertainty estimate is provided with the dataset, information that is particularly useful for remote sensing and modeling applications. This paper presents the current spatiotemporal coverage of CRNS stations in Europe and describes the protocols for data processing from raw measurements to consistent soil moisture products. The data of the presented COSMOS-Europe network open up a manifold of potential applica</w:t>
      </w:r>
    </w:p>
    <w:p>
      <w:r>
        <w:t>POSSIBLE 2022: Classification of atmospheric circulation types over Europe in a CMIP6 Large Ensemble using Deep Learning — https://doi.org/10.5194/egusphere-egu22-10421</w:t>
      </w:r>
    </w:p>
    <w:p>
      <w:r>
        <w:t>Shared claim-specific concepts: demonstrate, types, climate, assess; EU scope visible. This is a provisional connection, not an outcome finding.</w:t>
      </w:r>
    </w:p>
    <w:p>
      <w:r>
        <w:t>Available abstract (not full text): The 29 circulation types by Hess &amp; Brezowsky, called “Großwetterlagen”, are one of the most established classification schemes of the large-scale atmospheric circulation patterns influencing Europe. They are widely used in order to assess linkages between atmospheric forcing and surface conditions e.g. extreme events like floods or heat waves. Because of the connection between driving circulation type and extreme event, it is of high interest to understand future changes in the occurrence of circulation types in the context of climate change. Even though the “Großwetterlagen” have been commonly used in conjunction with historic data, only very few studies examine future trends in the frequency distribution of these circulation types using climate models. Among the potential limitations for the application of “Großwetterlagen” to climate models are the lack of an open-source classification method and the high range of internal variability. Due to the dynamic nature of the large-scale atmospheric circulation in the mid-latitudes, it is highly relevant to consider the range of internal variability when studying future changes in circulation patterns and to separate the climate change signal from noise. We have therefore developed an open-source, automated method for the classification of the “Großwetterlagen” using deep learning and we apply this method to the SMHI-LENS, an initia</w:t>
      </w:r>
    </w:p>
    <w:p>
      <w:r>
        <w:t>POSSIBLE 2022: Ellenberg‐type indicator values for European vascular plant species — https://doi.org/10.1111/jvs.13168</w:t>
      </w:r>
    </w:p>
    <w:p>
      <w:r>
        <w:t>Shared claim-specific concepts: original, system, aims; EU scope visible. This is a provisional connection, not an outcome finding.</w:t>
      </w:r>
    </w:p>
    <w:p>
      <w:r>
        <w:t>Available abstract (not full text):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r>
        <w:t>POSSIBLE 2021: Scaling up nature-based solutions for climate-change adaptation: Potential and benefits in three European cities — https://doi.org/10.1016/j.ufug.2021.127450</w:t>
      </w:r>
    </w:p>
    <w:p>
      <w:r>
        <w:t>Shared claim-specific concepts: types, quantities, along, climate, mitigation, aims; EU scope visible. This is a provisional connection, not an outcome finding.</w:t>
      </w:r>
    </w:p>
    <w:p>
      <w:r>
        <w:t xml:space="preserve">Available abstract (not full text): Many exemplary projects have demonstrated that Nature-based Solutions (NBS) can contribute to climate change adaptation, but now the challenge is to scale up their use. Setting realistic policy goals requires knowing the amount of different NBS types that can fit in the urban space and the benefits that can be expected. This research aims to assess the potential for a full-scale implementation of NBS for climate-change adaptation in European cities, the expected benefits and co-benefits, and how these quantities relate to the urban structure of the cities. We selected three case studies: Barcelona (Spain), Malmö (Sweden), and Utrecht (the Netherlands), and developed six scenarios that simulate the current condition, the full-scale implementation of different NBS strategies (i.e., installing green roofs, de-sealing parking areas, enhancing vegetation in urban parks, and planting street trees), and a combination of them. Then we applied spatially-explicit methods to assess, for each scenario, two climate change-related benefits, i.e. heat mitigation and stormwater regulation, and three co-benefits, namely carbon storage, biodiversity potential, and overall greenness. Finally, by breaking down the results per land use class, we investigated how the potential and benefits vary depending on the urban form. Most scenarios provide multiple benefits, but each one is characterized by a </w:t>
      </w:r>
    </w:p>
    <w:p>
      <w:pPr>
        <w:pStyle w:val="Heading2"/>
      </w:pPr>
      <w:r>
        <w:t>EU road vehicle energy consumption and CO2 emissions by 2050 – Expert-based scenarios</w:t>
      </w:r>
    </w:p>
    <w:p>
      <w:r>
        <w:t>Original source (2020): https://doi.org/10.1016/j.enpol.2019.111224</w:t>
      </w:r>
    </w:p>
    <w:p>
      <w:r>
        <w:t>Original wording (abstract; indexed_source_text_not_full_document_verified): Outcomes show that tank to wheel road transport CO2 emission reductions up to 90% versus 1990 could be reached by 2050 through strong fleet electrification and if all measures achieve their best potential. To inform long-term policies on transport decarbonisation, the present paper analyses European road transport CO2 emission reduction options by 2050.</w:t>
      </w:r>
    </w:p>
    <w:p>
      <w:r>
        <w:t>POSSIBLE 2026: Knowledge Flow Processes and Organizational Learning Outcomes in Research Think Tanks: Evidence from Kenya. — https://doi.org/10.47787/xn7pck58</w:t>
      </w:r>
    </w:p>
    <w:p>
      <w:r>
        <w:t>Shared claim-specific concepts: outcomes, show, tank, strong; EU scope not established. This is a provisional connection, not an outcome finding.</w:t>
      </w:r>
    </w:p>
    <w:p>
      <w:r>
        <w:t>Available abstract (not full text): How knowledge moves within organizations remains central to understanding why some institutions learn and adapt while others reproduce fragmented routines. Although organizational learning theory recognizes knowledge creation, sharing, documentation and use as interdependent processes, empirical research has largely examined these dimensions in isolation, with limited evidence from research institutions in the Global South. Drawing on the 4I framework of organizational learning, the study examines how knowledge flow processes interact to shape organizational learning outcomes within a Kenyan research think tank. Using a cross-sectional single-case survey design, data were collected from 42 staff members and analyzed though descriptive statistics, chi-square tests, Fisher’s Exact tests and multiple regression models to examine the association and relative influence of knowledge flow dimensions on evidence- informed decision-making, adaptive management and influence of learning on practice. The findings reveal a structural decoupling between knowledge generation and organizational learning; while knowledge creation and within-programme sharing are institutionally strong, they do not consistently translate into organization-wide learning. Knowledge documentation supports retention but remains weakly connected to action. In contrast, knowledge use merges as the strongest and only c</w:t>
      </w:r>
    </w:p>
    <w:p>
      <w:r>
        <w:t>POSSIBLE 2026: Different Colours, Different Outcomes: Tank Colour Shapes Larval Survival, Growth, and Endocrine Response in Cichlasoma dimerus — https://doi.org/10.3390/ani16030466</w:t>
      </w:r>
    </w:p>
    <w:p>
      <w:r>
        <w:t>Shared claim-specific concepts: outcomes, tank, reached; EU scope not established. This is a provisional connection, not an outcome finding.</w:t>
      </w:r>
    </w:p>
    <w:p>
      <w:r>
        <w:t xml:space="preserve">Available abstract (not full text): Early environmental conditions play a critical role in shaping fish physiology and behaviour, with tank colour emerging as a relevant yet often overlooked factor in aquaculture and experimental research. This study investigated how rearing tank colour affects larval performance in the cichlid fish Cichlasoma dimerus. Larvae were reared in white, light-blue, or grey tanks, and survival, growth, pigmentation, sex ratio, skeletal development, and the endocrine responses of somatolactin (Sl) and growth hormone (Gh) were evaluated. Survival was significantly lower in white tanks. Conversely, larvae reared in white tanks reached a higher final body weight, while total length showed a similar but non-significant trend. Gh-immunoreactive cells exhibited significantly larger nuclear areas in larvae reared in white tanks and a tendency toward smaller cytoplasmic areas compared with those from light-blue tanks. Melanophore number did not differ among treatments, whereas larvae from grey tanks showed a higher number of Sl-immunoreactive cells. Sex ratios tended to be female-biased in white tanks. Skeletal development did not differ among tank colours and followed the expected chondrogenesis and ossification sequence. Overall, tank colour influenced multiple aspects of larval development, particularly survival, growth, and endocrine responses, underscoring its relevance in fish rearing and </w:t>
      </w:r>
    </w:p>
    <w:p>
      <w:r>
        <w:t>POSSIBLE 2026: ARTIFICIAL INTELLIGENCE AS A TECHNO-STRATEGIC DOMAIN: A COMPARATIVE ANALYSIS OF THE INFLUENCE OF THINK TANKS ON US AND EUROPEAN AI POLICIES — https://doi.org/10.53443/anadoluibfd.1850103</w:t>
      </w:r>
    </w:p>
    <w:p>
      <w:r>
        <w:t>Shared claim-specific concepts: tank, potential, policies; EU scope visible. This is a provisional connection, not an outcome finding.</w:t>
      </w:r>
    </w:p>
    <w:p>
      <w:r>
        <w:t>Available abstract (not full text): This study examines how structural, financial, and operational differences between American and European think tanks shape the artificial intelligence (AI) policies each ecosystem helps to produce. The core argument is that the competitive, advocacy-focused American think tank ecosystem, funded by private sector and philanthropy, fosters AI policies centered on national security and technological leadership against China. Conversely, European think-tank institutions, characterized by state funding and consensus-oriented structures, prioritize ethical frameworks, digital sovereignty, and trustworthy AI development. Drawing on Schmidt’s discursive institutionalism and Haas’s concept of epistemic communities, the study treats think-tank influence as a matter of discursive register and epistemic cohesion rather than mere visibility, and applies this lens through a systematic document and discourse analysis of prominent think tanks including RAND Corporation, Brookings Institution, CSIS, Heritage Foundation, Bruegel, Chatham House, SWP, and HIIG. This research reveals that US institutions frame AI as a zero-sum geopolitical competition and speak largely to public-political audiences across an ideationally divided field, while European counterparts, operating as a more cohesive expert community addressed to officials, view it as a domain for projecting normative power globally. These</w:t>
      </w:r>
    </w:p>
    <w:p>
      <w:r>
        <w:t>POSSIBLE 2024: Critical diameter for a single-tank molten salt storage – Parametric study on structural tank design — https://doi.org/10.1016/j.est.2024.113870</w:t>
      </w:r>
    </w:p>
    <w:p>
      <w:r>
        <w:t>Shared claim-specific concepts: show, tank, best; EU scope not established. This is a provisional connection, not an outcome finding.</w:t>
      </w:r>
    </w:p>
    <w:p>
      <w:r>
        <w:t xml:space="preserve">Available abstract (not full text): Molten salt thermal energy storage (TES) is a cost-effective option for grid-connected storage in both concentrating solar power (CSP) plants and retrofitted thermal power plants in a multimegawatt scale. Current systems use two tanks (hot and cold), but future systems may use a single tank with a transient temperature profile (hot in the top and cold in the bottom) to reduce costs and space. However, the structural and mechanical design of large-scale molten salt single-tank storages at 560 °C has not been fully explored, and the impact of increasing the operating temperature to 620 °C is still uncertain. The challenge presented by a single tank is the existence of a temperature profile that results in a varying thermal expansion of the tank shell along its height. In the case of larger tanks, this discrepancy can reach a magnitude of centimeters, which in turn gives rise to bending moments. To the best of our knowledge, this study addresses the issue of bending stresses in large-sized high-temperature tanks with thermal stratification for the first time. The modelling approach is applied to single-tank CSP TES systems as a case study to evaluate the constraints imposed by tank size and wall thickness. With the help of experimentally validated numerical methods, it is revealed that a low thermocline thickness can be a limiting factor for large tank diameters. It is shown that </w:t>
      </w:r>
    </w:p>
    <w:p>
      <w:r>
        <w:t>POSSIBLE 2023: Design and optimization of a type-C tank for liquid hydrogen marine transport — https://doi.org/10.1016/j.ijhydene.2023.05.102</w:t>
      </w:r>
    </w:p>
    <w:p>
      <w:r>
        <w:t>Shared claim-specific concepts: outcomes, tank, transport; EU scope not established. This is a provisional connection, not an outcome finding.</w:t>
      </w:r>
    </w:p>
    <w:p>
      <w:r>
        <w:t>Available abstract (not full text): As one of the most promising renewable energy sources, hydrogen has the excellent environmental benefit of producing zero emissions. A key technical challenge in using hydrogen across sectors is placed on its storage technology. The storage temperature of liquid hydrogen (20 K, or −253 °C) is close to absolute zero so the storage materials and the insulation layers are subjected to extremely stringent requirements against the cryogenic behaviour of the medium. In this context, this research proposed to design a large liquid hydrogen type-C tank with AISI (American Iron and Steel Institution) type 316 L stainless steel as the metal barrier, using Vapor-Cooled Shield (VCS) and Rigid Polyurethane Foams (RPF) as the insulation layer. A parametric study on the design of the insulation layer was carried out by establishing a thermodynamic model. The effects of VCS location on heat ingress to the liquid hydrogen transport tank and insulation temperature distribution were investigated, and the optimal location of the VCS in the insulation was identified. Research outcomes finally suggest two optimal design schemes: (1) when the thickness of the insulation layer is determined, Self-evaporation Vapor-Cooled Shield (SVCS) and Forced-evaporation Vapor-Cooled Shield (FVCS) can reduce heat transfer by 47.84% and 85.86% respectively; (2) when the liquid hydrogen evaporation capacity is determ</w:t>
      </w:r>
    </w:p>
    <w:p>
      <w:r>
        <w:t>POSSIBLE 2022: Teaching Acoustics at the EELISA THINK TANK on SUSTAINABLE BUILDINGS — https://doi.org/10.61782/fa.2023.1301</w:t>
      </w:r>
    </w:p>
    <w:p>
      <w:r>
        <w:t>Shared claim-specific concepts: outcomes, tank, all; EU scope visible. This is a provisional connection, not an outcome finding.</w:t>
      </w:r>
    </w:p>
    <w:p>
      <w:r>
        <w:t>Available abstract (not full text): Building acoustics should be seen as a transversal discussion with all the disciplines involved in construction and introducing acoustics to non-acousticians in the construction industry is often challenging.This paper aims at describing the outcomes and methodology of teaching acoustics used during the THINK TANK on SUSTAINABLE BUILDINGS, an activity organized by EELISA, an alliance of Higher Education Institutions from different countries in Europe meant to define and implement a common model of European engineer rooted in society.The EELISA Community "SUSBCC.Technical and Social Challenges for Sustainable Buildings, Cities and Communities" together with the European Space Agency (ESA) planned and coordinated more than 30 workshops in Madrid ESA Headquarters, which were held between students, industry and scientific communities as well as wrap up and integrating sessions.</w:t>
      </w:r>
    </w:p>
    <w:p>
      <w:r>
        <w:t>POSSIBLE 2021: The media and think tanks in China: The construction and propagation of a think tank — https://doi.org/10.1080/01296612.2021.1899785</w:t>
      </w:r>
    </w:p>
    <w:p>
      <w:r>
        <w:t>Shared claim-specific concepts: show, tank, policies; EU scope not established. This is a provisional connection, not an outcome finding.</w:t>
      </w:r>
    </w:p>
    <w:p>
      <w:r>
        <w:t>Available abstract (not full text): With China's rapid growth as a regional and global power, think tanks in China have received increasing attention from politicians and academics, mostly due to the achievements of academic and processing policies. Recently, collaborations between the media and think tanks have become increasingly tight. This article aims to explore China's think tank industry and their relationship with the media by interviewing two members of staff from one of China’s most prominent think tanks and observing the Institute for six months. This study has found that China’s think tanks have a close relationship with the government and the media. The traditional Chinese Confucian culture and the "bureaucracy-oriented tradition" have a significant role in the think tanks' political behavior. This leads the think tanks to play the role of being an advocate of the government. Although social media, to some extent, liberalizes the work style of China's think tanks, the think tanks' use of social media still follows the traditional media logic to facilitate the government's interests. Overall, the study argues that Chinese think tanks show features of being a “Government-lead non-governmental organization" with a semi-official identity to complement the official authorities.</w:t>
      </w:r>
    </w:p>
    <w:p>
      <w:pPr>
        <w:pStyle w:val="Heading2"/>
      </w:pPr>
      <w:r>
        <w:t>EUropean Heliospheric FORecasting Information Asset 2.0</w:t>
      </w:r>
    </w:p>
    <w:p>
      <w:r>
        <w:t>Original source (2020): https://doi.org/10.1051/swsc/2020055</w:t>
      </w:r>
    </w:p>
    <w:p>
      <w:r>
        <w:t>Original wording (abstract; indexed_source_text_not_full_document_verified): This will result in a reliable prediction tool for radiation hazards from SEP events, affecting astronauts, passengers and crew in high-flying aircraft, and the impact of space weather events on power grid infrastructure, telecommunication, and navigation satellites.</w:t>
      </w:r>
    </w:p>
    <w:p>
      <w:r>
        <w:t>POSSIBLE 2025: Exploring Hybrid Forecasting Frameworks for Subseasonal Low Flow Predictions in the European Alps — https://doi.org/10.5194/egusphere-2025-3411</w:t>
      </w:r>
    </w:p>
    <w:p>
      <w:r>
        <w:t>Shared claim-specific concepts: reliable, prediction, events, weather, power; EU scope visible. This is a provisional connection, not an outcome finding.</w:t>
      </w:r>
    </w:p>
    <w:p>
      <w:r>
        <w:t>Available abstract (not full text): Abstract. Since the start of the 21st century, the European Alpine region has faced unprecedented low-flow conditions and drought events, severely impacting sectors dependent on reliable water availability, such as hydropower production, agriculture, and transportation. The growing frequency and severity of these low-flow conditions have led to a need for early warning systems. In this study, we present a novel machine learning (ML) aided hybrid forecasting framework designed to enhance sub-seasonal low-flow predictions in the European Alps. By harnessing the statistical power of ML and integrating diverse data sources, we trained 11 models using the Temporal Fusion Transformer (TFT) algorithm. These models incorporate features such as European Atlantic Weather Regimes (WR) for capturing large-scale atmospheric circulation patterns, in-situ streamflow observations for initial conditions, and process-based predictions from the European Flood Awareness System (EFAS). Our results show that the hybrid framework, even when using only WR data, outperforms climatology. The best results are achieved by combining observational data with process-based model data (raw EFAS output), underscoring the value of integrating diverse data sources. The models effectively capture initial condition persistence and correct biases in the raw EFAS output. Based on the Continuous Ranked Probability Ski</w:t>
      </w:r>
    </w:p>
    <w:p>
      <w:r>
        <w:t>POSSIBLE 2024: IS LOGISTIC REGRESSION RELIABLE IN BANKRUPTCY PREDICTION? — https://doi.org/10.54933/jmbrp-2024-16-1-6</w:t>
      </w:r>
    </w:p>
    <w:p>
      <w:r>
        <w:t>Shared claim-specific concepts: reliable, prediction, tool; EU scope not established. This is a provisional connection, not an outcome finding.</w:t>
      </w:r>
    </w:p>
    <w:p>
      <w:r>
        <w:t>Available abstract (not full text): Background: The fundamental foundation of financial and economic analysis is the implementation of financial and statistical models in business entities. Financial indicators help assess the company's financial situation and, at the same time, represent the most used tool in the detection of bankruptcy. A still significant method is the logistic regression, which ranks among classic statistical methods. Aims: The aim of the paper is to propose a scoring model for non-financial corporations in the electrotechnical industry and to estimate the probability of bankruptcy of enterprises in the electrotechnical industry of the Slovak Republic. Sample: The research sample consists of 1,241 companies operating in the electrotechnical industry of the Slovak Republic, according to SK NACE 26, 27 in the year 2020. Methods: We used logistic regression and designed a logistic model. Financial data were sourced from The Register of Financial Statements of the Slovak Republic. Results: In the bankruptcy model for the electrotechnical industry, the estimated odds ratios showed that the chances of bankruptcy significantly reduce the financial indicators EBITDA/T, ROA, L2, and NWC/A. When these indicators increase, the company's probability (or chance) of bankruptcy decreases. Conclusions: The estimate of a risky company or the probability of its bankruptcy is always very important. Therefore, i</w:t>
      </w:r>
    </w:p>
    <w:p>
      <w:r>
        <w:t>POSSIBLE 2024: Multi-model Physically-based constrained decadal predictions of precipitation over Europe — https://doi.org/10.5194/ems2024-191</w:t>
      </w:r>
    </w:p>
    <w:p>
      <w:r>
        <w:t>Shared claim-specific concepts: reliable, prediction; EU scope visible. This is a provisional connection, not an outcome finding.</w:t>
      </w:r>
    </w:p>
    <w:p>
      <w:r>
        <w:t>Available abstract (not full text): Decadal climate predictions are our most reliable source of climate information for the near-term climate change. They can be very useful to develop climate services to users from sectors such as agriculture, industry, energy, water management, health, etc. However, before developing these climate services, an assessment of the forecast quality for the variables and regions of interest is needed. In this work, we consider the available retrospective decadal predictions (DCPP-A) contributing to phase 6 of the Coupled model Intercomparison Project (CMIP6) and analyze their skill to predict rainfall over Europe. Rainfall variability over Europe is strongly linked to variations in the North Atlantic jet stream. At multidecadal time scales, some studies have shown that the variability of the North Atlantic jet stream could be driven by low-frequency changes in the sea surface temperature over the north Atlantic associated with the Atlantic Multidecadal Variability. Retrospective decadal predictions present skill to predict the low-frequency variability of the SST associated with Atlantic Multidecadal Variability. However, they have difficulties in predicting precipitation variability over Europe. Here, we analyze the skill of DCPP-A models to predict precipitation over Europe, exploring the multimodel ensemble to identify the models with enhanced skill, investigating as well the und</w:t>
      </w:r>
    </w:p>
    <w:p>
      <w:r>
        <w:t>POSSIBLE 2024: Explainable artificial intelligence for reliable water demand forecasting to increase trust in predictions — https://doi.org/10.1016/j.watres.2024.122779</w:t>
      </w:r>
    </w:p>
    <w:p>
      <w:r>
        <w:t>Shared claim-specific concepts: reliable, prediction, weather, infrastructure; EU scope visible. This is a provisional connection, not an outcome finding.</w:t>
      </w:r>
    </w:p>
    <w:p>
      <w:r>
        <w:t>Available abstract (not full text): The "EU Artificial Intelligence Act" sets a framework for the implementation of artificial intelligence (AI) in Europe. As a legal assessment reveals, AI applications in water supply systems are categorised as high-risk AI if a failure in the AI application results in a significant impact on physical infrastructure or supply reliability. The use case of water demand forecasts with AI for automatic tank operation is for example categorised as high-risk AI and must fulfil specific requirements regarding model transparency (traceability, explainability) and technical robustness (accuracy, reliability). To this end, six widely established machine learning models, including both transparent and opaque models, are applied to different datasets for daily water demand forecasting and the requirements regarding model accuracy, transparency and technical robustness are systematically evaluated for this use case. Opaque models generally achieve higher prediction accuracy compared to transparent models due to their ability to capture the complex relationship between parameters like for example weather data and water demand. However, this also makes them vulnerable to deviations and irregularities in weather forecasts and historical water demand. In contrast, transparent models rely mainly on historical water demand data for the utilised dataset and are less influenced by weather data, maki</w:t>
      </w:r>
    </w:p>
    <w:p>
      <w:r>
        <w:t>POSSIBLE 2022: Regional prediction of multi-mycotoxin contamination of wheat in Europe using machine learning — https://doi.org/10.1016/j.foodres.2022.111588</w:t>
      </w:r>
    </w:p>
    <w:p>
      <w:r>
        <w:t>Shared claim-specific concepts: prediction, weather, grid; EU scope visible. This is a provisional connection, not an outcome finding.</w:t>
      </w:r>
    </w:p>
    <w:p>
      <w:r>
        <w:t>Available abstract (not full text): Wheat is susceptible to fungal infection and mycotoxin contamination during its cultivation period, under opportune environmental conditions. The presence of mycotoxins, such as deoxynivalenol and zearalenone, in wheat destined for feed and food can affect animal and human health. This study aimed to develop a machine learning algorithm to predict the risk levels of one or more mycotoxins in wheat on a regional basis in Europe using crop phenological data, weather data, and satellite images as input. A dataset was obtained with 11 years of mycotoxin monitoring data (2010-2020), including historical records of the concentration of deoxynivalenol, zearalenone, T-2 toxin and HT-2 toxin, fumonisins, aflatoxins, and/or ochratoxin A in wheat in Europe. This dataset was linked, based on year and grid (25 × 25 km), to wheat phenology data, weather data, and satellite image data. The complete dataset for the years 2010-2018 was split into a model training (80%) and an internal model validation set (20%). Data for the years 2019 and 2020 were used for external validation. The random forest (RF) algorithm was applied to train the model using the model training data. The model predicts the probability (low, medium, high) of wheat grown in a certain grid in Europe to be contaminated with at least one of the six mycotoxins under study. Results showed high prediction performance of the model:</w:t>
      </w:r>
    </w:p>
    <w:p>
      <w:r>
        <w:t>POSSIBLE 2022: Large-scale circulation patterns and their influence on European winter windstorm predictions — https://doi.org/10.1007/s00382-022-06455-2</w:t>
      </w:r>
    </w:p>
    <w:p>
      <w:r>
        <w:t>Shared claim-specific concepts: prediction, events, weather; EU scope visible. This is a provisional connection, not an outcome finding.</w:t>
      </w:r>
    </w:p>
    <w:p>
      <w:r>
        <w:t>Available abstract (not full text): Abstract Severe winter windstorms are amongst the most damaging weather events for Europe and show significant interannual variability. While surface variables (temperature, precipitation) have been successfully predicted for some time now, predictability of severe windstorms caused by extra-tropical cyclones remains less well explored. This study investigates windstorm prediction skill of the UK Met Office Global Seasonal Forecast System Version 5 (GloSea5) for the Northeast-Atlantic and European region. Based on an objective Lagrangian tracking of severe, damage relevant windstorms, three storm parameters are analysed: windstorm frequency and two intensity measures. Firstly, skill based on direct tracking of simulated windstorms is diagnosed. Significant positive skill for storm frequency and intensity is found over an extended area at the downstream end of the storm track, i.e., from the UK to southern Scandinavia. The skill for frequency agrees well with previous studies for older model versions, while the results of event-based intensity are novel. Receiver Operating Characteristic Curves for three smaller regions reveal significant skill for high and low storm activity seasons. Second, skill of windstorm characteristics based on their multi-linear regressions to three dominant large-scale circulation patterns [i.e., the North Atlantic Oscillation (NAO), the Scandinavian P</w:t>
      </w:r>
    </w:p>
    <w:p>
      <w:r>
        <w:t>POSSIBLE 2022: On the Intersection of Explainable and Reliable AI for Physical Fatigue Prediction — https://doi.org/10.1109/access.2022.3191907</w:t>
      </w:r>
    </w:p>
    <w:p>
      <w:r>
        <w:t>Shared claim-specific concepts: reliable, prediction, space; EU scope not established. This is a provisional connection, not an outcome finding.</w:t>
      </w:r>
    </w:p>
    <w:p>
      <w:r>
        <w:t>Available abstract (not full text): In the era of Industry 4.0, the use of Artificial Intelligence (AI) is widespread in occupational settings. Since dealing with human safety, explainability and trustworthiness of AI are even more important than achieving high accuracy. eXplainable AI (XAI) is investigated in this paper to detect physical fatigue during manual material handling task simulation. Besides comparing global rule-based XAI models (LLM and DT) to black-box models (NN, SVM, XGBoost) in terms of performance, we also compare global models with local ones (LIME over XGBoost). Surprisingly, global and local approaches achieve similar conclusions, in terms of feature importance. Moreover, an expansion from local rules to global rules is designed for Anchors, by posing an appropriate optimization method (Anchors coverage is enlarged from an original low value, 11%, up to 43%). As far as trustworthiness is concerned, rule sensitivity analysis drives the identification of optimized regions in the feature space, where physical fatigue is predicted with zero statistical error. The discovery of such “non-fatigue regions” helps certifying the organizational and clinical decision making.</w:t>
      </w:r>
    </w:p>
    <w:p>
      <w:r>
        <w:t>POSSIBLE 2022: Data-Driven Prediction for Reliable Mission-Critical Communications — https://doi.org/10.54337/aau473636365</w:t>
      </w:r>
    </w:p>
    <w:p>
      <w:r>
        <w:t>Shared claim-specific concepts: reliable, prediction, tool, power; EU scope visible. This is a provisional connection, not an outcome finding.</w:t>
      </w:r>
    </w:p>
    <w:p>
      <w:r>
        <w:t>Available abstract (not full text): 5G New Radio (NR) technology is expected to provide connectivity to a wide variety of services with different Quality of Service (QoS) requirements.For some applications, Key Performance Indicators (KPIs) such as reliability, latency, or data rate may have stringent targets, which will be challenging to meet with the existing Radio Resource Management (RRM), QoS, and mobility management procedures.These procedures are mostly reactive, i.e., a service degradation is only mitigated once it has already occurred.Having some prior knowledge of the network conditions that the User Equipment (UE) will experience can help avoid a situation that may be critical for the service.Specifically, the service could benefit from a more proactive QoS management in the so-called mission-critical communications, such as Vehicle-To-Everything (V2X) or Unmanned Aerial Vehicles (UAV) using cellular networks.The need for this approach is stated by associations and groups such as the 5G Automotive Association (5GAA) or the Aerial Connectivity Joint Activity (ACJA).Both consider a context where the network can predict changes in the QoS.A relevant parameter involved in the RRM decisions, as well as for QoS prediction, is the signal level experienced by a UE, typically expressed using the Reference Signal Received Power (RSRP).RSRP is a key metric, as it is used for several procedures such as cell select</w:t>
      </w:r>
    </w:p>
    <w:p>
      <w:r>
        <w:t>POSSIBLE 2022: Omen: discovering sequential patterns with reliable prediction delays — https://doi.org/10.1007/s10115-022-01660-1</w:t>
      </w:r>
    </w:p>
    <w:p>
      <w:r>
        <w:t>Shared claim-specific concepts: reliable, prediction, events; EU scope not established. This is a provisional connection, not an outcome finding.</w:t>
      </w:r>
    </w:p>
    <w:p>
      <w:r>
        <w:t>Available abstract (not full text): Abstract Suppose we are given a discrete-valued time series $$X $$ X of observed events and an equally long binary sequence $$Y $$ Y that indicates whether something of interest happened at that particular point in time. We consider the problem of mining serial episodes, sequential patterns allowing for gaps, from $$X $$ X that reliably predict those interesting events. Withreliablewe mean patterns that not only predictthatan interesting event is likely to follow, but in particular that we can also accurately tell howhow longuntil that event will happen. In other words, we are specifically interested in patterns with a highly skewed distribution of delays between pattern occurrences and predicted events. As it is unlikely that a single pattern can explain a complex real-world progress, we are after the smallest, least redundant set of such patterns that together explain the interesting events well. We formally define this problem in terms of the Minimum Description Length principle, by which we identify the best patterns as those that describe the occurrences of interesting events $$Y $$ Y most succinctly given the data over $$X $$ X . As neither discovering the optimal explanation of $$Y $$ Y given a set of patterns, nor the discovery of optimal pattern set are problems that allow for straightforward optimization, we break the problem in two and propose effective heuristics fo</w:t>
      </w:r>
    </w:p>
    <w:p>
      <w:r>
        <w:t>POSSIBLE 2021: Seasonal prediction of European summer heatwaves — https://doi.org/10.1007/s00382-021-05828-3</w:t>
      </w:r>
    </w:p>
    <w:p>
      <w:r>
        <w:t>Shared claim-specific concepts: prediction, tool, affecting; EU scope visible. This is a provisional connection, not an outcome finding.</w:t>
      </w:r>
    </w:p>
    <w:p>
      <w:r>
        <w:t>Available abstract (not full text): Abstract Under the influence of global warming, heatwaves are becoming a major threat in many parts of the world, affecting human health and mortality, food security, forest fires, biodiversity, energy consumption, as well as the production and transportation networks. Seasonal forecasting is a promising tool to help mitigate these impacts on society. Previous studies have highlighted some predictive capacity of seasonal forecast systems for specific strong heatwaves such as those of 2003 and 2010. To our knowledge, this study is thus the first of its kind to systematically assess the prediction skill of heatwaves over Europe in a state-of-the-art seasonal forecast system. One major prerequisite to do so is to appropriately define heatwaves. Existing heatwave indices, built to measure heatwave duration and severity, are often designed for specific impacts and thus have limited robustness for an analysis of heatwave variability. In this study, we investigate the seasonal prediction skill of European summer heatwaves in the ECMWF System 5 operational forecast system by means of several dedicated metrics, as well as its added-value compared to a simple statistical model based on the linear trend. We are able to show, for the first time, that seasonal forecasts initialized in early May can provide potentially useful information of summer heatwave propensity, which is the tendency o</w:t>
      </w:r>
    </w:p>
    <w:p>
      <w:r>
        <w:t>POSSIBLE 2021: Reliable Evapotranspiration Predictions with a Probabilistic Machine Learning Framework — https://doi.org/10.3390/w13040557</w:t>
      </w:r>
    </w:p>
    <w:p>
      <w:r>
        <w:t>Shared claim-specific concepts: reliable, prediction, tool, radiation; EU scope not established. This is a provisional connection, not an outcome finding.</w:t>
      </w:r>
    </w:p>
    <w:p>
      <w:r>
        <w:t>Available abstract (not full text): Evapotranspiration is often expressed in terms of reference crop evapotranspiration (ETo), actual evapotranspiration (ETa), or surface water evaporation (Esw), and their reliable predictions are critical for groundwater, irrigation, and aquatic ecosystem management in semi-arid regions. We demonstrated that a newly developed probabilistic machine learning (ML) model, using a hybridized “boosting” framework, can simultaneously predict the daily ETo, Esw, &amp; ETa from local hydroclimate data with high accuracy. The probabilistic approach exhibited great potential to overcome data uncertainties, in which 100% of the ETo, 89.9% of the Esw, and 93% of the ETa test data at three watersheds were within the models’ 95% prediction intervals. The modeling results revealed that the hybrid boosting framework can be used as a reliable computational tool to predict ETo while bypassing net solar radiation calculations, estimate Esw while overcoming uncertainties associated with pan evaporation &amp; pan coefficients, and predict ETa while offsetting high capital &amp; operational costs of EC towers. In addition, using the Shapley analysis built on a coalition game theory, we identified the order of importance and interactions between the hydroclimatic variables to enhance the models’ transparency and trustworthiness.</w:t>
      </w:r>
    </w:p>
    <w:p>
      <w:pPr>
        <w:pStyle w:val="Heading2"/>
      </w:pPr>
      <w:r>
        <w:t>Econometric Studies on the Development of Renewable Energy Sources to Support the European Union 2020–2030 Climate and Energy Framework: A Critical Appraisal</w:t>
      </w:r>
    </w:p>
    <w:p>
      <w:r>
        <w:t>Original source (2020): https://doi.org/10.3390/su12124828</w:t>
      </w:r>
    </w:p>
    <w:p>
      <w:r>
        <w:t>Original wording (abstract; indexed_source_text_not_full_document_verified): One of the key objectives of the European Union is the transition to a total decarbonization of the economy by 2050.</w:t>
      </w:r>
    </w:p>
    <w:p>
      <w:r>
        <w:t>POSSIBLE 2026: Key сhallenges of EU environmental law arising from the European Green Deal — https://doi.org/10.24144/2307-3322.2026.94.2.29</w:t>
      </w:r>
    </w:p>
    <w:p>
      <w:r>
        <w:t>Shared claim-specific concepts: one, key, objectives, transition, economy; EU scope visible. This is a provisional connection, not an outcome finding.</w:t>
      </w:r>
    </w:p>
    <w:p>
      <w:r>
        <w:t>Available abstract (not full text): The article examines the legal nature and specific features of EU environmental law in light of the objectives defined by the proclamation of the European Green Deal policy. The presentation of the European Green Deal has generated considerable public interest and political debate. It has become evident that the chosen path is ambitious yet strategic and will require not only administrative decisions but also regulatory, market-based and procedural instruments, multifaceted cooperation, investment resources, information campaigns. At the same time, the transformations outlined in the Deal will have a cross-sectoral impact on all branches of the economy: industry, construction, agriculture, trade, governance, etc. and will necessitate extensive scientific research and technological innovation. Moreover, these changes will shape future environmental trends for the global community and significantly transform people’s usual way of living life. The analysis of the Communication from the European Commission makes it possible to identify the following key components of the European Green Deal: increasing the EU’s climate ambition for 2030 and 2050; supplying clean, affordable and secure energy; mobilising industry for a clean and circular economy; building and renovating in an energy- and resource-efficient way; striving for zero pollution and a toxic-free environment; preserving and</w:t>
      </w:r>
    </w:p>
    <w:p>
      <w:r>
        <w:t>POSSIBLE 2024: European ATM Key Performance Metrics Evolution — https://doi.org/10.35116/aa.2024.0006</w:t>
      </w:r>
    </w:p>
    <w:p>
      <w:r>
        <w:t>Shared claim-specific concepts: one, key, objectives; EU scope visible. This is a provisional connection, not an outcome finding.</w:t>
      </w:r>
    </w:p>
    <w:p>
      <w:r>
        <w:t>Available abstract (not full text): The aviation industry is one of the most sensitive sectors to external factors. Key performance indicators are quantifiable measures that can perfectly describe the current status of the observed object against a set of targets and objectives. This article aims to assess the evolution of key performance indicators in European but mainly Slovak air traffic management systems. The goal is to emphasize the need for the implementation of measures that can improve the effectiveness of the system. The related research was carried out by the data analysis method. The main goal of the research was to provide a comprehensive insight into the key performance evolution for the last decade and describe the actual status of air traffic management related to airspace overload.</w:t>
      </w:r>
    </w:p>
    <w:p>
      <w:r>
        <w:t>POSSIBLE 2024: Digital Skills Development - A Key Objective Of The European Union Member States — https://doi.org/10.53486/cike2023.23</w:t>
      </w:r>
    </w:p>
    <w:p>
      <w:r>
        <w:t>Shared claim-specific concepts: one, key, union; EU scope visible. This is a provisional connection, not an outcome finding.</w:t>
      </w:r>
    </w:p>
    <w:p>
      <w:r>
        <w:t>Available abstract (not full text): The digital skills nowadays are very important and necessary in many fields of the activity. The Digital skills required in the workplace is one of the method to drive innovation and stay competitive. Developing digital skills is an objective key of the members of EU countries. The Digital Skills Indicator is a tool that monitors Member States' performance in achieving competence targets. This paper analyzes the degree of attainment of basic digital skills in the EU Member States ("low", "narrow" and "limited" digital skills level). The influence of demographic factors on the levels of digital skills is analyzed and the gap between rural and urban areas regarding the population’s digital skills is presented. The importance of digital skills is emphasized both for increasing competitiveness in the labor market and for adopting digital solutions in business.</w:t>
      </w:r>
    </w:p>
    <w:p>
      <w:r>
        <w:t>POSSIBLE 2024: Objectives of the European Green Deal — https://doi.org/10.4324/9781003486732-8</w:t>
      </w:r>
    </w:p>
    <w:p>
      <w:r>
        <w:t>Shared claim-specific concepts: one, key, objectives, union, transition, economy; EU scope visible. This is a provisional connection, not an outcome finding.</w:t>
      </w:r>
    </w:p>
    <w:p>
      <w:r>
        <w:t>Available abstract (not full text): The European Green Deal is a package of policy initiatives aimed at setting the European Union (EU) on a path towards a green transition, with the ultimate goal of achieving climate neutrality by 2050. The European Green Deal was adopted on December 11, 2019. It aims to make Europe the first climate-neutral continent by 2050. In addition, it provides for accelerating economic growth, improving human health and well-being, and caring for the natural environment. The Green Deal is a new all-encompassing growth strategy that aims to rebalance the EU economy and create sustainable industry and transport. The European Climate Law will aim to turn this political commitment into a legal one. The Green Deal is a step towards a more holistic and integrated approach to climate and environmental challenges. It also tries to mainstream environmental policy by combining and enhancing several existing policies, initiatives, and funding programs dedicated to tackling sustainability and climate change issues. The key elements of the European Green Deal were remodeled into a package of new strategies adopted by the European Commission.</w:t>
      </w:r>
    </w:p>
    <w:p>
      <w:r>
        <w:t>POSSIBLE 2024: UKRAINE ON THE ROAD TO EUROPEAN INTEGRATION: KEY STAGES AND PROSPECTS FOR COOPERATION WITH THE EU — https://doi.org/10.36994/2786-9008-2024-5-11</w:t>
      </w:r>
    </w:p>
    <w:p>
      <w:r>
        <w:t>Shared claim-specific concepts: one, key, objectives, union, economy; EU scope visible. This is a provisional connection, not an outcome finding.</w:t>
      </w:r>
    </w:p>
    <w:p>
      <w:r>
        <w:t>Available abstract (not full text): European integration is one of the key objectives of Ukraine's foreign policy, which has defined the country's development trajectory over the past decades. The integration process with the European Union opens substantial opportunities for Ukraine in the political, economic, and social spheres. Furthermore, cooperation with the EU supports the implementation of democratic reforms, improves living standards, enhances investment attractiveness, and strengthens the rule of law. At the same time, integration into the European community grants Ukraine access to significant markets and new opportunities for themodernization of its national economy.However, the path to European integration is accompanied by numerous challenges. Political instability, corruption, and external threats, particularly in the context of military aggression from the Russian Federation, are significant obstacles along this path. Additionally, Ukraine faces issues of institutional weakness, which requires deep reforms within the state governance and justice systems. Despite these difficulties, the European integration course remains a primary development vector, supported by both government and civil society. The Ukrainian public demonstrates substantial support for the European course, viewing the EU as a model of democratic development, human rights protection, and economic stability. However, there are dif</w:t>
      </w:r>
    </w:p>
    <w:p>
      <w:r>
        <w:t>POSSIBLE 2023: The Compliance of Lithuanian Environmental NGO’s Objectives with European Green Deal — https://doi.org/10.5755/j01.eis.1.17.34002</w:t>
      </w:r>
    </w:p>
    <w:p>
      <w:r>
        <w:t>Shared claim-specific concepts: one, key, objectives, economy; EU scope visible. This is a provisional connection, not an outcome finding.</w:t>
      </w:r>
    </w:p>
    <w:p>
      <w:r>
        <w:t>Available abstract (not full text): European Commission in 2019 has developed an ambitious strategy for sustainable economic growth - the European Green Deal. It sets out two key objectives: to make Europe the first climate-neutral continent, with zero net greenhouse gas emissions by 2050 and to decouple economic growth from resource use. While the responsible authorities will be taking the relevant decisions, citizens must also do their part by changing their habits, protecting the environment and conserving natural resources. The Green Deal implementation’s success requires the participation and commitment of the public. There are eight main Green Deal initiatives / policy areas, which need to be transferred to Lithuanian law (Increasing the EU’s climate ambition for 2030 and 2050; Building and renovating in an energy and recourse efficient way; From “Farm to Fork”: a fair, healthy and environmentally friendly food system; Accelerating the shift for sustainable and smart mobility; Supplying clean, affordable and sustainable energy; Mobilizing industry for a clean and circular economy; Preserving and restoring ecosystems and biodiversity; A zero pollution ambition for a toxic free environment). The main tasks of this article were to identify the main goals and initiatives of the European Green Deal, to perform a content analysis of Lithuanian environmental NGOs and their activity goals and present conclusions. P</w:t>
      </w:r>
    </w:p>
    <w:p>
      <w:r>
        <w:t>POSSIBLE 2023: The European Union One Health 2022 Zoonoses Report — https://doi.org/10.2903/j.efsa.2023.8442</w:t>
      </w:r>
    </w:p>
    <w:p>
      <w:r>
        <w:t>Shared claim-specific concepts: one, key, union; EU scope visible. This is a provisional connection, not an outcome finding.</w:t>
      </w:r>
    </w:p>
    <w:p>
      <w:r>
        <w:t>Available abstract (not full text): This report by the European Food Safety Authority and the European Centre for Disease Prevention and Control presents the results of the zoonoses monitoring and surveillance activities carried out in 2022 in 27 Member States (MSs), the United Kingdom (Northern Ireland) and 11 non-MSs. Key statistics on zoonoses and zoonotic agents in humans, food, animals and feed are provided and interpreted historically. In 2022, the first and second most reported zoonoses in humans were campylobacteriosis and salmonellosis, respectively. The number of cases of campylobacteriosis and salmonellosis remained stable in comparison with 2021. Nineteen MSs and the United Kingdom (Northern Ireland) achieved all the established targets in poultry populations for the reduction of Salmonella prevalence for the relevant serovars. Salmonella samples from carcases of various animal species, and samples for Campylobacter quantification from broiler carcases, were more frequently positive when performed by the competent authorities than when own checks were conducted. Yersiniosis was the third most reported zoonosis in humans, followed by Shiga toxin-producing Escherichia coli (STEC) and Listeria monocytogenes infections. L. monocytogenes and West Nile virus infections were the most severe zoonotic diseases, with the most hospitalisations and highest case fatality rates. In 2022, reporting showed an increas</w:t>
      </w:r>
    </w:p>
    <w:p>
      <w:r>
        <w:t>POSSIBLE 2023: Multi-objective optimization of an energy community: an integrated and dynamic approach for full decarbonisation in the European Alps — https://doi.org/10.54337/ijsepm.7607</w:t>
      </w:r>
    </w:p>
    <w:p>
      <w:r>
        <w:t>Shared claim-specific concepts: one, key, total; EU scope visible. This is a provisional connection, not an outcome finding.</w:t>
      </w:r>
    </w:p>
    <w:p>
      <w:r>
        <w:t>Available abstract (not full text): At the local level, energy communities are at the forefront of the European Green Deal strategy offering new opportunities for citizens to get actively involved in energy markets. The scope of this study is to propose a multi-objective optimization framework to minimize both carbon dioxide emissions and total annual costs in an energy community, considering, within different constraints, a wide availability of decision variables including local renewable energy sources, sector coupling, storage and hydrogen. The methodology involves the coupling of the software EnergyPLAN with a multi-objective evolutionary algorithm, considering 2030 and 2050 as target years and modelling a set of eight types of scenarios, each consisting of 100 optimal systems out of 10,000. The case study is an energy community in the European Alps. The results show, on the one hand, the key role of sector coupling technologies such as cogeneration, heat pumps and electric vehicles in exploiting local renewable energy sources and, on the other hand, the higher costs in introducing both electricity storage to achieve a complete decarbonisation and hydrogen as an alternative strategy in the electricity, thermal and transport sectors.</w:t>
      </w:r>
    </w:p>
    <w:p>
      <w:r>
        <w:t>POSSIBLE 2022: Supporting access to key pan-European research infrastructures and international cooperation — https://doi.org/10.1051/epjn/2022032</w:t>
      </w:r>
    </w:p>
    <w:p>
      <w:r>
        <w:t>Shared claim-specific concepts: one, key, objectives; EU scope visible. This is a provisional connection, not an outcome finding.</w:t>
      </w:r>
    </w:p>
    <w:p>
      <w:r>
        <w:t>Available abstract (not full text): Large research infrastructures, especially nuclear ones, are extremely expensive to build and operate. Therefore, to develop expertise and competences in nuclear research is more efficient to have a limited number of complementary specialized large nuclear research infrastructures, shared by European researchers from different countries. This paper describes three different actions to improve the European collaboration in the experimental nuclear research, namely open access to the nuclear research infrastructure of the JRC, the optimization of the use of research reactors in Europe and operation planning of the Jules Horowitz reactor currently under construction. Supporting access to key pan-European research infrastructures strengthens research and innovation, avoiding duplication and optimising resources. It contributes to the European Research Area (ERA) and the European Strategy Forum on Research Infrastructures (ESFRI), as well as to maintaining competence in the EU, which is one of the objectives of the Euratom research and training programme.</w:t>
      </w:r>
    </w:p>
    <w:p>
      <w:r>
        <w:t>POSSIBLE 2022: The novelties of the regulation on health technology assessment, a key achievement for the European union health policies — https://doi.org/10.1515/cclm-2022-0228</w:t>
      </w:r>
    </w:p>
    <w:p>
      <w:r>
        <w:t>Shared claim-specific concepts: one, key, objectives, union; EU scope visible. This is a provisional connection, not an outcome finding.</w:t>
      </w:r>
    </w:p>
    <w:p>
      <w:r>
        <w:t>Available abstract (not full text): Abstract Health technology assessment is a key tool for ensuring healthcare quality, accessibility, and sustainability. The novel European Union (EU) Health Technology Assessment (HTA) regulation of 15 December 2021, in harmonizing the laws of the Member States about the procedures and criteria for the evaluation of health technologies (i.e., medical devices and in vitro diagnostic tools), constitutes a significant achievement in the definition of EU health policies. On the one hand, for the European Union, it constitutes an essential driving force for the development of a competitive market for health technologies and, on the other, for European citizens, it guarantees the application of superordinate safety and quality standards with an impact positive on access to health technologies, including expressly also in vitro diagnostic medical devices classified in class D by art. 47 of Reg. (EU) 2017/746. As pointed out by the European Commissioner for Healthcare, the regulation identifies a new way for the Member States to cooperate on healthcare matters in the Union. The clinical efficacy and safety of drugs and devices are legal assets that today find their protection in a binding and directly applicable regulatory instrument, superordinate in the hierarchy of sources. Implementing the regulation will also be essential to achieve the objectives of the Union’s pharmaceutical str</w:t>
      </w:r>
    </w:p>
    <w:p>
      <w:r>
        <w:t>POSSIBLE 2022: The Development of Renewable Energy Sources in the European Union in the Light of the European Green Deal — https://doi.org/10.3390/en15155576</w:t>
      </w:r>
    </w:p>
    <w:p>
      <w:r>
        <w:t>Shared claim-specific concepts: one, key, union, transition; EU scope visible. This is a provisional connection, not an outcome finding.</w:t>
      </w:r>
    </w:p>
    <w:p>
      <w:r>
        <w:t>Available abstract (not full text): Climate and energy policies are the key areas of the European Union’s development aspirations in the international arena. The European Green Deal sets ambitious new goals in this respect, emphasizing clean energy. The development of the energy sector, relying chiefly on renewable sources, is one of the conditions for the EU to transition to energies that do not produce waste that pollutes or is otherwise harmful to the Earth and human health. This paper assesses the development of renewable sources of energy in the EU and identifies challenges to the realization of the EU’s energy priorities. An analysis of renewable sources of energy in the EU in 2012 and 2020 is the prime method. The generation of primary energy from renewable sources, the share of energy from renewable sources in the final energy consumption, the structure of energy generation from renewable sources, and the share of energy from renewable sources in the energy used by the transport sector are discussed. Secondary data are employed, made available by Eurostat and Statistics Poland. To reach the objective of the study, Z. Hellwig’s taxonomic method is applied to assess the development of renewable energy sources (RES). Cluster analysis (Ward’s agglomerative clustering method) is additionally used for separation of objects and member states that are similar with regard to the phenomenon reviewed. Particular att</w:t>
      </w:r>
    </w:p>
    <w:p>
      <w:r>
        <w:t>POSSIBLE 2021: FERTILIZER MANAGEMENT IN POLAND IN LIGHT OF EUROPEAN GREEN DEAL OBJECTIVES — https://doi.org/10.5604/01.3001.0015.2696</w:t>
      </w:r>
    </w:p>
    <w:p>
      <w:r>
        <w:t>Shared claim-specific concepts: one, key, objectives; EU scope visible. This is a provisional connection, not an outcome finding.</w:t>
      </w:r>
    </w:p>
    <w:p>
      <w:r>
        <w:t>Available abstract (not full text): The aim of the paper is to outline the problem areas of fertilizer management in Poland, taking the need to achieve European Green Deal (EGD) objectives into account. Fertilizer management is one of the key elements of future agricultural policy, to which the European Green Deal refers, and is closer to the Farm to Fork strategy. The emphasis on the need to promote rational fertilizer management in European documents stemmed from the pressures of this economic activity on the natural environment. The paper focuses on the main determinants of fertilizer management, including the costs and quantities of mineral fertilizers used and the results of the NPK fertilizer balance, using the gross balance and indicator method. The study used Statistics Poland data 2007 and 2016 from the Farm Structure Survey and agricultural accountancy FADN 2014-2019. It was found that, at the level of the agricultural sector, the results of fertilizer balances do not create surpluses and problematic issues concern a significant share of farms with an understated balance of main NPK macroelements. The expected reduction in the level of fertilization under the EGD may result in a reduction in production and economic performance from a farm and negatively affect the state of the natural environment. The fertilizer balance and nutrient efficiency level should be used as measurable indicators for setting re</w:t>
      </w:r>
    </w:p>
    <w:p>
      <w:pPr>
        <w:pStyle w:val="Heading2"/>
      </w:pPr>
      <w:r>
        <w:t>Education in an uncertain future: Two scenarios</w:t>
      </w:r>
    </w:p>
    <w:p>
      <w:r>
        <w:t>Original source (2020): https://doi.org/10.14324/lre.18.2.11</w:t>
      </w:r>
    </w:p>
    <w:p>
      <w:r>
        <w:t>Original wording (abstract; indexed_source_text_not_full_document_verified): This article examines two scenarios for the future of education over the coming decades, mainly in England but also in comparable countries.</w:t>
      </w:r>
    </w:p>
    <w:p>
      <w:r>
        <w:t>POSSIBLE 2026: MORPHOLOGICAL MEANS AND STYLISTICS: NOUN, ARTICLE, PRONOUN, ADJECTIVE, VERB — https://doi.org/10.5281/zenodo.19602675</w:t>
      </w:r>
    </w:p>
    <w:p>
      <w:r>
        <w:t>Shared claim-specific concepts: article, examines, two, but, also; EU scope not established. This is a provisional connection, not an outcome finding.</w:t>
      </w:r>
    </w:p>
    <w:p>
      <w:r>
        <w:t>Available abstract (not full text): This study explores the role of morphological means in stylistic expression in the English language, with a particular focus on nouns, articles, pronouns, adjectives, and verbs. Morphology, as a branch of linguistics, examines the structure and formation of words, while stylistics investigates how linguistic forms create expressive, emotional, and functional effects in discourse. The interaction between these two fields demonstrates how grammatical categories contribute not only to meaning but also to stylistic variation in different types of texts. Nouns serve as the primary carriers of conceptual information, while articles regulate definiteness and specificity, shaping the reader’s perception of reference. Pronouns enhance cohesion and reduce lexical repetition, contributing to textual economy and fluidity. Adjectives add descriptive depth and evaluative meaning, playing a crucial role in emotional coloring and imagery. Verbs, as dynamic elements, express actions, states, and processes, significantly influencing the tone and tempo of narration. The analysis shows that the deliberate use of these morphological categories allows authors to achieve stylistic richness, emphasis, and clarity. Understanding their stylistic functions is essential for both linguistic theory and practical language use, particularly in literary and academic writing.</w:t>
      </w:r>
    </w:p>
    <w:p>
      <w:r>
        <w:t>POSSIBLE 2026: To Examine or Not to Examine Discrimination Allegations? Reassessing the Ancillary and Non-Independent Nature of Article 14 of the ECHR — https://doi.org/10.12829/120664</w:t>
      </w:r>
    </w:p>
    <w:p>
      <w:r>
        <w:t>Shared claim-specific concepts: article, examines, two; EU scope visible. This is a provisional connection, not an outcome finding.</w:t>
      </w:r>
    </w:p>
    <w:p>
      <w:r>
        <w:t>Available abstract (not full text): This contribution examines the ECtHR’s approach to discrimination claims under Article 14 ECHR. Despite non-discrimination being a core value of the Convention, Article 14 has been interpreted as an ancillary and non-independent provision. Accordingly, the Court frequently refrains from assessing discrimination allegations once a violation of a substantive right has been established. The contribution identifies two main categories of reasons behind the Court’s reluctance: principled arguments, rooted in the interpretation of Article 14 as lacking autonomous existence, and practical considerations, such as resource constraints and difficulties in proving discriminatory intent. It then explores counterarguments advocating for a shift towards recognizing Article 14 as conferring an autonomous right not to be discriminated against, albeit with a limited scope tied to the enjoyment of Convention rights. Such a development would align with evolutive interpretation, international trends in anti-discrimination law, and the principle of effectiveness, ensuring that rights under the Convention are practical and effective. The paper argues that non-examination of discrimination claims undermines individual justice and the Court’s signalling function, which is crucial for promoting equality and combating structural discriminations. Finally, the article calls for a more consistent and trans</w:t>
      </w:r>
    </w:p>
    <w:p>
      <w:r>
        <w:t>POSSIBLE 2026: TWO CITIES, TWO PINNACLES: THE SAHN-I SEMAN MADRASAH AND THE ULUGH BEG MADRASAH — https://doi.org/10.5281/zenodo.19996432</w:t>
      </w:r>
    </w:p>
    <w:p>
      <w:r>
        <w:t>Shared claim-specific concepts: article, examines, two; EU scope not established. This is a provisional connection, not an outcome finding.</w:t>
      </w:r>
    </w:p>
    <w:p>
      <w:r>
        <w:t>Available abstract (not full text): The article examines two outstanding educational centers of the 15th century — the Ulugh Beg Madrasa in Samarkand and the Sahn-i Seman Madrasa in Istanbul. Their architectural features, educational models, conditions of student life, and their role in shaping the scientific tradition of the Islamic world are analyzed. Special attention is given to Ali Qushchi as a linking figure between the two scholarly traditions.</w:t>
      </w:r>
    </w:p>
    <w:p>
      <w:r>
        <w:t>POSSIBLE 2026: The erstwhile state of Jammu and Kashmir: a constitutional lens to examine In Re: Article 370 of the Constitution — https://doi.org/10.1080/24730580.2026.2644745</w:t>
      </w:r>
    </w:p>
    <w:p>
      <w:r>
        <w:t>Shared claim-specific concepts: article, examines, two; EU scope not established. This is a provisional connection, not an outcome finding.</w:t>
      </w:r>
    </w:p>
    <w:p>
      <w:r>
        <w:t>Available abstract (not full text): The “special status” accorded to the state of Jammu and Kashmir by Article 370 was abrogated by Constitutional Orders dated 5 August 2019 and 6 August 2019. Post abrogation, Parliament introduced the Jammu and Kashmir Reorganization Act 2019, which reorganized the territories of the erstwhile state into two union territories, thereby stripping the state of its statehood. This case note assesses the procedural trickery adopted to “re-integrate” the state of Jammu and Kashmir into the Indian nation-state. To that end, the case note critically analyses the hands-off approach of the Supreme Court of India in In Re: Article 370 of the Constitution (2023). It examines the judgement in relation to the scope of the President’s power to issue the two Constitutional Orders under Article 370 and the extent of Parliament’s power to reorganize the states’ territories, particularly the transformation of a state into a union territory.</w:t>
      </w:r>
    </w:p>
    <w:p>
      <w:r>
        <w:t>POSSIBLE 2026: GRAMMATICAL TRANSFORMATIONS IN TRANSLATION AND THEIR TRANSLATION FEATURES IN ENGLISH AND UZBEK LANGUAGES — https://openalex.org/W7219512121</w:t>
      </w:r>
    </w:p>
    <w:p>
      <w:r>
        <w:t>Shared claim-specific concepts: article, examines, two; EU scope not established. This is a provisional connection, not an outcome finding.</w:t>
      </w:r>
    </w:p>
    <w:p>
      <w:r>
        <w:t>Available abstract (not full text): This article examines the role of grammatical transformations in the translation process between English and Uzbek. Due to significant structural differences between the two languages–particularly in word order, verb morphology, article usage, tense – aspect relations, and syntactic patterns – grammatical transformations become a central translation strategy. The research highlights the types, functions, and translation features of grammatical transformations such as transposition, modulation, substitution, addition, and omission. Examples from literary and informational texts illustrate how translators maintain accuracy, naturalness, and communicative equivalence.</w:t>
      </w:r>
    </w:p>
    <w:p>
      <w:r>
        <w:t>POSSIBLE 2025: The ‘Date’ on Two Dated Palmyran Funerary Reliefs — https://doi.org/10.34780/3j1vr152</w:t>
      </w:r>
    </w:p>
    <w:p>
      <w:r>
        <w:t>Shared claim-specific concepts: article, examines, two; EU scope not established. This is a provisional connection, not an outcome finding.</w:t>
      </w:r>
    </w:p>
    <w:p>
      <w:r>
        <w:t>Available abstract (not full text): The article examines two Palmyran funerary reliefs – the bust of Ḥalīfat in the Freer Gallery of Art in Washington, D.C., and a now rejoined doublebust combining halves in the Ny Carlsberg Glyptotek, Copenhagen and at Stanford University – focusing on the discrepancy between the date of the deceased’s death, as provided by the accompanying inscription, and the actual date of carving.</w:t>
      </w:r>
    </w:p>
    <w:p>
      <w:r>
        <w:t>POSSIBLE 2025: The Use of Articles in Toponymic Phrases in English and Albanian — https://doi.org/10.51558/2490-3647.2025.10.1.213</w:t>
      </w:r>
    </w:p>
    <w:p>
      <w:r>
        <w:t>Shared claim-specific concepts: article, examines, two, also; EU scope not established. This is a provisional connection, not an outcome finding.</w:t>
      </w:r>
    </w:p>
    <w:p>
      <w:r>
        <w:t>Available abstract (not full text): This paper examines noun phrases functioning as toponyms in English and Albanian, with a particular focus on their degree of definiteness. By exploring the role of articles in achieving definiteness, the study conducts a contrastive analysis of article usage in these two languages. Given that the article is a complex grammatical category, acquired progressively across different linguistic levels, the paper aims to analyze and compare its role, grammatical function, and form, as well as the rules governing its use in toponymic phrases. Starting from the premise that English and Albanian belong to distinct language families, the study utilizes a corpus of sentence sets to investigate which linguistic factors influence the use of articles with geographical names. The findings reveal that, in Albanian, syntactic norms ‒ the function of toponymic phrases within sentences ‒ and pragmatic considerations play a significant role in determining article usage. In contrast, article application in English is shaped by the interplay of multiple linguistic disciplines, with semantics exerting the greatest influence. However, syntax also can play a role in dictating usage rules, while pragmatics and historical linguistics provide insights into exceptions and irregularities. This comparative study highlights the differing linguistic mechanisms that govern definiteness in English and Albanian to</w:t>
      </w:r>
    </w:p>
    <w:p>
      <w:r>
        <w:t>POSSIBLE 2024: Use of AI Language Engine ChatGPT 4.0 to Write a Scientific Review Article Examining the Intersection of Alzheimer’s Disease and Bone — https://doi.org/10.1007/s11914-023-00853-z</w:t>
      </w:r>
    </w:p>
    <w:p>
      <w:r>
        <w:t>Shared claim-specific concepts: article, two, but; EU scope not established. This is a provisional connection, not an outcome finding.</w:t>
      </w:r>
    </w:p>
    <w:p>
      <w:r>
        <w:t>Available abstract (not full text): PURPOSE OF REVIEW: This Comment represents three review articles on the relationship between Alzheimer's disease, osteoporosis, and fracture in an exploration of the benefits that AI can provide in scientific writing. The first drafts of the articles were written (1) entirely by humans; (2) entirely by ChatGPT 4.0 (AI-only or AIO); and (3) by humans and ChatGPT 4.0 whereby humans selected literature references, but ChatGPT 4.0 completed the writing (AI-assisted or AIA). Importantly, each review article was edited and carefully checked for accuracy by all co-authors resulting in a final manuscript which was significantly different from the original draft. RECENT FINDINGS: The human-written article took the most time from start to finish, the AI-only article took the least time, and the AI-assisted article fell between the two. When comparing first drafts to final drafts, the AI-only and AI-assisted articles had higher percentages of different text than the human article. The AI-only paper had a higher percentage of incorrect references in the first draft than the AI-assisted paper. The first draft of the AI-assisted article had a higher similarity score than the other two articles when examined by plagiarism identification software. This writing experiment used time tracking, human editing, and comparison software to examine the benefits and risks of using AI to assist in scient</w:t>
      </w:r>
    </w:p>
    <w:p>
      <w:r>
        <w:t>POSSIBLE 2024: Determinante e doppio determinante nel code-switching arabo-italiano — https://doi.org/10.36253/qulso-2421-7220-16575</w:t>
      </w:r>
    </w:p>
    <w:p>
      <w:r>
        <w:t>Shared claim-specific concepts: article, two, also; EU scope not established. This is a provisional connection, not an outcome finding.</w:t>
      </w:r>
    </w:p>
    <w:p>
      <w:r>
        <w:t>Available abstract (not full text): This article explores the phenomenon of code-switching, specifically focusing on bilingual Arabic-Italian determiner phrases which consist of a determiner, such as an article or a demonstrative, followed by a noun phrase as a complement. The data examined were selected from a corpus of Arabic-Italian spontaneous speech with the aim of (1) comparing and describing the characteristics and differences of the determiner systems of the two languages; (2) illustrating the features of code-switching in determiner phrases and the various types found in the collected data; and (3) studying the mutual influence of the two languages in contact contexts. The data analysis revealed two types of code-switching: switching at the beginning of a determiner phrase, where both the determiner and its complement are in the same language, and switching within a determiner phrase, where the determiner and the head noun are from different languages. This latter category also includes determiner phrases with double determiners, which will be analyzed in detail in this article to discuss the features of this linguistic structure in Arabic-Italian bilingual phrases.</w:t>
      </w:r>
    </w:p>
    <w:p>
      <w:r>
        <w:t>POSSIBLE 2023: Two Approaches to Aesthetic Experience — https://doi.org/10.5406/15437809.57.4.01</w:t>
      </w:r>
    </w:p>
    <w:p>
      <w:r>
        <w:t>Shared claim-specific concepts: article, examines, two; EU scope not established. This is a provisional connection, not an outcome finding.</w:t>
      </w:r>
    </w:p>
    <w:p>
      <w:r>
        <w:t>Available abstract (not full text): Abstract This article examines two approaches to aesthetic experience, especially with respect to the practice of art criticism. The two approaches are (1) aesthetic experience construed as experience necessarily valued for its own sake and (2) aesthetic experience characterized in terms of its content. In this article, the content approach is defended as the one most suitable to the practice of art criticism.</w:t>
      </w:r>
    </w:p>
    <w:p>
      <w:r>
        <w:t>POSSIBLE 2023: A Tale of Two Spice Towers — https://doi.org/10.3828/arsjudaica.2023.19.4</w:t>
      </w:r>
    </w:p>
    <w:p>
      <w:r>
        <w:t>Shared claim-specific concepts: article, examines, two; EU scope not established. This is a provisional connection, not an outcome finding.</w:t>
      </w:r>
    </w:p>
    <w:p>
      <w:r>
        <w:t>Available abstract (not full text): This article examines two spice towers in the collection of London’s Victoria and Albert Museum. The first of these (Inv. number 2090-1855) has been published as the earliest surviving example and the only one extant from Sepharad – an attribution that will be questioned. The second (Inv. number M.40&amp;:1-1951) is now exhibited as an Italian fifteenth-century spice tower which was later converted into a reliquary. This study will present the pair’s shifting identities as a cautionary tale for those seeking an accurate picture of Jewish material culture, in particular the Sephardi legacy.</w:t>
      </w:r>
    </w:p>
    <w:p>
      <w:r>
        <w:t>POSSIBLE 2021: Comparing Learners’ Interactions in Conventional and Virtual Classes of Distance Education University: Examining Two Approaches of Teaching Grammar (Research Article) — https://doi.org/10.22034/elt.2021.44749.2352</w:t>
      </w:r>
    </w:p>
    <w:p>
      <w:r>
        <w:t>Shared claim-specific concepts: article, two, education, also; EU scope not established. This is a provisional connection, not an outcome finding.</w:t>
      </w:r>
    </w:p>
    <w:p>
      <w:r>
        <w:t>Available abstract (not full text): Collaborative technologies provide opportunities for English foreign language learners (EFL) to have interactive learning and access to online interactive environments. Interactions that take place between teachers and their students in a classroom context affect learners’ language learning. As such, this research compared interactions between the instructor and her students and between students themselves that took place in conventional and Learning Management Systems (LMS) classes. Second, two different approaches of teaching grammar (implicit and explicit) in conventional and LMS classes were examined. The participants of this study were selected from 94 students of EFL freshmen at two groups of different teaching classes namely, virtual and conventional classes. Having administered a test of homogeneity, the researcher selected 60 learners. They were assigned into four groups, two experimental and two comparative groups. After the treatment, the results of the pre-and post-tests confirmed the positive effect of teaching grammar both explicitly and implicitly in LMS classes. In addition, examination of interaction patterns revealed that teaching through LMS was student-centered and dynamic in contradiction with the comparative groups. The study can help instructors understand the prospective benefits of teaching on LMS and also improve social interactions among uncommunicati</w:t>
      </w:r>
    </w:p>
    <w:p>
      <w:pPr>
        <w:pStyle w:val="Heading2"/>
      </w:pPr>
      <w:r>
        <w:t>Energy Vision Strategies for the EU Green New Deal: A Case Study of European Cities</w:t>
      </w:r>
    </w:p>
    <w:p>
      <w:r>
        <w:t>Original source (2020): https://doi.org/10.3390/en13092194</w:t>
      </w:r>
    </w:p>
    <w:p>
      <w:r>
        <w:t>Original wording (abstract; indexed_source_text_not_full_document_verified): There are three strategic levels for successful energy planning in cities: 1) Integration strategy for integrating energy planning into urban planning institutions; 2) Practice strategy for developing suitable energy planning practices in urban planning institutions, and 3) Vision strategy for the creation and integration of energy visions and scenarios required for long-term decarbonisation. The article concludes with several recommendations, particularly that cities need to see scenarios as retainable long-term servants providing information desired by the planner, rather than serving as a guide to the planner.</w:t>
      </w:r>
    </w:p>
    <w:p>
      <w:r>
        <w:t>POSSIBLE 2026: Empirical study of European strategic culture — https://doi.org/10.4324/9781032636566-3</w:t>
      </w:r>
    </w:p>
    <w:p>
      <w:r>
        <w:t>Shared claim-specific concepts: three, strategic, levels; EU scope visible. This is a provisional connection, not an outcome finding.</w:t>
      </w:r>
    </w:p>
    <w:p>
      <w:r>
        <w:t xml:space="preserve">Available abstract (not full text): This chapter develops the conceptual and methodological foundations for studying European strategic culture. It addresses four linked questions: what is strategic culture, what makes it European, how European strategic culture relates to convergence, and how convergence across national and EU levels can be identified. The chapter argues that European strategic culture is not a fixed monolith, nor the sum of national traditions, but an evolving regional configuration produced through interaction between national strategic cultures and EU strategic culture. Methodologically, it develops a structured, multi-level framework centred on elite discourse and based on a corpus of 455 official texts, including strategic documents and official speeches of high-level policymakers. Across three dimensions—strategic environment, goals and means, and cooperation patterns—it combines qualitative, computer-assisted content analysis with quantification through share calculations, standard deviations, and distance measures to trace continuity and change in strategic cultures of France, Germany, Ireland, Poland, and the EU and to visualise their convergence and divergence between 2000 and 2022. The post-2022 period is treated more cautiously through qualitative interpretation. By specifying concepts, indicators, and data sources, the chapter turns European strategic culture from a broad normative </w:t>
      </w:r>
    </w:p>
    <w:p>
      <w:r>
        <w:t>POSSIBLE 2026: France's Strategic Gamble for Europe — https://doi.org/10.17613/cdevw-3gx51</w:t>
      </w:r>
    </w:p>
    <w:p>
      <w:r>
        <w:t>Shared claim-specific concepts: three, strategic, strategy, concludes; EU scope visible. This is a provisional connection, not an outcome finding.</w:t>
      </w:r>
    </w:p>
    <w:p>
      <w:r>
        <w:t>Available abstract (not full text):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r>
        <w:t>POSSIBLE 2026: France's Strategic Gamble for Europe — https://doi.org/10.5281/zenodo.21391685</w:t>
      </w:r>
    </w:p>
    <w:p>
      <w:r>
        <w:t>Shared claim-specific concepts: three, strategic, strategy, concludes; EU scope visible. This is a provisional connection, not an outcome finding.</w:t>
      </w:r>
    </w:p>
    <w:p>
      <w:r>
        <w:t>Available abstract (not full text): This paper examines France’s bid to assume strategic leadership of Europe as the United States reduces its military commitments to the continent. On Bastille Day 2026, President Emmanuel Macron deployed 500 soldiers from a Coalition of the Willing — drawn from nine nations but pointedly excluding the United States — to lead the Champs-Élysées parade, a choreographed signal of France’s capacity to lead multinational operations independently. The paper analyses the three pillars of Macron’s strategy: the extension of French nuclear deterrence to willing European partners under the “dissuasion avancée” framework announced at Île Longue in March 2026, now joined by nine states including Norway and Germany; the conventional leadership of NATO’s expanded battlegroup in Romania and a commitment of forces to Finland; and the political claim to speak as the West’s spokesman on democracy and the rule of law, a role Washington has vacated under Trump. The paper assesses the structural limits of the gamble: France’s 290 warheads against Russia’s 4,300, a defense budget well below NATO’s 3.5 percent target, the collapse of the Franco-German fighter project, and the political risk posed by Marine Le Pen’s poll lead ahead of the 2027 presidential election. The analysis concludes that Macron’s ambition runs ahead of France’s means, and that the durability of the strategic architecture he is bu</w:t>
      </w:r>
    </w:p>
    <w:p>
      <w:r>
        <w:t>POSSIBLE 2026: The European Union’s strategic adaptation to new threats: From normative to pragmatic strategic culture — https://doi.org/10.1177/00108367261466146</w:t>
      </w:r>
    </w:p>
    <w:p>
      <w:r>
        <w:t>Shared claim-specific concepts: three, strategic, strategy, practices, article; EU scope visible. This is a provisional connection, not an outcome finding.</w:t>
      </w:r>
    </w:p>
    <w:p>
      <w:r>
        <w:t>Available abstract (not full text): This article examines how the European Union’s strategic culture has evolved across three key strategy documents: the European Security Strategy, the European Union Global Strategy, and the Strategic Compass, and whether these shifts are reflected in post-2016 institutional practices. Using qualitative content analysis, it compares change across four dimensions: identity, threat perception, strategic response, and autonomy. The findings show a shift from a predominantly normative and civilian orientation towards a hybrid strategic culture combining normative commitments with pragmatic and geopolitical elements. Recent strategies increasingly emphasise explicit threat identification, hybrid warfare, and military preparedness. However, this does not amount to a transition towards a fully autonomous military actor. Instead, growing operational ambition coexists with continued reliance on North Atlantic Treaty Organization and Euro-Atlantic frameworks. Empirical illustrations demonstrate that adaptation is most advanced in hybrid and resilience domains, while high-intensity security remains North Atlantic Treaty Organization-centred. The article argues that European Union strategic culture is best understood as hybrid, rather than as a linear shift from normative to realist.</w:t>
      </w:r>
    </w:p>
    <w:p>
      <w:r>
        <w:t>POSSIBLE 2026: Reassessing the benefits of European integration and the European Union's ability to achieve strategic autonomy — https://openalex.org/W7130901115</w:t>
      </w:r>
    </w:p>
    <w:p>
      <w:r>
        <w:t>Shared claim-specific concepts: three, strategic, integration; EU scope visible. This is a provisional connection, not an outcome finding.</w:t>
      </w:r>
    </w:p>
    <w:p>
      <w:r>
        <w:t>Available abstract (not full text): European integration is now faced with the question of strategic autonomy. Against this backdrop, this paper has three objectives. First, it uses disaggregated trade data and established empirical methods to assess the benefits of European integration on trade among the members of the European Union (EU) as well as on trade between EU members and non-member countries, including non-members that are part of the Single Market. Second, it evaluates the costs of EU strategic autonomy -implying not trading with "riskier" partners. Third, it asks whether deeper integration within the EU can alleviate these costs. The paper shows that the gains from European integration are substantial, albeit heterogeneous across Member States, non-members, and sectors, and that the costs of strategic autonomy can be offset by deeper, but comparatively more modest, integration efforts within the European Union.</w:t>
      </w:r>
    </w:p>
    <w:p>
      <w:r>
        <w:t>POSSIBLE 2025: Application of the Analytical Hierarchy Process in the management of private ambulance care systems in three selected European countries: a strategic decision-making framework — https://doi.org/10.3389/fpubh.2025.1526586</w:t>
      </w:r>
    </w:p>
    <w:p>
      <w:r>
        <w:t>Shared claim-specific concepts: three, strategic, integration, practices; EU scope visible. This is a provisional connection, not an outcome finding.</w:t>
      </w:r>
    </w:p>
    <w:p>
      <w:r>
        <w:t>Available abstract (not full text): Private ambulance services play a vital role in healthcare systems across Europe, supplementing public emergency services and providing essential medical transportation. However, managing these services presents significant challenges, including resource allocation, regulatory compliance, service quality, technological integration, workforce management, and financial sustainability. This study employs the Analytical Hierarchy Process (AHP) as a strategic decision-making tool to optimize the management of private ambulance services in Germany, Spain, and the United Kingdom. To achieve this, data were collected from 20 participants across the three countries (Germany: 7, Spain: 6, United Kingdom: 7), comprising ambulance service administrators, emergency medical personnel, and regulatory experts. A purposive sampling method was used to ensure the inclusion of key stakeholders with direct experience in the sector. Participants completed structured questionnaires involving pairwise comparisons of key decision criteria. Results reveal that Regulatory Compliance is the highest priority across all countries (Germany: 0.25, Spain: 0.22, UK: 0.20), followed by Service Quality, which is particularly emphasized in the UK (0.22) and Germany (0.20). Technological Integration is important in Spain (0.20), reflecting the need for advancements in underserved areas. While Workforce Management a</w:t>
      </w:r>
    </w:p>
    <w:p>
      <w:r>
        <w:t>POSSIBLE 2025: Steering the Green Transition in the European Union? Analysis of the European Commission's Strategic Communication — https://doi.org/10.1111/rego.70107</w:t>
      </w:r>
    </w:p>
    <w:p>
      <w:r>
        <w:t>Shared claim-specific concepts: three, strategic, developing; EU scope visible. This is a provisional connection, not an outcome finding.</w:t>
      </w:r>
    </w:p>
    <w:p>
      <w:r>
        <w:t>Available abstract (not full text): ABSTRACT This paper examines the strategic communication of the European Commission about developing a regulatory approach and financial instruments to foster the greening of the European economy over a period of 14 years (2009–2023). We investigate in‐depth the strategic communication of three European Commission Colleges led by Barroso, Juncker, and von der Leyen, respectively. We analyze an original dataset of 57 Commission Communications using qualitative content analysis. The paper demonstrates that, over the past 14 years, the EU's strategic agenda‐setting has moved away from a predominantly neoliberal approach of limited state involvement in the economy to one foreseeing more active state intervention, especially in the provision of financial resources and the design of integrated policies to guide the green transition. The findings highlight the crucial role of the Commission in steering the EU's climate action policies, as shown by the adoption of the European Green Deal in 2019.</w:t>
      </w:r>
    </w:p>
    <w:p>
      <w:r>
        <w:t>POSSIBLE 2023: In Search of Digital Sovereignty and Strategic Autonomy: Normative Power Europe to the Test of Its Geopolitical Ambitions — https://doi.org/10.1111/jcms.13462</w:t>
      </w:r>
    </w:p>
    <w:p>
      <w:r>
        <w:t>Shared claim-specific concepts: three, strategic, article; EU scope visible. This is a provisional connection, not an outcome finding.</w:t>
      </w:r>
    </w:p>
    <w:p>
      <w:r>
        <w:t>Available abstract (not full text): This article analyses the recent use of European Union (EU) terminology of digital sovereignty and strategic autonomy, aiming to identify tensions between policy considerations of fundamental rights, free market principles and geopolitical concerns. These tensions are rooted in the disparity between the EU's considerable economic and regulatory power in digital matters and its limited mandate and capabilities in foreign policy. The article also explores the translation of the notions of digital sovereignty and strategic autonomy into EU policy. It identifies three important trends in the geopoliticisation of the EU agenda on digital technologies: (1) the instrumental use of ‘classic’ internal market policies to exert geopolitical influence; (2) the imposition of foreign policy imperatives on national markets; and (3) new ‘hybrid’ digital policies that combine internal market concerns, fundamental rights and geopolitical concerns. Ultimately, digital sovereignty has inherent tensions with the EU's normative power in digital issues and may also result in a strategic cacophony.</w:t>
      </w:r>
    </w:p>
    <w:p>
      <w:r>
        <w:t>POSSIBLE 2022: Cyber conflict short of war: a European strategic vacuum — https://doi.org/10.1080/09662839.2022.2031991</w:t>
      </w:r>
    </w:p>
    <w:p>
      <w:r>
        <w:t>Shared claim-specific concepts: three, strategic, article, concludes; EU scope visible. This is a provisional connection, not an outcome finding.</w:t>
      </w:r>
    </w:p>
    <w:p>
      <w:r>
        <w:t>Available abstract (not full text): Cyber conflict short of war plays an increasingly important role in contemporary security politics. Dedicated to a study of three European NATO members – the Netherlands, France and Norway, this article expands the existing focus of the study of cyber conflict short of war beyond its dominating US context. It compares and assesses how the countries perceive and respond to a changing strategic environment characterised by increasing cyber conflict short of war. The analysis demonstrates that all three countries acknowledge that cyber operations short of war alter the strategic environment and challenge the idea of deploying offensive cyber capabilities as purely a warfare matter. However, it also identifies a strategic vacuum, as none of them have formulated strategies that describe in detail how military and intelligence entities are supposed to approach and manage the new strategic environment. The article asserts that the current lack of strategic guidance is a fundamental challenge that puts European societies at risk and undermines democratic governance as navigating the new space of strategic cyber competition is a significant challenge to contemporary European statecraft. It concludes by noting three avenues for how to ameliorate this situation and fill the vacuum.</w:t>
      </w:r>
    </w:p>
    <w:p>
      <w:r>
        <w:t>POSSIBLE 2022: Strategic European counterterrorism? An empirical analysis — https://doi.org/10.1080/09662839.2022.2029847</w:t>
      </w:r>
    </w:p>
    <w:p>
      <w:r>
        <w:t>Shared claim-specific concepts: three, strategic, strategy, article; EU scope visible. This is a provisional connection, not an outcome finding.</w:t>
      </w:r>
    </w:p>
    <w:p>
      <w:r>
        <w:t>Available abstract (not full text):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r>
        <w:t>POSSIBLE 2022: Between Europe and Asia: Narrow Spaces for Strategic Hedging in New Europe — https://doi.org/10.1080/19448953.2022.2129324</w:t>
      </w:r>
    </w:p>
    <w:p>
      <w:r>
        <w:t>Shared claim-specific concepts: three, strategic, strategy, developing; EU scope visible. This is a provisional connection, not an outcome finding.</w:t>
      </w:r>
    </w:p>
    <w:p>
      <w:r>
        <w:t>Available abstract (not full text): Since the end of the Cold War, the former Soviet states of Europe, located at the crossroads of Europe and Asia, have been the site of a political game between the great powers, gradually developing a left-right strategy. This paper constructs the explanatory theory of hedging strategy and argues that post-socialist European countries, collectively referred to as ‘New Europe’, have navigated a middle way between balance and followup strategies called compound hedging. Starting at the regional scale, this paper discusses three issues, i.e., whether the new Europe has adopted a hedging strategy, why they adopt a hedging strategy, and the policy performance and effectiveness of hedging in the security and economic fields. Specifically, New Europe has implemented diversified fuzzy strategies amidst the transatlantic alliances and Eurasian powers, avoided security risks from Russia through cooperation with NATO, and balanced interest risks caused by European Union pressure through contacts with the United States, Russia, China and other countries. Although New Europe has realized certain practical strategic effects, it still faces difficulties (e.g., structural pressure changes, divergences between old and New Europe, and a lack of hedging capacities and motivations), and its policy space remains narrow and uncertain.</w:t>
      </w:r>
    </w:p>
    <w:p>
      <w:r>
        <w:t>POSSIBLE 2021: 9 Developing Strategic Autonomy for European Sovereignty — https://doi.org/10.5771/9781538161777-173</w:t>
      </w:r>
    </w:p>
    <w:p>
      <w:r>
        <w:t>Shared claim-specific concepts: three, strategic, developing; EU scope visible. This is a provisional connection, not an outcome finding.</w:t>
      </w:r>
    </w:p>
    <w:p>
      <w:r>
        <w:t>Available abstract (not full text): Will the increased economic connectivity across the Eurasian supercontinent transform Europe into the western peninsula of Greater Eurasia? The unipolar era entailed the US organising the two other major economic regions of the world, Europe and Asia, under US leadership. The rise of “the rest”, primarily Asia with China at the centre, has ended the unipolar era and even 500-years of Western dominance. China and Russia are leading efforts to integrate Europe and Asia into one large region. The Greater Eurasian region is constructed with three categories of economic connectivity – strategic industries built on new and disruptive technologies; physical connectivity with bimodal transportation corridors; and financial connectivity with new development banks, trading currencies and payments systems. China strives for geoeconomic leadership by replacing the US leadership position, while Russia endeavours to reposition itself from the dual periphery of Europe and Asia to the centre of a grand Eurasian geoeconomic constellation. Europe, positioned between the trans-Atlantic region and Greater Eurasia, has to adapt to the new international distribution of power to preserve its strategic autonomy.</w:t>
      </w:r>
    </w:p>
    <w:p>
      <w:pPr>
        <w:pStyle w:val="Heading2"/>
      </w:pPr>
      <w:r>
        <w:t>Energy and Climate Change Scenarios in the Mediterranean: An opportunity for cooperation</w:t>
      </w:r>
    </w:p>
    <w:p>
      <w:r>
        <w:t>Original source (2020): https://doi.org/10.1093/eurpub/ckaa165.298</w:t>
      </w:r>
    </w:p>
    <w:p>
      <w:r>
        <w:t>Original wording (abstract; indexed_source_text_not_full_document_verified): The degradation of the environment will foreseeably create security and health crisis scenarios, arising from energy shortages, air quality, water stress and food supply problems. Europe, and the Mediterranean will not escape the effects of climate change, which will aggravate risks and threats to human security (mainly public health) and regional stability.</w:t>
      </w:r>
    </w:p>
    <w:p>
      <w:r>
        <w:t>POSSIBLE 2025: The Impact of Environmental Degradation on Children’s Rights in Central Europe — https://doi.org/10.21029/jael.2025.39.365</w:t>
      </w:r>
    </w:p>
    <w:p>
      <w:r>
        <w:t>Shared claim-specific concepts: degradation, environment, not, climate; EU scope visible. This is a provisional connection, not an outcome finding.</w:t>
      </w:r>
    </w:p>
    <w:p>
      <w:r>
        <w:t>Available abstract (not full text): This article reframes environmental degradation as not just an ecological or economic issue, but fundamentally a children’s rights concern. Around the world, courts and international bodies are recognising that a safe, clean, and sustainable environment is essential for the fulfilment of fundamental human rights. Children are among the most vulnerable to environmental harm, bearing disproportionate impacts of pollution, climate change, and resource depletion. As future generations, children have a critical stake in environmental protection, raising questions of intergenerational justice and the duty of today’s decision-makers to safeguard tomorrow’s world. This article provides an in-depth legal analysis of the recognition of environmental rights as human rights, with a special focus on how environmental degradation affects children’s rights. It offers a comparative survey of international law, examines leading case law (international and domestic, especially in Central Europe), explores theoretical frameworks like intergenerational equity, and assesses regional implementation in Slovakia, Czechia, Poland, and Hungary. The article concludes with de lege ferenda recommendations for reforms to ensure the right of every child to a healthy environment across the region.</w:t>
      </w:r>
    </w:p>
    <w:p>
      <w:r>
        <w:t>POSSIBLE 2025: Endangered Languages and Environmental Degradation Among Minority Communities in Europe: An Ecological Perspective — https://doi.org/10.18485/vlings_vele.2025.ch3</w:t>
      </w:r>
    </w:p>
    <w:p>
      <w:r>
        <w:t>Shared claim-specific concepts: degradation, environment, not; EU scope visible. This is a provisional connection, not an outcome finding.</w:t>
      </w:r>
    </w:p>
    <w:p>
      <w:r>
        <w:t>Available abstract (not full text): In this chapter, I explore issues of language diversity loss from an ecological perspective of interconnectedness between speakers and the environment.To this end, I focus on ethnic minorities living in the socalled margins of Europe who, similarly to indigenous peoples worldwide, have been and continue to be disproportionately exposed to conditions of environmental destruction and thus to forms of environmental injustice.I argue that human intervention in the environment of ethnic minorities for the purpose of economic development, e.g.mining activities, not only disrupts local ecosystems and ways of life through degradation and pollution but also exerts negative effects on the cultural diversity of the affected areas, including their vulnerable minority languages, making it harder for minorities to survive as distinct socio-cultural entities.To illustrate the harmful repercussions of mining on the natural and linguistic environment, I present the challenges faced by a number of minority communities and their endangered languages in Europe, including the Sorbs in Lusatia (eastern Germany), the Vlachs in the Timok Valley (eastern Serbia) and the Sámi in northern Sweden.I emphasise that the voice of ethnolinguistic minority groups seems to be largely excluded from the debate on environmental change, as the modernisation and nationalisation imperatives of modern states have preva</w:t>
      </w:r>
    </w:p>
    <w:p>
      <w:r>
        <w:t>POSSIBLE 2025: Environmental Response to the Use of Sewage Sludge on European Mediterranean Degraded Soils — https://doi.org/10.14738/aivp.1303.19018</w:t>
      </w:r>
    </w:p>
    <w:p>
      <w:r>
        <w:t>Shared claim-specific concepts: mediterranean, not; EU scope visible. This is a provisional connection, not an outcome finding.</w:t>
      </w:r>
    </w:p>
    <w:p>
      <w:r>
        <w:t>Available abstract (not full text): Soils in the Mediterranean region have a low resilience to disturbances and are now extensively degraded both physically and bio-chemically. Inappropriate agricultural practices, exacerbated by other natural and human induced perturbations such as increased drought and forest fire occurrence have caused soil impoverishment and the subsequent abandonment of agricultural land in many regions. One of the most promising approaches to soil rehabilitation on such land is the application of organic wastes. Organic refuses, such as sewage sludge, are commonly used on agricultural land, but are increasingly considered for the reclamation of degraded land and mine deposits. The positive effect of such organic matter, nutrient and microorganism additions are now widely recognised. Very little, however, is known about the detrimental effects of such treatments. The impacts of phytotoxins, heavy metals, salts (especially sodium) and hydrocarbons added via organic wastes are not well enough understood to be thoroughly considered before application. Potential detrimental impacts include accumulation of metals, phosphorus, nitrogen, and resilient aliphatic hydrocarbons, leading to toxicity, nitrate influxes to the groundwater and changes in soil wetting properties.</w:t>
      </w:r>
    </w:p>
    <w:p>
      <w:r>
        <w:t>POSSIBLE 2024: Exploring the Nexus between Greenhouse Emissions, Environmental Degradation and Green Energy in Europe: A Critique of the Environmental Kuznets Curve — https://doi.org/10.3390/en17205109</w:t>
      </w:r>
    </w:p>
    <w:p>
      <w:r>
        <w:t>Shared claim-specific concepts: degradation, energy, not; EU scope visible. This is a provisional connection, not an outcome finding.</w:t>
      </w:r>
    </w:p>
    <w:p>
      <w:r>
        <w:t>Available abstract (not full text): This study examines the intricate relationship between economic growth and European environmental degradation via the Environmental Kuznets Curve (EKC). Our results contest the traditional inverted U-shape model of the Environmental Kuznets Curve, indicating that the theory may not be consistently applicable across European countries. Utilizing CS-ARDL and MMQR modelling, we reveal substantial regional disparities. Western European nations demonstrate a typical Environmental Kuznets Curve (EKC) pattern in the short term, characterized by an initial increase in emissions alongside GDP development, followed by a subsequent fall. Conversely, Eastern and Balkan nations exhibit a U-shaped connection, described by an early decline in emissions followed by a subsequent increase as their development levels increase. The influence of renewable energy differs, as it decreases emissions in the short term in Western Europe. However, its long-term impacts are variable, especially when contrasted with its more pronounced effect on emissions in Eastern and Balkan countries. Furthermore, trade openness intensifies environmental degradation in the short-term across all regions, although its long-term impact diminishes, particularly concerning greenhouse gases (GHG). The relationship between renewable energy and trade openness is substantial for the short-term reduction of carbon dioxide emissio</w:t>
      </w:r>
    </w:p>
    <w:p>
      <w:r>
        <w:t>POSSIBLE 2024: A screening method for plastic-degrading fungi — https://doi.org/10.1016/j.heliyon.2024.e31130</w:t>
      </w:r>
    </w:p>
    <w:p>
      <w:r>
        <w:t>Shared claim-specific concepts: degradation, environment, water, not; EU scope not established. This is a provisional connection, not an outcome finding.</w:t>
      </w:r>
    </w:p>
    <w:p>
      <w:r>
        <w:t>Available abstract (not full text): The growing amount of plastic waste requires new ways of disposal or recycling. Research into the biodegradation of recalcitrant plastic polymers is gathering pace. Despite some progress, these efforts have not yet led to technologically and economically viable applications. In this study, we show that respirometric screening of environmental fungal isolates in combination with scanning electron microscopy (SEM), Fourier transform infrared spectroscopy (FTIR) and Raman spectroscopy can be used to identify new strains with the potential for the degradation of plastic polymers. We screened 146 fungal strains, 71 isolated from car repair shops, an environment rich in long-chain hydrocarbons, and 75 isolated from hypersaline water capable of growing at high concentrations of NaCl. When grown in a minimal medium with no carbon source, some strains produced significantly more CO 2 when a pure plastic polymer was added to the medium, some only at high salinity. A selection of these strains was shown by FTIR and Raman spectroscopy to alter the properties of plastic polymers: Cladosporium sp. EXF-13502 on polyamide, Rhodotorula dairenensis EXF-13500 on polypropylene, Rhodotorula sp. EXF-10630 on low-density polyethylene and Wickerhamomyces anomalus EXF-6848 on polyethylene terephthalate. Respirometry in combination with specific spectroscopic methods is an efficient method for screening</w:t>
      </w:r>
    </w:p>
    <w:p>
      <w:r>
        <w:t>POSSIBLE 2023: Remote sensing of soil degradation: Progress and perspective — https://doi.org/10.1016/j.iswcr.2023.03.002</w:t>
      </w:r>
    </w:p>
    <w:p>
      <w:r>
        <w:t>Shared claim-specific concepts: degradation, environment, security, health, food, not; EU scope not established. This is a provisional connection, not an outcome finding.</w:t>
      </w:r>
    </w:p>
    <w:p>
      <w:r>
        <w:t>Available abstract (not full text): Soils constitute one of the most critical natural resources and maintaining their health is vital for agricultural development and ecological sustainability, providing many essential ecosystem services. Driven by climatic variations and anthropogenic activities, soil degradation has become a global issue that seriously threatens the ecological environment and food security. Remote sensing (RS) technologies have been widely used to investigate soil degradation as it is highly efficient, time-saving, and broad-scope. This review encompasses recent advances and the state-of-the-art of ground, proximal, and novel RS techniques in soil degradation-related studies. We reviewed the RS-related indicators that could be used for monitoring soil degradation-related properties. The direct indicators (mineral composition, organic matter, surface roughness, and moisture content of soil) and indirect proxies (vegetation condition and land use/land cover change) for evaluating soil degradation were comprehensively summarized. The results suggest that these above indicators are effective for monitoring soil degradation, however, no indicators system has been established for soil degradation monitoring to date. We also discussed the RS's mechanisms, data, and methods for identifying specific soil degradation-related phenomena (e.g., soil erosion, salinization, desertification, and contamination)</w:t>
      </w:r>
    </w:p>
    <w:p>
      <w:r>
        <w:t>POSSIBLE 2023: Vulnerability of microplastics on marine environment: A review — https://doi.org/10.1016/j.ecolind.2023.111058</w:t>
      </w:r>
    </w:p>
    <w:p>
      <w:r>
        <w:t>Shared claim-specific concepts: environment, water; EU scope not established. This is a provisional connection, not an outcome finding.</w:t>
      </w:r>
    </w:p>
    <w:p>
      <w:r>
        <w:t>Available abstract (not full text): Microplastics (MPs), which are small plastic particles measuring less than 5 mm in size, have emerged as a significant environmental concern in marine ecosystems worldwide. The presence of MPs in aquatic environments has increased due to the contributions from anthropogenic and terrestrial sources, raising concerns about their abundance in aquatic organisms. MPs primarily originate from the photo-degradation of larger plastic debris (macroplastics), with their release into the environment often occurring through the breakdown of additive compounds. The ingestion of MPs poses eco-toxicological risks to marine organisms, causing damage to the gastrointestinal (GI) tracts and stomachs of affected organisms. Approximately 80 % of MPs originate from terrestrial sources, which can be classified as either primary sources, such as those generated during the production of skincare products, tires, and the use of MPs as carriers for pharmaceutical products, or secondary sources resulting from the improper disposal of plastics near coastal areas and water bodies. The issue of MPs and their potential effects on the marine ecosystem demands significant attention. In conclusion, this review provides a comprehensive overview of the vulnerability of microplastics in marine environments, consolidating the current understanding of their sources, distribution, fate, and ecological impacts. It emp</w:t>
      </w:r>
    </w:p>
    <w:p>
      <w:r>
        <w:t>POSSIBLE 2021: Editorial: Plastics in the Environment: Understanding Impacts and Identifying Solutions — https://doi.org/10.3389/fenvs.2021.699971</w:t>
      </w:r>
    </w:p>
    <w:p>
      <w:r>
        <w:t>Shared claim-specific concepts: degradation, environment, health; EU scope visible. This is a provisional connection, not an outcome finding.</w:t>
      </w:r>
    </w:p>
    <w:p>
      <w:r>
        <w:t xml:space="preserve">Available abstract (not full text): Understanding Impacts and Identifying SolutionsPlastics are one of the most widely used materials in the world which society will always be dependent on.This dependency has been clearly highlighted by the requirements for hygiene and protection during the recent global COVID pandemic (Adyel, 2020;Prata et al., 2020).Plastics are broadly integrated into today's lifestyle and are present in almost all consumer and industrial sectors and their production continues to increase (Geyer et al., 2017).Unfortunately, one of the characteristics of plastics that make them so useful-their durability-also ensures that they persist in the environment for very long periods of time.Additionally, and because of their low cost, many plastic objects have long been perceived as disposable.The consequence of this, coupled with the difficulty in developing effective waste management strategies, has been the ubiquitous contamination of the entire planet by plastic debris.Even if proposed global actions to recycle more plastic or prevent the export of plastic waste to countries with poorly developed waste infrastructure through the Basel Convention are implemented, plastic emissions are expected to increase for the foreseeable future unless significant breakthroughs in plastic design or waste management are realized (Lau et al., 2020).Increasing emissions also imply that exposure to plastic pollution </w:t>
      </w:r>
    </w:p>
    <w:p>
      <w:pPr>
        <w:pStyle w:val="Heading2"/>
      </w:pPr>
      <w:r>
        <w:t>Environmental impacts of household appliances in Europe and scenarios for their impact reduction</w:t>
      </w:r>
    </w:p>
    <w:p>
      <w:r>
        <w:t>Original source (2020): https://doi.org/10.1016/j.jclepro.2020.121952</w:t>
      </w:r>
    </w:p>
    <w:p>
      <w:r>
        <w:t>Original wording (abstract; indexed_source_text_not_full_document_verified):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Testing different scenarios concludes that there is a reduction of the impact for most of the categories (with up to 67% for the ozone depletion potential, and still around 35% for the global warming potential), while two of the here examined impact categories (i.e. land-use and mineral resource depletion) show an overall potential that is even negative - i.e. the results of all scenarios are higher than the ones of the 2010 baseline scenario.</w:t>
      </w:r>
    </w:p>
    <w:p>
      <w:r>
        <w:t>POSSIBLE 2024: Eco-innovation performance in the European Union economies: Perspective on outcomes — https://doi.org/10.15678/ier.2024.1003.02</w:t>
      </w:r>
    </w:p>
    <w:p>
      <w:r>
        <w:t>Shared claim-specific concepts: well, all, related; EU scope visible. This is a provisional connection, not an outcome finding.</w:t>
      </w:r>
    </w:p>
    <w:p>
      <w:r>
        <w:t>Available abstract (not full text): Objective: The objective of this article was to examine the eco-innovation performance of the European Un-ion’s economies in terms of eco-innovation outcomes with a particular focus on resource efficiency and socio-economic outcomes. Research Design &amp; Methods: We used quantitative research methods, such as descriptive statistics, Euclidean distance, and Pearson’s correlation index. We based the comparative analysis of the eco-innovation indices related to outputs and outcomes on the Eco-innovation Scoreboard. We conducted it for the years 2013-2022. Findings: The research results showed that EU countries considered as one group improved their eco-innovation performance as measured by the Eco-innovation Index (EII), as well as in terms of the EII composite indices related to innovation outcomes during the study period. We also observed improvement in the EII and the EII thematic areas observed for both the eco-innovation leaders and catching-up economies. However, the leading countries maintained and even slightly increased the distance to the EU-27 average in terms of the total EII index, while significantly increasing the distance in terms of socio-economic outcomes and eco-innovation outputs. Moreover, the rates of growth of eco-innovation outputs and outcomes were much higher for these countries than the growth rate of their eco-innovation inputs. Implications &amp; Recommendati</w:t>
      </w:r>
    </w:p>
    <w:p>
      <w:r>
        <w:t>POSSIBLE 2022: Nature-Based Solutions in Coastal and Estuarine Areas of Europe — https://doi.org/10.3389/fenvs.2022.829526</w:t>
      </w:r>
    </w:p>
    <w:p>
      <w:r>
        <w:t>Shared claim-specific concepts: run, related, compared, against; EU scope visible. This is a provisional connection, not an outcome finding.</w:t>
      </w:r>
    </w:p>
    <w:p>
      <w:r>
        <w:t>Available abstract (not full text): Momentum for sustainable and climate resilience solutions for coastal protection are growing globally given the pressing need to prevent further loss of biodiversity and ecosystems while meeting the climate change adaptation and mitigation goals. Nature-Based Solutions (NbS) represent an opportunity to align environmental and resilience goals, at a time of strained budgets in a global context and when short-term needs may run counter to long-term goals. In Europe, NbS fit the mandates of major EU environmental and climate change policies by restoring biodiversity and enhancing climate-resilience and carbon sequestration. Previous studies have compiled scientific evidence about hydro-meteorological hazards for the use of NbS. However, their implementation at scale is still lacking. As the knowledge and experience with NbS for adaptation to natural hazards and climate change increases, it becomes more important to draw lessons learned and insights for replicating and scaling up NbS, especially in coastal areas where their implementation is still limited compared to other environments. This study analyzed NbS case studies across European coastal and estuarine areas to draw key lessons, understand better the current status of implementation, and identify key challenges and gaps. From a total of 59 NbS case studies associated with flooding, erosion and biodiversity loss, results sho</w:t>
      </w:r>
    </w:p>
    <w:p>
      <w:r>
        <w:t>POSSIBLE 2022: Nature-Based Solutions in Urban Areas: A European Analysis — https://doi.org/10.3390/app13010168</w:t>
      </w:r>
    </w:p>
    <w:p>
      <w:r>
        <w:t>Shared claim-specific concepts: level, well, different; EU scope visible. This is a provisional connection, not an outcome finding.</w:t>
      </w:r>
    </w:p>
    <w:p>
      <w:r>
        <w:t>Available abstract (not full text):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r>
        <w:t>POSSIBLE 2021: Barriers to ecological restoration in Europe: expert perspectives — https://doi.org/10.1111/rec.13346</w:t>
      </w:r>
    </w:p>
    <w:p>
      <w:r>
        <w:t>Shared claim-specific concepts: number, level, all, different; EU scope visible. This is a provisional connection, not an outcome finding.</w:t>
      </w:r>
    </w:p>
    <w:p>
      <w:r>
        <w:t>Available abstract (not full text):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pPr>
        <w:pStyle w:val="Heading2"/>
      </w:pPr>
      <w:r>
        <w:t>Exploring the Future of Universities Through Experimental Foresight</w:t>
      </w:r>
    </w:p>
    <w:p>
      <w:r>
        <w:t>Original source (2020): https://doi.org/10.1177/1946756720976714</w:t>
      </w:r>
    </w:p>
    <w:p>
      <w:r>
        <w:t>Original wording (abstract; indexed_source_text_not_full_document_verified): The foresight project covered two future time horizons, namely 2025 to 2030 and 2031 to 2040.</w:t>
      </w:r>
    </w:p>
    <w:p>
      <w:r>
        <w:t>POSSIBLE 2021: Foresight Capacity Building — https://doi.org/10.5281/zenodo.6630549</w:t>
      </w:r>
    </w:p>
    <w:p>
      <w:r>
        <w:t>Shared claim-specific concepts: foresight, project, covered, time; EU scope visible. This is a provisional connection, not an outcome finding.</w:t>
      </w:r>
    </w:p>
    <w:p>
      <w:r>
        <w:t>Available abstract (not full text):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r>
        <w:t>POSSIBLE 2021: Becoming a forerunner in foresight : Key elements of success in organizational foresight — https://openalex.org/W3175285991</w:t>
      </w:r>
    </w:p>
    <w:p>
      <w:r>
        <w:t>Shared claim-specific concepts: foresight, two, time; EU scope not established. This is a provisional connection, not an outcome finding.</w:t>
      </w:r>
    </w:p>
    <w:p>
      <w:r>
        <w:t>Available abstract (not full text): As previous foresight studies show, successful foresight activities are the key to organization’s long-term survival and increased performance. But what are the elements that constitute successful foresight? And furthermore, how organizations understand “foresight success”? This thesis approaches the issue of successful foresight in organizations by building an overview of factors that promote or hinder organizational foresight. The aim is to improve organizational foresight practices by increasing the understanding of foresight success elements. An organization that cultivates these elements can eventually transform into a forerunner in foresight. Foresight success and success factors are first examined through previous foresight studies and further considered through empirical material. The selected approach is qualitative inquiry: by interviewing 12 Finnish organizations of which six can be considered as forerunners in foresight, a deeper understanding of organizational foresight success is constructed. Empirical findings are further supported by theoretical framework of foresight maturity models, in which elements of foresight are depicted as organizational capabilities that develop over time. As a result, this study confirms the importance of factors identified in previous foresight research that promote, or conversely hinder, foresight successfulness in organizations. The</w:t>
      </w:r>
    </w:p>
    <w:p>
      <w:r>
        <w:t>POSSIBLE 2021: Creativity, proactivity, and foresight — https://doi.org/10.1016/j.techfore.2021.121215</w:t>
      </w:r>
    </w:p>
    <w:p>
      <w:r>
        <w:t>Shared claim-specific concepts: foresight, two, namely; EU scope not established. This is a provisional connection, not an outcome finding.</w:t>
      </w:r>
    </w:p>
    <w:p>
      <w:r>
        <w:t>Available abstract (not full text): This study addresses how foresight interventions can translate creativity into proactive behavior and, in this sense, foster anticipatory strategic management. We develop a theoretical model, linking creativity and proactivity with known discrete individual foresight cognitive styles, namely “Reactor”, “Tester”, “Adapter”, and “Framer”, but also add a new “Actor” dimension. The theoretical model is tested by analyzing quantitative data from 172 students attending two scenario-building workshops. Our SEM model allows us to formulate three conclusions. First, creativity is not directly linked to proactivity without considering individual foresight cognitive styles. Second, we confirm the presence of four components of foresight as discrete foresight cognitive styles but also demonstrate the importance of a fifth component, the “Actor”. Third, it is only through the “Tester”, “Adapter”, and “Actor” components that creative energy most significantly aids proactivity. This means that creativity most significantly aids proactivity when individuals are either able to experiment with alternative courses of action or change the conditions for how their respective futures may unfold. We contribute to the foresight literature by demonstrating how foresight, as a process of intervention, can foster discrete foresight cognitive styles at the individual level and moderate relationships betwe</w:t>
      </w:r>
    </w:p>
    <w:p>
      <w:pPr>
        <w:pStyle w:val="Heading2"/>
      </w:pPr>
      <w:r>
        <w:t>Foresight technologies of economic systems: evidence from the tourism sector of Ukraine</w:t>
      </w:r>
    </w:p>
    <w:p>
      <w:r>
        <w:t>Original source (2020): https://doi.org/10.21511/ppm.18(4).2020.25</w:t>
      </w:r>
    </w:p>
    <w:p>
      <w:r>
        <w:t>Original wording (abstract; indexed_source_text_not_full_document_verified): Accordingly, questions arise about the Ukrainian tourism sector’s ability to use the crisis as a prerequisite for recovery and growth.Based on the results of a two-round survey using the Delphi method among experts (56 at the first stage and 42 at the second) representing various tourism directions for Ukraine’s tourism sector up to 2030, six strategic development priorities were formed.</w:t>
      </w:r>
    </w:p>
    <w:p>
      <w:r>
        <w:t>POSSIBLE 2026: Criminal Liability Arising from the Use of Artificial Intelligence Applications — https://doi.org/10.5281/zenodo.19810638</w:t>
      </w:r>
    </w:p>
    <w:p>
      <w:r>
        <w:t>Shared claim-specific concepts: accordingly, questions, about, ability, use, various; EU scope not established. This is a provisional connection, not an outcome finding.</w:t>
      </w:r>
    </w:p>
    <w:p>
      <w:r>
        <w:t>Available abstract (not full text): The increasing use of artificial intelligence applications across various domains of contemporary life gives rise to significant legal challenges, particularly in relation to the attribution of criminal liability for acts committed through such systems. This raises critical questions regarding the adequacy of existing legal frame works and their capacity to accommodate the unique and evolving characteristics of artificial intelligence technologies. In this context, the present study aims to examine the current and potential future challenges associated with artificial intelligence applications, especially in light of the rapid pace of technological advancement. Advanced AI systems have endowed certain machines with sophisticated capabilities, including the ability to acquire experiential learning and make autonomous decisions, thereby raising concerns about the possibility of these entities acting independently of direct human control. Accordingly, it becomes conceivable that such systems may deviate from programmed instructions and engage in conduct that could be classified as criminal acts. This necessitates a comprehensive legal inquiry into the nature and scope of criminal liability arising from offences committed by autonomous artificial intelligence entities, particularly those capable of independent decision-making.</w:t>
      </w:r>
    </w:p>
    <w:p>
      <w:r>
        <w:t>POSSIBLE 2026: ARISE: an urban political economy-informed resilience indicator framework for south asian metropolitan cities — https://doi.org/10.3389/fenvs.2026.1889318</w:t>
      </w:r>
    </w:p>
    <w:p>
      <w:r>
        <w:t>Shared claim-specific concepts: arise, experts, stage; EU scope not established. This is a provisional connection, not an outcome finding.</w:t>
      </w:r>
    </w:p>
    <w:p>
      <w:r>
        <w:t>Available abstract (not full text): Introduction Existing urban resilience indicator frameworks combine literature-derived pooling, expert validation, and multi-criteria weighting independently of any explicit theory of why some urban conditions, rather than others, are politically constituted as resilience priorities. Methods This paper’s contribution is methodological: it demonstrates how Urban Political Economy (UPE) theory can condition an indicator-development pipeline, from category structure through to how weighting outcomes are interpreted against theoretical commitments. ARISE, the Adaptive Resilience Indicator System for Equity, operationalises this UPE-conditioned approach through five stages: identification, categorisation, reduction, validation, and prioritisation. Drawing on 75 studies and 193 indicators, ARISE applies Pareto analysis and Staticized Group Technique consultation to produce 32 Resilience Indicators across seven dimensions, weighted via the Analytic Hierarchy Process by 18 experts. Results Urban Design and Spatial Planning carries the highest weight (36.04%); sensitivity analysis confirms stability for four dimensions, with Ecosystem and Resources (5.96%) the most panel-sensitive. Discussion The contribution is theory-conditioned indicator-development methodology: a UPE-derived categorisation structure, a two-track mechanism protecting under-cited indicators from elimination, and an ex</w:t>
      </w:r>
    </w:p>
    <w:p>
      <w:r>
        <w:t>POSSIBLE 2026: Criminal Liability in Crimes Arising from Generative Artificial Intelligence: Legal Challenges and Solutions — https://doi.org/10.5281/zenodo.21565934</w:t>
      </w:r>
    </w:p>
    <w:p>
      <w:r>
        <w:t>Shared claim-specific concepts: accordingly, questions, use, based, method, among; EU scope not established. This is a provisional connection, not an outcome finding.</w:t>
      </w:r>
    </w:p>
    <w:p>
      <w:r>
        <w:t>Available abstract (not full text): The rapid growth of generative artificial intelligence, while creating broad opportunities in scientific, economic, and social fields, has also given rise to numerous legal and criminal challenges. With its capacity to generate text, images, audio, and other forms of digital content, this technology has increased the possibility of committing crimes such as forgery, fraud, dissemination of false information, invasion of privacy, cybercrime, and misuse of personal data, while also raising new questions regarding the foundations of criminal liability. Using a descriptive-analytical method and based on library research, the present study examines criminal liability in crimes arising from generative artificial intelligence, the existing legal challenges, and the legislative and executive solutions for managing this phenomenon. The findings show that, in current legal systems, artificial intelligence lacks independent criminal personality, and criminal liability still rests with the natural and legal persons involved in the design, development, distribution, and use of this technology. The study further demonstrates that the complexity of algorithms, ambiguity in establishing causation, difficulty in proving criminal intent, the transnational nature of such crimes, and the absence of specific laws are among the most important obstacles to the effective application of traditional cri</w:t>
      </w:r>
    </w:p>
    <w:p>
      <w:r>
        <w:t>POSSIBLE 2026: THE CHARACTERISTICS OF LOSSES ARISING FROM THE MISUSE OF DEBTORS' PERSONAL DATA IN ONLINE LENDING AGREEMENTS — https://doi.org/10.28946/lexl.v8i1.3827</w:t>
      </w:r>
    </w:p>
    <w:p>
      <w:r>
        <w:t>Shared claim-specific concepts: accordingly, questions, method; EU scope not established. This is a provisional connection, not an outcome finding.</w:t>
      </w:r>
    </w:p>
    <w:p>
      <w:r>
        <w:t>Available abstract (not full text): The rapid growth of online loan (fintech lending) services in Indonesia has expanded public access to financial services while simultaneously raising legal concerns regarding the protection of borrowers’ personal data. During the online verification process, borrowers are often required to grant access to personal information, creating significant risks of misuse. In practice, some online loan providers exploit borrowers’ personal data, including contact lists, as a means of debt collection through intimidation, harassment, or unauthorized dissemination of personal information, causing both material and immaterial losses. This study examines the following research questions: (1) what are the legal characteristics of losses arising from the misuse of borrowers’ personal data in online lending services, and (2) what is the legal liability of creditors for such misuse? Accordingly, this study aims to analyze the characteristics of the losses suffered by borrowers and to examine the legal responsibility of creditors who misuse borrowers’ personal data. This research employs a normative legal research method using statutory, conceptual, and case approaches through the analysis of primary and secondary legal materials. The findings reveal that the legal relationship between creditors and borrowers is established through a standard form agreement that limits borrowers’ bargaining powe</w:t>
      </w:r>
    </w:p>
    <w:p>
      <w:r>
        <w:t>POSSIBLE 2024: Subpoenaing Luther on Questions of Polygyny — https://doi.org/10.62154/v5kvy441</w:t>
      </w:r>
    </w:p>
    <w:p>
      <w:r>
        <w:t>Shared claim-specific concepts: accordingly, questions, arise, method; EU scope not established. This is a provisional connection, not an outcome finding.</w:t>
      </w:r>
    </w:p>
    <w:p>
      <w:r>
        <w:t>Available abstract (not full text): The study discussed debatable questions of Martin Luther’s support of polygyny, which are considered perennial enough to warrant a rejoinder of curricular relevance to Biblical Christianity and theology from a contemporary African perspective. Accordingly, the study proposed that establishing an effective understanding of the debatable points against polygyny is necessary for developing Biblical theology curricular tools for deliberating on Luther’s stand in support of polygyny. The study pursued two purposes. Purpose 1: to consider the historical grounds for a contemporaneous subpoena to Luther on perennial questions of polygyny. These are the grounds upon which a proxy rejoinder can be delimited to facilitate formal learning exercises, via the curriculum of Biblical theology in Africa. Purpose 2: to address the contemporaneous submissions of the church in Africa against polygyny in support of the historical grounds for subpoenaing Luther on perennial questions of polygyny, upon which a proxy rejoinder can be delimited for treatment via the curriculum of Biblical theology in Africa. The study was facilitated by the qualitative research methodology, via which primary historical documents were examined primarily using the documentary analytical method. A key conclusion of the study is that learners and teachers, as participants in the Biblical theology course, are both responsib</w:t>
      </w:r>
    </w:p>
    <w:p>
      <w:r>
        <w:t>POSSIBLE 2024: Cognitive possibilities of political science: ask questions about Russian political science — https://doi.org/10.12737/2587-6295-2024-8-1-93-102</w:t>
      </w:r>
    </w:p>
    <w:p>
      <w:r>
        <w:t>Shared claim-specific concepts: accordingly, questions, about, based, method; EU scope not established. This is a provisional connection, not an outcome finding.</w:t>
      </w:r>
    </w:p>
    <w:p>
      <w:r>
        <w:t>Available abstract (not full text): The purpose of the work is to raise the question of the cognitive capabilities of political science and to what extent, in this regard, the methodological tools of political science are an adequate means for studying Russian reality. The methodology of the research was a politico-philosophical approach, which used a retrospective method and discourse analysis. The specificity of the social sciences and humanities implies the existence of value positions of the subject of cognition and determines the practice-oriented orientation of his research activity. The model of reality reconstructed by the scientist is based on a value-colored picture of the world, which directly or implicitly influences the interpretation of facts. Political science, being a part of social and humanitarian knowledge, is not devoid of its specificity and is also based on a certain model of the worldview - a paradigm. The science of politics was formed in the bosom of Western society, taking as a basis the corresponding paradigm of thinking. At a certain point, comparative studies begins to occupy a central position in the study of politics, in fact identifying the whole of political science with itself. Its distinctive feature, which has not been overcome to this day, is the attitude to compare the entire diversity of the political world with its own "ideal" of due. Accordingly, everything that does not f</w:t>
      </w:r>
    </w:p>
    <w:p>
      <w:r>
        <w:t>POSSIBLE 2023: FEATURES OF THE RESPONSIBILITY FOR VIOLATIONS OF TAX LEGISLATION IN UKRAINE AND THE COUNTRIES OF THE EUROPEAN UNION: THE QUESTION OF GUILT — https://doi.org/10.32782/2524-0374/2023-1/78</w:t>
      </w:r>
    </w:p>
    <w:p>
      <w:r>
        <w:t>Shared claim-specific concepts: accordingly, questions, arise, ukrainian; EU scope visible. This is a provisional connection, not an outcome finding.</w:t>
      </w:r>
    </w:p>
    <w:p>
      <w:r>
        <w:t>Available abstract (not full text): A particularly difficult issue in the study of the institution of responsibility in tax law is the question of the guilt of business entities -taxpayers.Since taxes are one of the financial instruments used to build relationships between economic entities and the state, the study of the issue of taxpayers' guilt is particularly relevant.Taxpayers are slowly adapting to changes in tax legislation that came into effect on January 1, 2021.One of the most discussed and radical novelties is the official legalization of the institution of guilt as a mandatory element of certain tax offenses and, accordingly, a necessary condition for holding taxpayers to financial responsibility.The Supreme Court has repeatedly emphasized that taxpayers exercise reasonable care, although the risks of choosing an unscrupulous counterparty lie with them.However, in practice, a situation often arises when regulatory authorities hold business entities -taxpayers to account for violations of tax legislation, without paying attention to the presence of guilt in the latter's actions or inactions.Thus, the introduction of the legal construction of guilt into the tax legislation of Ukraine significantly increased the quality of the legislative construction of the composition of the tax offense.However, the legal construction of the guilt of each of the mandatory elements of the composition of a tax offense mu</w:t>
      </w:r>
    </w:p>
    <w:p>
      <w:r>
        <w:t>POSSIBLE 2023: To the question of political ideologies and their significance for the state — https://doi.org/10.52340/isj.2022.26.03</w:t>
      </w:r>
    </w:p>
    <w:p>
      <w:r>
        <w:t>Shared claim-specific concepts: accordingly, questions, arise, about, based, first; EU scope visible. This is a provisional connection, not an outcome finding.</w:t>
      </w:r>
    </w:p>
    <w:p>
      <w:r>
        <w:t xml:space="preserve">Available abstract (not full text): The term "ideology" suggested the French thinker of the XVIII century. Destin de Tracy, named the new science of ideas. At the forefront of this concept was put forward in the XIX century. turbulent political life of Europe. Expand the concept of ideology gave Karl Marx and Friedrich Engels in his work "The German Ideology", where the term is used in a double meaning: first, idealistic world view, in which the idea of the world plays the role of a substance, and secondly, the type of socio-professional political thinking, when the subject is not aware of its conditionality economic class interests, but in reality it defends them. Such thinking creates a particular reality, substitute in the eyes of the people the true social reality, and thus prevents the realization of their real interests. However, Marx and his followers made an exception for the ideology of the proletariat, considering that the class consciousness of the proletariat coincides with the objective vision of reality, and the proletarian revolution has done away with all class consciousness and ideology in general. If we follow the logic of Marxism, it turns out that the proletarian ideology has the truth. In general, Marx recognized the possibility of relative truth of specific ideologies in specific historical conditions. Thus, the bourgeois ideology was true when it was historically progressive (in the era of </w:t>
      </w:r>
    </w:p>
    <w:p>
      <w:r>
        <w:t>POSSIBLE 2022: English non-manner how-clauses as answers to deficient questions — https://doi.org/10.3765/salt.v31i0.5114</w:t>
      </w:r>
    </w:p>
    <w:p>
      <w:r>
        <w:t>Shared claim-specific concepts: accordingly, questions, arise; EU scope not established. This is a provisional connection, not an outcome finding.</w:t>
      </w:r>
    </w:p>
    <w:p>
      <w:r>
        <w:t>Available abstract (not full text): English exhibits a variety of embedded how-clause that, while introduced by a canonically interrogative item, lacks an intuitive sense of interrogativity. This paper offers an analysis of the semantics of these clauses that is grounded interrogative semantics. On this view, how in these clauses introduces a degenerate, necessarily-singleton question set. Further, the paper observes that how here introduces a factive presupposition that cannot be reduced to the matrix predicate’s entailments. Accordingly, this paper supports a view on which factivity can arise from multiple sources. A diachronic-based account is also offered to explain the reccurence of how in non-manner embedded clauses cross-linguistically.</w:t>
      </w:r>
    </w:p>
    <w:p>
      <w:r>
        <w:t>POSSIBLE 2022: Million dollar questions: why deliberation is more than information pooling — https://doi.org/10.1007/s00355-022-01392-9</w:t>
      </w:r>
    </w:p>
    <w:p>
      <w:r>
        <w:t>Shared claim-specific concepts: questions, about, various; EU scope not established. This is a provisional connection, not an outcome finding.</w:t>
      </w:r>
    </w:p>
    <w:p>
      <w:r>
        <w:t>Available abstract (not full text): Abstract Models of collective deliberation often assume that the chief aim of a deliberative exchange is the sharing of information. In this paper, we argue that an equally important role of deliberation is to draw participants’ attention to pertinent questions, which can aid the assembly and processing of distributed information by drawing deliberators’ attention to new issues. The assumption of logical omniscience renders classical models of agents' informational states unsuitable for modelling this role of deliberation. Building on recent insights from psychology, linguistics and philosophy about the role of questions in speech and thought, we propose a different model in which beliefs are treated as answers directed at specific questions. Here, questions are formally represented as partitions of the space of possibilities and individuals’ information states as sets of questions and corresponding partial answers to them. The state of conversation is then characterised by individuals’ information together with the questions under discussion, which can be steered by various deliberative inputs. Using this model, deliberation is then shown to shape collective decisions in ways that classical models cannot capture, allowing for novel explanations of how group consensus is achieved.</w:t>
      </w:r>
    </w:p>
    <w:p>
      <w:r>
        <w:t>POSSIBLE 2022: APPROACHES TO UNDERSTANDING NATIONAL MARTYRDOM: THEORETICAL AND EMPIRICAL ESSAY — https://doi.org/10.5281/zenodo.7472109</w:t>
      </w:r>
    </w:p>
    <w:p>
      <w:r>
        <w:t>Shared claim-specific concepts: accordingly, questions, arise; EU scope visible. This is a provisional connection, not an outcome finding.</w:t>
      </w:r>
    </w:p>
    <w:p>
      <w:r>
        <w:t>Available abstract (not full text): Political martyrdom is a bright, but extremely little–researched phenomenon of world political, social and religious culture, which originates in the European New Age and is actively developing to this day. Since the XVIII century . it arose in a huge range of historical contexts: These are the "martyrs of freedom" in the era of the French Revolution, martyred presidents in the USA, heroes of the Easter Uprising of 1916 in Dublin, martyrdom in the fascist movements of Spain, Romania, Germany of the XX century, the civil religions of the USSR and China, as well as sacrificial ideologies in the context of decolonization and postcolonialism. Over time, the number of political cults of martyrs not only did not decrease, but also increased: Today, a civil holiday called "Martyrs' Day" is celebrated in more than 30 countries around the world, and related ideas continue to fuel many national liberation and separatist movements around the world - for example, Kurds, Tamils, Welsh, Catalans or Indian Maoists (Naxalites). Accordingly, questions arise – why do all these numerous nationalisms, established states and activist movements need martyrs, practices and ideologies associated with them? What is the nature of this new and newest martyrdom – religious, secular or otherwise? Finally, is the veneration of martyrs an expression of affect or a mobilization strategy that has some function</w:t>
      </w:r>
    </w:p>
    <w:p>
      <w:r>
        <w:t>POSSIBLE 2021: Avian Coloration Genetics: Recent Advances and Emerging Questions — https://doi.org/10.1093/jhered/esab015</w:t>
      </w:r>
    </w:p>
    <w:p>
      <w:r>
        <w:t>Shared claim-specific concepts: accordingly, questions, arise, among; EU scope not established. This is a provisional connection, not an outcome finding.</w:t>
      </w:r>
    </w:p>
    <w:p>
      <w:r>
        <w:t>Available abstract (not full text): The colorful phenotypes of birds have long provided rich source material for evolutionary biologists. Avian plumage, beaks, skin, and eggs-which exhibit a stunning range of cryptic and conspicuous forms-inspired early work on adaptive coloration. More recently, avian color has fueled discoveries on the physiological, developmental, and-increasingly-genetic mechanisms responsible for phenotypic variation. The relative ease with which avian color traits can be quantified has made birds an attractive system for uncovering links between phenotype and genotype. Accordingly, the field of avian coloration genetics is burgeoning. In this review, we highlight recent advances and emerging questions associated with the genetic underpinnings of bird color. We start by describing breakthroughs related to 2 pigment classes: carotenoids that produce red, yellow, and orange in most birds and psittacofulvins that produce similar colors in parrots. We then discuss structural colors, which are produced by the interaction of light with nanoscale materials and greatly extend the plumage palette. Structural color genetics remain understudied-but this paradigm is changing. We next explore how colors that arise from interactions among pigmentary and structural mechanisms may be controlled by genes that are co-expressed or co-regulated. We also identify opportunities to investigate genes mediating with</w:t>
      </w:r>
    </w:p>
    <w:p>
      <w:pPr>
        <w:pStyle w:val="Heading2"/>
      </w:pPr>
      <w:r>
        <w:t>Future transitions for the Bioeconomy towards Sustainable Development and a Climate-Neutral Economy - Knowledge Synthesis Final Report: WP1 - Knowledge synthesis and foresight</w:t>
      </w:r>
    </w:p>
    <w:p>
      <w:r>
        <w:t>Original source (2020): https://doi.org/10.2760/667966</w:t>
      </w:r>
    </w:p>
    <w:p>
      <w:r>
        <w:t>Original wording (abstract; indexed_source_text_not_full_document_verified): There is enough sustainable EU biomass to contribute to all sectors by 2030, and probably beyond, as well as to bring organic carbon back to soil. \nTo ensure sustainable supply, not only residues and wastes are relevant, but sustainably sourced agricultural and forestry feedstocks, and feedstocks from recovering and restoring marginal and degraded land.</w:t>
      </w:r>
    </w:p>
    <w:p>
      <w:r>
        <w:t>POSSIBLE 2025: Was there a notion of ‘enough’ in the European Green Deal? Sufficiency in the European Union’s sustainability discourse — https://doi.org/10.1108/sampj-10-2024-1103</w:t>
      </w:r>
    </w:p>
    <w:p>
      <w:r>
        <w:t>Shared claim-specific concepts: there, enough, sustainable, not, but; EU scope visible. This is a provisional connection, not an outcome finding.</w:t>
      </w:r>
    </w:p>
    <w:p>
      <w:r>
        <w:t>Available abstract (not full text): Purpose This study aims to discuss the role that sufficiency, as a measure of “enoughness”, played in the European Union’s (EU) sustainability-focused discourse embodied in the European Green Deal (EGD) agenda, its 2019–2024 flagship socio-ecological transformation programme aimed at net-zero emissions by 2050 and protecting its “natural capital”. Design/methodology/approach This study uses discourse analysis to examine how sufficiency is represented across major strategic policy initiatives emerging from the EGD during the period 2019–2024. Findings This study finds that, despite the discursive window of opportunity provided by the EGD, notions of sufficiency remain weak and underspecified at the EU level, essentially taking the form of informational tools to spur citizens’ sustainable behaviour. Practical implications This study reveals that a discourse that merely provides a window of opportunity for but does not mandate sufficiency-oriented policies is insufficient to counter the long-standing bias of EU sustainability-oriented discourse towards technological solutions aimed at efficiency gains. Social implications This study argues that by omitting what are ultimately low-hanging fruit related to avoiding consumption, the EU risks not attaining self-set climate and environmental aims. It also makes proposals on how to address this omission in EU sustainability policymaking</w:t>
      </w:r>
    </w:p>
    <w:p>
      <w:r>
        <w:t>POSSIBLE 2025: Feasible solutions for sustainable diets with adequate protein intake : modelling diets for the Netherlands and Europe — https://doi.org/10.18174/681865</w:t>
      </w:r>
    </w:p>
    <w:p>
      <w:r>
        <w:t>Shared claim-specific concepts: enough, sustainable, but, sustainably; EU scope visible. This is a provisional connection, not an outcome finding.</w:t>
      </w:r>
    </w:p>
    <w:p>
      <w:r>
        <w:t>Available abstract (not full text): The global food system faces significant challenges, including the need to provide healthy diets to a growing population while protecting the planet. Sustainable diets, as defined by the World Health Organization and the Food and Agriculture Organization, are good for health, have low environmental impact; are accessible, affordable, safe, fair, and fit cultural preferences. These diets usually mean eating more plant-based and less animal-based foods. However, as plant-based foods often contain less protein, and of lower quality, we need to carefully monitor whether sustainable diets provide enough. Besides, a diet should fit cultural habits of a specific population to be feasible. Therefore, this thesis aims to propose feasible solutions for sustainable Dutch diets, and to assess the amount of protein of these and European diets. Part I: Protein quality and adequacy of current European and future Dutch diets. A new score, the Protein Adequacy and Quality Score (PAQS), was developed to assess protein adequacy as the ratio of daily utilizable protein intake to requirement. Utilizable protein intake is the part of consumed protein that can be used for body protein synthesis, i.e. utilizable protein is total protein intake corrected for its digestibility and amino acid composition. Across 25 European countries, almost everyone was found to consume enough utilizable protein, but th</w:t>
      </w:r>
    </w:p>
    <w:p>
      <w:r>
        <w:t>POSSIBLE 2025: Assessment of sustainable development in selected countries of Southeast Europe — https://doi.org/10.5937/ekonomika2502073m</w:t>
      </w:r>
    </w:p>
    <w:p>
      <w:r>
        <w:t>Shared claim-specific concepts: enough, sustainable, well, not, only; EU scope visible. This is a provisional connection, not an outcome finding.</w:t>
      </w:r>
    </w:p>
    <w:p>
      <w:r>
        <w:t>Available abstract (not full text): The purpose of this article is to examine the possibilities of sustainable development, as well as to assess the impact of certain environmental predictors on the real GDP increase of eight selected countries of Southeast Europe (Albania, Bosnia and Herzegovina, Bulgaria, Croatia, Greece, North Macedonia, Romania and Serbia) in the period from 2001 to 2020. Using the Least Squares Dummy Variable (LSDV) panel data method, the article shows that from the aspect of access to safely managed sanitation services, use of renewables and harmful CO2 emissions, economic development in these countries is not sustainable enough. At the same time, it is sustainable only from the perspective of agricultural methane emissions. Bearing this in mind, economic policy makers from these countries should work more intensively on intra-regional cooperation, as well as on complying with the recommendations from the SEE 2030 Strategy in guiding their countries towards sustainable development pathways.</w:t>
      </w:r>
    </w:p>
    <w:p>
      <w:r>
        <w:t>POSSIBLE 2025: The Sustainable Investment Gap in Europe: Implications for Digital Finance — https://doi.org/10.62036/isd.2025.143</w:t>
      </w:r>
    </w:p>
    <w:p>
      <w:r>
        <w:t>Shared claim-specific concepts: enough, sustainable, not, but; EU scope visible. This is a provisional connection, not an outcome finding.</w:t>
      </w:r>
    </w:p>
    <w:p>
      <w:r>
        <w:t>Available abstract (not full text): This study explores the Sustainable Investment Gap (SIG) in 13 European countries, defined as the gap between awareness of ESG-labeled financial products and actual ownership by individual investors. Drawing on data from the 2023 OECD/INFE, the analysis integrates indicators of digital financial literacy (DFL), online financial activity, and the size of the gap. A preliminary exploratory typology of five country profiles was developed, and contextual digital interventions were proposed. The results indicate that higher levels of DFL co-occur with a smaller investment gap and greater online engagement, but digital readiness alone is not enough to close the gap. The proposed typology provides a framework for designing digital tools to support sustainable investment decisions. In further stages of the study, it is planned to test selected interventions in Poland using experimental methods in a simulated FinTech environment.</w:t>
      </w:r>
    </w:p>
    <w:p>
      <w:r>
        <w:t>POSSIBLE 2024: Is there enough sustainable wood? — https://doi.org/10.1017/9781788217361.008</w:t>
      </w:r>
    </w:p>
    <w:p>
      <w:r>
        <w:t>Shared claim-specific concepts: there, enough, sustainable, ensure, not; EU scope visible. This is a provisional connection, not an outcome finding.</w:t>
      </w:r>
    </w:p>
    <w:p>
      <w:r>
        <w:t>Available abstract (not full text): Fact: The World Bank estimates that global timber demand is set to quadruple by 2050. Demand in the UK is also expected to rise, in part because of the government's commitment to promote timber use in construction as part of the UK's net zero strategy. Using more wood in construction and renovation to turn our built environment from a climate problem into a climate solution is predicated on there being enough wood and wood fibre to do this. First and foremost, this supply of wood has to be sustainable. For our timber supplies to be deemed sustainable the wood must be sourced from a managed forest where natural regeneration of the forest is viable or where new trees are planted as others are felled. Such replanting needs to see between 5,000‒10,000 saplings planted per hectare, replacing around 500 felled trees per hectare. The forest ecosystem is required to be regularly monitored to ensure it remains in good health and able to provide for both people (employment, recreation) and nature (biodiversity) now and into the future. A certification scheme accompanies this process of which more than 50 exist worldwide. Of these, the Forest Stewardship Council (FSC) and the Programme for the Endorsement of Forest Certification (PEFC) are the two best known. While both schemes are committed to the same cause – sustainable forestry – the primary difference between the certifications is th</w:t>
      </w:r>
    </w:p>
    <w:p>
      <w:r>
        <w:t>POSSIBLE 2024: Economic and Environmental Limitations of Sustainable Energy Transition in Europe — https://doi.org/10.35784/preko.5574</w:t>
      </w:r>
    </w:p>
    <w:p>
      <w:r>
        <w:t>Shared claim-specific concepts: there, sustainable, well, carbon, not; EU scope visible. This is a provisional connection, not an outcome finding.</w:t>
      </w:r>
    </w:p>
    <w:p>
      <w:r>
        <w:t xml:space="preserve">Available abstract (not full text): In recent decades, the concept of sustainable development has become increasingly widespread since the United Nations Convention on Climate Change was adopted. However, it is also being overused, imitated, politicized, or even ignored. This study analyzes the current conditions and long-term consequences of the European energy transition and discusses the limitations and true economic and environmental implications of implementing energy sustainability. The paper is aimed at forming an understanding of the current environmental conditions and challenges associated with the economic, financial, and environmental consequences of introducing renewables in Europe. Research has revealed that renewables, while cleaner energy sources are not necessarily sustainable as initially suspected. There are various implications and limitations, that is: an initial carbon footprint, land footprint, recycling issues, harmful impacts on wildlife and humans, moreover the efficiency and economic implications when transitioning to a net zero. As a result, it is concluded that the basic principles of the energy transition are to be introduced and considered for it to become indeed sustainable. It is also concluded that when introducing or improving an energy model, it is crucial to consider the country's initial energy and resource base. Nuclear energy should not be disregarded and should considered </w:t>
      </w:r>
    </w:p>
    <w:p>
      <w:r>
        <w:t>POSSIBLE 2024: Paving the way for sustainable decarbonization of the European cement industry — https://doi.org/10.1038/s41893-024-01320-y</w:t>
      </w:r>
    </w:p>
    <w:p>
      <w:r>
        <w:t>Shared claim-specific concepts: sustainable, carbon, only, but; EU scope visible. This is a provisional connection, not an outcome finding.</w:t>
      </w:r>
    </w:p>
    <w:p>
      <w:r>
        <w:t>Available abstract (not full text): Abstract Cement production is a main source of carbon emissions. Decarbonization options exist, but their climate change mitigation potential, feasibility and environmental implications are still unclear. Here we assess 15 decarbonization options for the European cement industry under current and future conditions. Climate impacts per tonne of clinker produced today in European countries vary between 832 and 1,075 kg CO 2 -equivalents. Decarbonization options at various maturity levels can mitigate between 7 and 135 Mt CO 2 -equivalents per year (4–108% of today’s annual emissions from European cement plants), with a range of synergies and trade-offs. Solutions such as alternative fuels or technological improvements reduce climate impacts up to 30%, while a mix of ambitious complementary measures achieves a mitigation of about 50% by 2050. Only rapid and large-scale implementation of carbon capture and storage can approach climate neutrality. Carbon capture for production of e-fuels presents no significant mitigation benefits while it increases other environmental impacts.</w:t>
      </w:r>
    </w:p>
    <w:p>
      <w:r>
        <w:t>POSSIBLE 2023: Circularity in Europe strengthens the sustainability of the global food system — https://doi.org/10.1038/s43016-023-00734-9</w:t>
      </w:r>
    </w:p>
    <w:p>
      <w:r>
        <w:t>Shared claim-specific concepts: enough, all, bring, but; EU scope visible. This is a provisional connection, not an outcome finding.</w:t>
      </w:r>
    </w:p>
    <w:p>
      <w:r>
        <w:t>Available abstract (not full text): Redesigning the European food system on the basis of circularity principles could bring environmental benefits for Europe and the world. Here we deploy a biophysical optimization model to explore the effects of adopting three circularity scenarios in the European Union (EU)27 + UK. We calculate a potential reduction of 71% in agricultural land use and 29% per capita in agricultural greenhouse gas emissions, while producing enough healthy food within a self-sufficient European food system. Under global food shortages, savings in agricultural land could be used to feed an additional 767 million people outside the EU (+149%), while reducing per capita greenhouse gas emissions by 38% but increasing overall emissions by 55% due to the increased population served. Transitioning the EU's food system towards circularity implies sequential changes among all its components and has great potential to safeguard human and planetary health.</w:t>
      </w:r>
    </w:p>
    <w:p>
      <w:r>
        <w:t>POSSIBLE 2022: Events and sustainability: why making events more sustainable is not enough — https://doi.org/10.4324/9781003314295-1</w:t>
      </w:r>
    </w:p>
    <w:p>
      <w:r>
        <w:t>Shared claim-specific concepts: there, enough, sustainable, contribute, not; EU scope not established. This is a provisional connection, not an outcome finding.</w:t>
      </w:r>
    </w:p>
    <w:p>
      <w:r>
        <w:t>Available abstract (not full text): The special issue dedicated to events and sustainability is introduced here. We provide synopses of the papers, preceded by an introductory essay that examines how event studies has approached the relationship between events and sustainable development. Existing work too often assumes that sustainability means reducing negative environmental impacts with other aspects of the sustainability paradigm neglected. And whilst social issues have risen to prominence in events research generally, this work is usually considered outwith sustainability debates, and without considering environmental and economic interrelationships. We argue that event scholars should examine how events might contribute to sustainable development, rather than merely exploring how individual events could be made more sustainable. Accordingly, there needs to be further work addressing how events might change attitudes and behaviours by promoting sustainable lifestyles, communities and technologies. Following this discussion, we justify the focus on social sustainability in the special issue, clarify what this actually means, and question whether this is always the most appropriate way of framing research on the social impacts of events. Given the timing of the special issue, there is also a short review of how the coronavirus crisis affected the events sector, and what the implications might be for sustainabi</w:t>
      </w:r>
    </w:p>
    <w:p>
      <w:r>
        <w:t>POSSIBLE 2022: Developing context-specific frameworks for integrated sustainability assessment of agricultural intensity change: An application for Europe — https://doi.org/10.1016/j.envsci.2022.08.014</w:t>
      </w:r>
    </w:p>
    <w:p>
      <w:r>
        <w:t>Shared claim-specific concepts: sustainable, sectors, not, relevant, but; EU scope visible. This is a provisional connection, not an outcome finding.</w:t>
      </w:r>
    </w:p>
    <w:p>
      <w:r>
        <w:t>Available abstract (not full text):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r>
        <w:t>POSSIBLE 2021: Enough? The role of sufficiency in European energy and climate plans — https://doi.org/10.1016/j.enpol.2021.112483</w:t>
      </w:r>
    </w:p>
    <w:p>
      <w:r>
        <w:t>Shared claim-specific concepts: enough, all, not; EU scope visible. This is a provisional connection, not an outcome finding.</w:t>
      </w:r>
    </w:p>
    <w:p>
      <w:r>
        <w:t>Available abstract (not full text): Energy sufficiency is one of the three energy sustainability strategies, next to energy efficiency and renewable energies. We analyse to what extent European governments follow this strategy, by conducting a systematic document analysis of all available European National Energy and Climate Plans (NECPs) and Long-Term Strategies (LTSs). We collect and categorise a total of 230 sufficiency-related policy measures, finding large differences between countries. We find most sufficiency policies in the transport sector, when classifying also modal shift policies to change the service quality of transport as sufficiency policies. Types of sufficiency policy instruments vary considerably from sector to sector, for instance the focus on financial incentives and fiscal instruments in the mobility sector, information in the building sector, and financial incentive/tax instruments in cross-sectoral application. Regulatory instruments currently play a minor role for sufficiency policy in the national energy and climate plans of EU member states. Similar to energy efficiency in recent decades, sufficiency still largely referred to as micro-level individual behaviour change or necessary exogenous trends that will need to take place. It is not treated yet as a genuine field of policy action to provide the necessary framework for enabling societal change.</w:t>
      </w:r>
    </w:p>
    <w:p>
      <w:r>
        <w:t>POSSIBLE 2021: Drivers of sustainability practices and contributions to sustainable development evident in sustainability reports of European mining companies — https://doi.org/10.1007/s43621-021-00025-y</w:t>
      </w:r>
    </w:p>
    <w:p>
      <w:r>
        <w:t>Shared claim-specific concepts: there, sustainable, all, relevant, but; EU scope visible. This is a provisional connection, not an outcome finding.</w:t>
      </w:r>
    </w:p>
    <w:p>
      <w:r>
        <w:t>Available abstract (not full text): Abstract Mining activities cause negative environmental impacts, and social conflicts, but also provide economic benefits to communities and secure minerals necessary for low-carbon technology. The aim of this multiple case study is to analyze, compare and critically evaluate sustainability reports of 10 European mining companies for the 2016–2018 period to determine the drivers for implementation of sustainability practices and their contribution to the Sustainable Development Goals (SDGs). The findings suggest that European mining companies act under pressures from international initiatives and industry associations, the European Union, governments, stakeholders, and partnerships. The companies report on the core subjects of corporate governance, employees, the environment, stakeholders’ engagement and occupational health and safety. Positive trends were observed in stakeholder’s engagement, and health and safety, while air emissions, water and energy usage increased for most companies. Furthermore, there was an absence of improvement in gender diversity, utilization of renewable energy, and waste recycling. Even though all analyzed companies mentioned SDGs in the reports, the reports lacked a comprehensive explanation of mining activities’ contribution to the SDGs. This study addresses a gap in the existing literature on the European mining context of sustainable development</w:t>
      </w:r>
    </w:p>
    <w:p>
      <w:pPr>
        <w:pStyle w:val="Heading2"/>
      </w:pPr>
      <w:r>
        <w:t>How photovoltaics can contribute to GHG emission reductions of 55% in the EU by 2030</w:t>
      </w:r>
    </w:p>
    <w:p>
      <w:r>
        <w:t>Original source (2020): https://doi.org/10.1016/j.rser.2020.109836</w:t>
      </w:r>
    </w:p>
    <w:p>
      <w:r>
        <w:t>Original wording (abstract; indexed_source_text_not_full_document_verified): To reach a 55% GHG emissions reduction, the cumulative PV capacity in the EU and the UK would need to surge to 455–605 GW, depending on the strategic policy scenario. This opinion article looks specifically at the role of photovoltaics (PV), based on scenarios from the Commission's 2018 long-term strategy (LTS) for energy and climate.</w:t>
      </w:r>
    </w:p>
    <w:p>
      <w:r>
        <w:t>POSSIBLE 2026: Forecast reconciliation of agricultural GHG emissions in Europe with fuzzy clustering — https://doi.org/10.1007/s10479-026-07363-y</w:t>
      </w:r>
    </w:p>
    <w:p>
      <w:r>
        <w:t>Shared claim-specific concepts: ghg, emissions, specifically, based; EU scope visible. This is a provisional connection, not an outcome finding.</w:t>
      </w:r>
    </w:p>
    <w:p>
      <w:r>
        <w:t>Available abstract (not full text):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r>
        <w:t>POSSIBLE 2026: Spatiotemporal clustering of GHGs emissions in Europe: Exploring the role of spatial component — https://doi.org/10.1016/j.spasta.2026.100960</w:t>
      </w:r>
    </w:p>
    <w:p>
      <w:r>
        <w:t>Shared claim-specific concepts: emissions, role, based; EU scope visible. This is a provisional connection, not an outcome finding.</w:t>
      </w:r>
    </w:p>
    <w:p>
      <w:r>
        <w:t>Available abstract (not full text): In this study, we propose a novel application of spatiotemporal clustering in the socio-economic and environmental sciences, with a particular focus on regionalised time series of greenhouse gases (GHGs) emissions from a range of economic sectors. Utilising a hierarchical spatiotemporal clustering methodology, we analyse yearly time series of emissions by gases and sectors from 1990 to 2022 for European regions at the NUTS-2 level. While the clustering algorithm inherently incorporates spatial information based on geographical distance, the extent to which space contributes to the definition of groups still requires further exploration. To address this gap in the literature, we propose a novel indicator, namely the Joint Inertia, which quantifies the contribution of spatial distances when integrated with other features. Through a simulation experiment, we explore the relationship between the Joint Inertia and the relevance of geography in exploiting the groups structure under several configurations of spatial and features patterns, providing insights into the behaviour and potential of the proposed indicator. The empirical findings demonstrate the relevance of the spatial component in identifying emission patterns and dynamics, and the results reveal significant heterogeneity across clusters in trends and dynamics by gases and sectors. This reflects the heterogeneous economic a</w:t>
      </w:r>
    </w:p>
    <w:p>
      <w:r>
        <w:t>POSSIBLE 2026: GHG emissions of all world countries — https://doi.org/10.2760/7717504</w:t>
      </w:r>
    </w:p>
    <w:p>
      <w:r>
        <w:t>Shared claim-specific concepts: ghg, emissions, based; EU scope not established. This is a provisional connection, not an outcome finding.</w:t>
      </w:r>
    </w:p>
    <w:p>
      <w:r>
        <w:t>Available abstract (not full text): The Emissions Database for Global Atmospheric Research (EDGAR) provides greenhouse gas (GHG) emissions time series for all countries and for all anthropogenic sectors from 1970 until 2025, including emissions and removals from land use and forestry – LULUCF (from 1990 to 2025). The edition of this year shows that global GHG emissions reached 54.1 Gt CO2eq in 2025, increasing by 0.7% compared to 2024 (or 55.0 Gt CO2eq including LULUCF, +0.9%). The report contributes to the Paris Agreement process with an independent quantitative overview of global GHG emissions, based on the IEA-EDGAR CO2, EDGAR CH4, EDGAR N2O and EDGAR F-gases version EDGAR_2026_GHG (2026).</w:t>
      </w:r>
    </w:p>
    <w:p>
      <w:r>
        <w:t>POSSIBLE 2024: GHG Emission Trends and Targets (GETT) — https://doi.org/10.1787/decef216-en</w:t>
      </w:r>
    </w:p>
    <w:p>
      <w:r>
        <w:t>Shared claim-specific concepts: ghg, emissions, climate; EU scope visible. This is a provisional connection, not an outcome finding.</w:t>
      </w:r>
    </w:p>
    <w:p>
      <w:r>
        <w:t>Available abstract (not full text): The Paris Agreement maps out a path for internationally coordinated efforts to curb global warming. At the centre of the Paris Agreement are Nationally Determined Contributions (NDCs) that establish countries’ plans to mitigate greenhouse gas (GHG) emissions as well as adapt to the impacts of climate change. However, mitigation contributions defined in NDCs are different across countries in terms of target types, coverage of sectors and gases. This makes it challenging to assess progress on mitigation commitments. To complement the UNFCCC efforts, and facilitate the evaluation and monitoring of targets, this paper develops a methodology that harmonises countries’ 2030 mitigation targets in physical units and provide clarity on sector and gas coverage. The results are used to develop the GHG Emission Trends and Targets (GETT) indicators for non-EU countries and the EU-27 covered under the International Programme for Action on Climate (IPAC). The GETT indicators support the analyses of emissions' trajectories by describing historical GHG emission trends and comparing them to NDC emission targets, considering various reference years and indicators, including emissions intensity per capita or per unit of GDP.</w:t>
      </w:r>
    </w:p>
    <w:p>
      <w:r>
        <w:t>POSSIBLE 2023: Assessing the potential of GHG emissions for the textile sector: A baseline study — https://doi.org/10.1016/j.heliyon.2023.e22404</w:t>
      </w:r>
    </w:p>
    <w:p>
      <w:r>
        <w:t>Shared claim-specific concepts: ghg, emissions, energy; EU scope not established. This is a provisional connection, not an outcome finding.</w:t>
      </w:r>
    </w:p>
    <w:p>
      <w:r>
        <w:t>Available abstract (not full text): e, with indirect emissions contributing significantly more than direct emissions. The total EFP is 248.38 PJ, with electricity consumption being the main contributor, while the total WFP is 80.71 billion liters. The spinning stage of production has the highest CFP and EFP, and energy consumption is the main contributor to all footprints. These results can help compare different products and reduce the footprints of the textile sector.</w:t>
      </w:r>
    </w:p>
    <w:p>
      <w:r>
        <w:t>POSSIBLE 2023: Dynamics and Accounting of GHG Emissions in the World — https://doi.org/10.1051/bioconf/20236306011</w:t>
      </w:r>
    </w:p>
    <w:p>
      <w:r>
        <w:t>Shared claim-specific concepts: ghg, emissions, climate; EU scope not established. This is a provisional connection, not an outcome finding.</w:t>
      </w:r>
    </w:p>
    <w:p>
      <w:r>
        <w:t>Available abstract (not full text): The problem of climate change on the planet has been gradually forming since the middle of the 20th century. as the idea of a universal threat, to combat which humanity needs to unite and regulate the waste of resources. To do this, the problem of global climate change had to be introduced both into the political and economic agenda, and into the basic world system of values. Only then would climate rhetoric be able to influence political decisions and shape the way people live, as well as influence the global economy. But for this it is necessary to prove that humans are to blame for global climate change. The fact that nature is constantly changing, scientists knew until the middle of the 20th century. But it was believed that the reasons for this lie in the laws of long and short climatic cycles, and man has nothing to do with global changes. And this means that it is impossible to justify the reasons why the global community and individuals should change their behavior. That is, without substantiating the anthropogenic impact on global climate change, this topic cannot claim to be the central determinant of economic and political development.</w:t>
      </w:r>
    </w:p>
    <w:p>
      <w:r>
        <w:t>POSSIBLE 2023: The drivers of GHG emissions: A novel approach to estimate emissions using nonparametric analysis — https://doi.org/10.1016/j.gr.2023.10.004</w:t>
      </w:r>
    </w:p>
    <w:p>
      <w:r>
        <w:t>Shared claim-specific concepts: ghg, emissions, based, climate; EU scope not established. This is a provisional connection, not an outcome finding.</w:t>
      </w:r>
    </w:p>
    <w:p>
      <w:r>
        <w:t>Available abstract (not full text): The rising levels of global GHG emissions underpin climate change, hence, taking an appropriate inventory of the drivers and patterns of anthropogenic emissions remains crucial to mitigating global climate effects. However, there are conflicting views in the literature on the relationship between respective drivers and GHG emissions due to the lack of robust analysis that accommodates the interaction of all significant drivers. We use novel estimation techniques to decipher the 26-year inventory of GHG occurrences and simultaneous assessment of interactions in 50 countries stratified based on socioeconomic developments over the period 1990-2018. This study highlights different drivers of GHG emissions under broader categories such as population, economic development, forest density, and agricultural practices. Non-parametric estimations roughly confirm the magnitude of the influence of forests, agriculture, and land-use intensity on GHG emissions, ultimately tracking the most significant emission sinks.</w:t>
      </w:r>
    </w:p>
    <w:p>
      <w:r>
        <w:t>POSSIBLE 2023: Towards a Low-Carbon Plastic Waste Recycling in Finland: Evaluating the Impacts of Improvement Measures on GHG Emissions — https://doi.org/10.1007/s43615-023-00306-w</w:t>
      </w:r>
    </w:p>
    <w:p>
      <w:r>
        <w:t>Shared claim-specific concepts: reach, ghg, emissions, capacity, based, energy; EU scope visible. This is a provisional connection, not an outcome finding.</w:t>
      </w:r>
    </w:p>
    <w:p>
      <w:r>
        <w:t>Available abstract (not full text): Abstract The use of plastics in products and packaging is growing. At the same time, the lifespan of packaging is short and consequently plastic waste volumes are growing in Finland and globally. Although separate collection and recycling of plastic packaging waste exists in Finland, it needs to be strengthened to reach the European Union’s targets. The separately collected plastic waste is mechanically recycled, but the recycling capacity is small, as is the process’s yield of secondary polymers. Hence, a large share of plastic packaging waste remains being recovered for energy. In our study, we first apply material flow analysis (MFA) to identify different routes of plastic packaging waste in Finland, and then we apply life cycle assessment (LCA) to quantify greenhouse gas (GHG) emissions of the current system and of alternative scenarios based on improvement measures. Domestic GHG emissions of the studied system were estimated to be 178 kt CO2e. Net GHG emissions including exports and credits from avoided production were estimated to be 155 kt CO2e. The results of the scenario assessment indicate that combining more measures offer significantly greater potential to reduce the system’s climate impacts, compared to individual measures. The results are complemented by a sensitivity analysis, helping with the interpretation of the results, understanding modelling challenges, and</w:t>
      </w:r>
    </w:p>
    <w:p>
      <w:r>
        <w:t>POSSIBLE 2022: Completing Urban GHG Emissions Data to Assess the Effectiveness of Climate Action Plans in Europe — https://doi.org/10.5194/egusphere-egu22-5175</w:t>
      </w:r>
    </w:p>
    <w:p>
      <w:r>
        <w:t>Shared claim-specific concepts: reach, ghg, emissions, need, strategic, role; EU scope visible. This is a provisional connection, not an outcome finding.</w:t>
      </w:r>
    </w:p>
    <w:p>
      <w:r>
        <w:t>Available abstract (not full text): Urban areas are major contributors to global greenhouse gas (GHG) emissions. To address climate change, many cities have developed climate action plans (CAPs) as strategic roadmaps to reduce their emissions and strive for emission neutrality and climate resilience by 2050 or before. It has been more than a decade since the first of these plans were put in place, and it is now important to evaluate these plans and to access whether city-level climate ambitions will be realised or perhaps need adjustment to pursue for improvements in climate resilience over time This work aims to further our understanding of urban GHG emissions, by completing existing urban carbon emissions data with blue-green contributions to the urban carbon cycle. In a previous study, it was found that the inclusion of blue-green emissions in urban carbon accounting in Stockholm, Sweden had a significant impact on that region’s ability to reach net zero emissions in the coming decades (Page et al., 2021). In this study, we complete the urban emissions data for cities across the European Union (EU) in order to assess if, and for which types of cities, the inclusion of blue-green emissions in the GHG accounting is similarly relevant. Furthermore, we will use data about the CAPs produced and implemented by these cities together with the completed GHG emissions in order to assess whether the actions and plans mad</w:t>
      </w:r>
    </w:p>
    <w:p>
      <w:r>
        <w:t>POSSIBLE 2022: How COVID-19 Affected GHG Emissions of Ferries in Europe — https://doi.org/10.3390/su14095287</w:t>
      </w:r>
    </w:p>
    <w:p>
      <w:r>
        <w:t>Shared claim-specific concepts: ghg, emissions, reduction, depending; EU scope visible. This is a provisional connection, not an outcome finding.</w:t>
      </w:r>
    </w:p>
    <w:p>
      <w:r>
        <w:t>Available abstract (not full text):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r>
        <w:t>POSSIBLE 2022: Perspective on the hydrogen economy as a pathway to reach net-zero CO 2 emissions in Europe — https://doi.org/10.1039/d1ee02118d</w:t>
      </w:r>
    </w:p>
    <w:p>
      <w:r>
        <w:t>Shared claim-specific concepts: reach, emissions, role, energy; EU scope visible. This is a provisional connection, not an outcome finding.</w:t>
      </w:r>
    </w:p>
    <w:p>
      <w:r>
        <w:t>Available abstract (not full text): The envisioned role of hydrogen in the energy transition – or the concept of a hydrogen economy – has varied through the years.</w:t>
      </w:r>
    </w:p>
    <w:p>
      <w:r>
        <w:t>POSSIBLE 2022: GHG emissions and firm performance: The role of CEO gender socialization — https://doi.org/10.1016/j.jbankfin.2022.106721</w:t>
      </w:r>
    </w:p>
    <w:p>
      <w:r>
        <w:t>Shared claim-specific concepts: ghg, emissions, reduction, role, strategy, energy; EU scope not established. This is a provisional connection, not an outcome finding.</w:t>
      </w:r>
    </w:p>
    <w:p>
      <w:r>
        <w:t>Available abstract (not full text): In this paper, I examine the effect of corporate greenhouse gas emissions (GHG) on profitability. I use the gender composition of the CEOs' children as an identification strategy to investigate the impact of GHG emissions on profits. CEOs who father a daughter are associated with a 10% reduction in GHG emissions. The reduction in emissions, in turn, improves profitability. A one standard deviation decrease in GHG emissions leads to a 0.14 standard deviations increase in profitability. Examining the channels, I show that CEOs with daughters are more likely to adopt a climate-integrated business strategy and set emission-reduction targets. Emission reduction affects profitability through both information advantage (protection from negative industry shocks, and lower cost of capital), and operational efficiency (lower operating costs and energy consumption) channels.</w:t>
      </w:r>
    </w:p>
    <w:p>
      <w:pPr>
        <w:pStyle w:val="Heading2"/>
      </w:pPr>
      <w:r>
        <w:t>How to Achieve a Healthier and More Sustainable Europe by 2040 According to the Public? Results of a Five-Country Questionnaire Survey</w:t>
      </w:r>
    </w:p>
    <w:p>
      <w:r>
        <w:t>Original source (2020): https://doi.org/10.3390/ijerph17176071</w:t>
      </w:r>
    </w:p>
    <w:p>
      <w:r>
        <w:t>Original wording (abstract; indexed_source_text_not_full_document_verified): The aim of this paper is to understand public preferences for several future scenarios of achieving a healthier, more equitable and sustainable Europe, which differ in the way the society is organized (individualistically vs. collectively) and in the driving sector (public vs. private). About three thousand respondents chose among the four scenarios presented within four different contexts (green spaces, active mobility, energy-efficient housing, food consumption) or none of them.</w:t>
      </w:r>
    </w:p>
    <w:p>
      <w:r>
        <w:t>POSSIBLE 2026: Power, inclusion and the role of SMEs in European public procurement — https://doi.org/10.1108/jpbafm-06-2025-0169</w:t>
      </w:r>
    </w:p>
    <w:p>
      <w:r>
        <w:t>Shared claim-specific concepts: understand, several, about; EU scope visible. This is a provisional connection, not an outcome finding.</w:t>
      </w:r>
    </w:p>
    <w:p>
      <w:r>
        <w:t>Available abstract (not full text): Purpose This study examines small and medium-sized enterprise (SME) participation in European public procurement, aiming to understand disparities across member states despite harmonised EU Directives. Design/methodology/approach Using a novel dataset of 839,778 tenders with information about SME participation from the Tenders Electronic Daily (TED) platform covering 29 countries from 2018 to 2023, we analyse SME participation rates, contract award shares, and geographic competition patterns. Findings Significant variation is observed: Eastern European countries exceed 80% SME participation, while several Western European countries remain below 40%. SMEs participate in about 80% of tenders but secure only 40–60% of contract values. Geographic proximity enhances SME competitiveness in local markets, especially for contracts under €500,000. Institutional and administrative factors appear more decisive than regulatory frameworks alone. Research limitations/implications Limitations include potential data quality issues. However, these were mitigated where possible, and the database remains the only available offering comparable data across Europe. Future research should explore institutional and cultural factors in greater depth through country-level studies. Practical implications Policymakers should adopt tailored approaches addressing administrative complexity and regional marke</w:t>
      </w:r>
    </w:p>
    <w:p>
      <w:r>
        <w:t>POSSIBLE 2025: Risks of gender communication strategies in the Public Sector : The European Union perspective — https://openalex.org/W7119366041</w:t>
      </w:r>
    </w:p>
    <w:p>
      <w:r>
        <w:t>Shared claim-specific concepts: understand, society, sector, four; EU scope visible. This is a provisional connection, not an outcome finding.</w:t>
      </w:r>
    </w:p>
    <w:p>
      <w:r>
        <w:t>Available abstract (not full text): The article explores the risks of gender-sensitive communication in the public sector, with a focus on the European Union (EU) that adopted significant gender and inclusive community policies (e.g. the recent Gender Equality Strategy 2020-2025). The analysis is framed within a broader theoretical context, where public communication is understood as a strategic tool for strengthening democratic systems, fostering trust, and promoting social inclusion in an increasingly fragmented digital society. Theoretical perspectives on institutional public sector communication, inclusivity, intersectionality, and media polarization are considered to highlight the tensions between normative policy ambitions and the contested, often politicized, nature of gender public discourse in Europe.Against this background, the study aims to understand what kinds of European communication campaigns on gender issues are conducted, how they are disseminated across different platforms, and which risks emerge from the management of media and channels. Additionally, it seeks to examine how gender-related themes are framed and represented, and what risks may arise in terms of inclusivity and effectiveness.To achieve these objectives, the study considers four selected EU communication campaigns launched between 2020 and 2024. A qualitative approach is adopted, drawing on media content analysis and critical int</w:t>
      </w:r>
    </w:p>
    <w:p>
      <w:r>
        <w:t>POSSIBLE 2025: CONTEMPORARY EUROPEAN CONCEPTS OF PUBLIC ADMINISTRATION IN THE CONTEXT OF DIGITAL TRANSFORMATION AND THEIR LEGAL FRAMEWORK — https://doi.org/10.36690/2674-5216-2025-1-99-109</w:t>
      </w:r>
    </w:p>
    <w:p>
      <w:r>
        <w:t>Shared claim-specific concepts: aim, understand, sector; EU scope visible. This is a provisional connection, not an outcome finding.</w:t>
      </w:r>
    </w:p>
    <w:p>
      <w:r>
        <w:t>Available abstract (not full text): This article presents an in-depth exploration of conceptual and legal approaches to public administration reform in European countries amid the digital transformation of the public sector. The primary aim is to analyze how classical administrative traditions, the New Public Management paradigm, and the emerging model of Good Governance are evolving under the influence of digital technologies and to determine how legal frameworks support this transition. The study is grounded in the need to understand how institutional modernization can balance efficiency, accountability, and democratic legitimacy in rapidly changing information environments. The research applies a comparative legal and administrative methodology, synthesizing structural-functional analysis with systematization of legal norms and institutional practices. The analysis considers regulatory developments at both the European Union and national levels, as well as structural adjustments in public administration aimed at incorporating digital innovations. The methodology includes the classification of governance models, critical assessment of legislative instruments, and contextual evaluation of their operational impact in practice. The findings of the study reveal that the digital transformation of public administration in Europe does not replace traditional governance models but rather stimulates their hybridization.</w:t>
      </w:r>
    </w:p>
    <w:p>
      <w:r>
        <w:t>POSSIBLE 2024: Government Analytics in Europe: Making Public Data Count — https://doi.org/10.1596/41610</w:t>
      </w:r>
    </w:p>
    <w:p>
      <w:r>
        <w:t>Shared claim-specific concepts: aim, understand; EU scope visible. This is a provisional connection, not an outcome finding.</w:t>
      </w:r>
    </w:p>
    <w:p>
      <w:r>
        <w:t>Available abstract (not full text): This report is part of a collection examining how analytics using government microdata is revolutionizing public administration throughout the world. The collection is based on The Government Analytics Handbook, a comprehensive guide to using data to understand and improve government. The reports in this collection aim to help public servants apply lessons from the Handbook to their own administrations by describing the unique opportunities and challenges for government analytics that arise in different regions. No two regions, countries, administrations, or organizations are alike - that’s why using microdata to measure, understand, and improve government is so important! The general principle of the Handbook is as follows: governments across the world make thousands of personnel management decisions, procure millions of goods and services, and execute billions of processes each day. They are data rich. And yet there is little systematic practice to date that capitalizes on these data to make public administrations work better. This means that governments are missing out on data insights to save billions in procurement expenditures, recruit better talent into government, and identify sources of corruption - to name just a few! The Handbook seeks to change that. It presents frontier evidence and practitioner insights on how to leverage data to make governments work better. Cove</w:t>
      </w:r>
    </w:p>
    <w:p>
      <w:r>
        <w:t>POSSIBLE 2024: Innovation at the Crossroads: How Public-Private Partnerships Drive Technological Development in Europe — https://doi.org/10.17721/apmv.2024.159.1.94-108</w:t>
      </w:r>
    </w:p>
    <w:p>
      <w:r>
        <w:t>Shared claim-specific concepts: understand, sustainable, society, driving, sector, private; EU scope visible. This is a provisional connection, not an outcome finding.</w:t>
      </w:r>
    </w:p>
    <w:p>
      <w:r>
        <w:t>Available abstract (not full text): This article investigates the pivotal role of public-private partnerships (PPPs) in driving technological development across Europe, highlighting how the collaboration between public institutions and private enterprises serves as a catalyst for innovation and economic growth. By analyzing a range of successful case studies and conducting an extensive review of existing literature, this study identifies the key factors that contribute to the effectiveness of PPPs and their substantial impact on technological advancement. The research reveals that PPPs significantly enhance resource allocation, allowing for more efficient use of financial and human capital. They facilitate risk sharing, which encourages private sector participation in high-risk technological projects that might otherwise lack sufficient funding or support. Moreover, PPPs promote knowledge transfer between the public and private sectors, fostering a culture of innovation and enabling the rapid deployment of new technologies. Different models of PPPs are examined to understand their implementation in various contexts, shedding light on the diverse approaches taken by European countries. The study also addresses the challenges faced in establishing and maintaining PPPs, such as regulatory hurdles, financial constraints, and coordination issues. Strategies for overcoming these barriers are discussed, providing practi</w:t>
      </w:r>
    </w:p>
    <w:p>
      <w:r>
        <w:t>POSSIBLE 2023: PUBLIC-PRIVATE PARTNERSHIP’S ASCENT AND FALL IN EUROPE — https://doi.org/10.47535/1991auoes32(2)004</w:t>
      </w:r>
    </w:p>
    <w:p>
      <w:r>
        <w:t>Shared claim-specific concepts: understand, way, private; EU scope visible. This is a provisional connection, not an outcome finding.</w:t>
      </w:r>
    </w:p>
    <w:p>
      <w:r>
        <w:t>Available abstract (not full text): Collaborations between public and private have appeared in Europe since ancient times, presenting in different ways from one nation to another, and being the source of the current “public-private partnership” arrangement. This study aims to emphasize the significance of “public-private partnership” for a certain area. In this research, I used the qualitative technique to examine and understand the global experience in developing public-private partnerships. The method was effective in showing how “public-private partnerships” have changed throughout Europe. There is no standard definition of “public-private partnership” that can be found in all studies because there isn’t one that everybody in Europe acknowledges. Presenting the development of “public-private partnerships” throughout Europe and emphasizing their ascent and fall, is the primary output of this study. Additionally, this study aimed to demonstrate the current status of this kind of cooperation throughout Europe and the interest that European nations have shown in “public-private partnerships”. The market for “public-private partnerships” in Europe has been expanding gradually since 1990. Since then, Great Britain has dominated the market for public-private partnerships for a considerable amount of time. This is a country where interest in this kind of cooperation has grown. In this study, we attempted to draw inter</w:t>
      </w:r>
    </w:p>
    <w:p>
      <w:r>
        <w:t>POSSIBLE 2023: The history of European public health education accreditation in perspective — https://doi.org/10.56801/seejph.vi.54</w:t>
      </w:r>
    </w:p>
    <w:p>
      <w:r>
        <w:t>Shared claim-specific concepts: aim, understand, sector; EU scope visible. This is a provisional connection, not an outcome finding.</w:t>
      </w:r>
    </w:p>
    <w:p>
      <w:r>
        <w:t>Available abstract (not full text): Aim: The aim of this paper is to investigate the history of accreditation of academic public health education and understand why there is a 65 year gap between the first system in America and the uptake of accreditation in Europe. The paper intends to search for parallels and dissimilarities between the development in America and Europe and then consider if any parallels could be used for determining the future role of accreditation in Europe. Methods: The paper draws heavily upon a literature review and analysis and the examination and interpretation of primary and secondary sources. Firstly there is an exploration of the American development which is complemented by an evaluation of the developments in Europe. Results: The paper demonstrates that there are two key features required for the development of accreditation: interstate collaboration and a liberalisation or opening up of the education market. Conclusions: Since the Second World War, Europe has embraced interstate collaboration which has led to a liberalisation of certain economic markets. The future for sector based accreditation of public health education will be determined by the extent Europe pursues liberalisation and whether a competitive environment will bring into question the transparency and trust in state sponsored accreditation agencies.</w:t>
      </w:r>
    </w:p>
    <w:p>
      <w:r>
        <w:t>POSSIBLE 2023: Examining the publicness of spaces on European social housing estates: a position paper — https://doi.org/10.1017/s1359135523000155</w:t>
      </w:r>
    </w:p>
    <w:p>
      <w:r>
        <w:t>Shared claim-specific concepts: understand, four; EU scope visible. This is a provisional connection, not an outcome finding.</w:t>
      </w:r>
    </w:p>
    <w:p>
      <w:r>
        <w:t>Available abstract (not full text): The concept of ‘publicness’ addresses the intersection between people and their physical surroundings, and the ways in which they affect each other in an ongoing process. This point of relational exchange is the core concept behind ‘Public Space in European Social Housing’ (PuSH), a three-year HERA-funded project conducted by a transnational, multidisciplinary team of researchers. Large-scale modernist postwar housing estates, often used for social, cooperative, or mass rental housing, tend to be problematised as places of segregation and disintegration in European cities. Yet they are potentially also primary sites for integration between people of different cultural origins and social backgrounds. By investigating publicness in relation to social housing, including cooperative housing and mass rental housing estates, PuSH aims to better understand how cultural encounters happen, and ultimately to reflect on how integration can be better sustained. In this paper, we take a relational conception of publicness as our point of departure to explore the differentiations and intersections between sites and modes of public life in relation to our approach and the social housing estates we investigate. Moreover, we present our conceptual contribution to the concept of publicness, both theoretically and methodologically using multidisciplinary theories and methodologies, and four analy</w:t>
      </w:r>
    </w:p>
    <w:p>
      <w:r>
        <w:t>POSSIBLE 2023: Advanced practice nursing in Europe—Results from a pan‐European survey of 35 countries — https://doi.org/10.1111/jan.15775</w:t>
      </w:r>
    </w:p>
    <w:p>
      <w:r>
        <w:t>Shared claim-specific concepts: aim, understand, among; EU scope visible. This is a provisional connection, not an outcome finding.</w:t>
      </w:r>
    </w:p>
    <w:p>
      <w:r>
        <w:t>Available abstract (not full text): AIM: To report the results of a mapping exercise by the European Federation of Nurses on current advanced practice nursing frameworks and developments across Europe. DESIGN: Online, cross-sectional, questionnaire study. METHODS: An online questionnaire was distributed among 35 national nurses' associations across Europe in March 2021. The questionnaire solicited input on 60 items concerning key features of advanced practice nursing, intending to map existing developments and better understand the current state of advanced practice nursing in Europe. Data analysis used descriptive statistics, including counts and percentages, tabulation; open-text responses were handled with thematic synthesis techniques. RESULTS: The definition, sense-making and operationalization of advanced practice nursing vary across Europe. Important variations were noted in the definition and requirements of advanced practice nursing, resulting in different views on the competencies and scope of practice associated with this role. Importantly, the level of education and training required to qualify and practice as an advanced practice nurse varies across European countries. Furthermore, only 11 countries reported the existence of a national legislation establishing minimum educational requirements. CONCLUSION: Significant variation exists in how countries define advanced practice nursing and how it is reg</w:t>
      </w:r>
    </w:p>
    <w:p>
      <w:r>
        <w:t>POSSIBLE 2022: European Public Health News — https://doi.org/10.1093/eurpub/ckac050</w:t>
      </w:r>
    </w:p>
    <w:p>
      <w:r>
        <w:t>Shared claim-specific concepts: several, healthier, way, organized, three, four; EU scope visible. This is a provisional connection, not an outcome finding.</w:t>
      </w:r>
    </w:p>
    <w:p>
      <w:r>
        <w:t>Available abstract (not full text): In this European public health news, the focus is on the next generation of public health professionals. Nagyova et al. highlight the successes of EUPHA, including attention to the younger generation and including the next generation in our governance structure. Barrios Aparicio et al. from the regional office for Europe of WHO embrace youth by highlighting WHO’s commitment to having the next generation involved in decision-making. Finally, Barnhoorn presents the efforts of greening this year’s EPH Conference, as requested by the younger generation. It is clear that we need to make sure that the younger (future) generation of public health professionals is (critically) involved in what we do and in what we need to do to make our future healthier. This year, EUPHA is celebrating its 30th birthday. Established in 1992, EUPHA started as a small network of public health professionals, where coordination between countries and providing the evidence were top priorities. Over the years, EUPHA has developed in a strong, reliable, science-based European partner with an excellent reputation. EUPHA is able to provide the right evidence at the right place at the right time, has become a strong advocate for public health at European level and also has developed action-oriented tools, like the European public health week. So how did we grow to what we are now? Without being exhaustive, we wo</w:t>
      </w:r>
    </w:p>
    <w:p>
      <w:r>
        <w:t>POSSIBLE 2021: European Public Health news — https://doi.org/10.1093/eurpub/ckab175</w:t>
      </w:r>
    </w:p>
    <w:p>
      <w:r>
        <w:t>Shared claim-specific concepts: several, way, society; EU scope visible. This is a provisional connection, not an outcome finding.</w:t>
      </w:r>
    </w:p>
    <w:p>
      <w:r>
        <w:t>Available abstract (not full text): In this European Public Health news, we present updates from EUPHA, the EUPHA working group on gender equality, WHO Europe and the upcoming European Public Health Conference. Zeegers and Nagyova reflect on the increase in polarization in the world which has been highlighted by the COVID-19 pandemic. Petelos et al. present the work EUPHA has been developing on gender equality. Something that should be totally obvious, but still needs specific attention, so that gender equality is accepted and implemented everywhere. Kluge et al. reflect on the future of digital public health, one of the priorities of WHO Europe. Digital health is no longer an option, it is essential. Barnhoorn and Staines highlight the excellent plenary programme of the 2021 European Public Health Conference, where digital health, communication, lessons learned from COVID-19 and climate change are all being addressed. In July, a famous Dutch crime reporter was killed in the streets of Amsterdam and a 14-year-old Dutch girl was beaten for not answering a question on her gender. Why? Because they were both—in their own way—outspoken and open, something that seems to be no longer accepted in this polarized society. In the society today, you are either from the North Pole or from the South Pole. The fact that 99.9% of people actually live between those two extremes seems no longer relevant. We learn from our world t</w:t>
      </w:r>
    </w:p>
    <w:p>
      <w:r>
        <w:t>POSSIBLE 2021: Public opinion towards a universal basic income in Europe — https://openalex.org/W7113266209</w:t>
      </w:r>
    </w:p>
    <w:p>
      <w:r>
        <w:t>Shared claim-specific concepts: aim, understand, about, among; EU scope visible. This is a provisional connection, not an outcome finding.</w:t>
      </w:r>
    </w:p>
    <w:p>
      <w:r>
        <w:t>Available abstract (not full text): The idea of a Universal Basic Income (UBI) has gained increasing attention in public debates and among policymakers across Europe. The inclusion of the Welfare Attitudes in Europe module during Round 8 (2016/17) of the European Social Survey (ESS) - for the first time in academic cross-national research - allowed attitudes towards the introduction of a Universal Basic Income to be assessed in 23 countries. Aim of this article is to explore and understand the different aspects and predictors of UBI support. In particular, this paper analyses a broad range of explanatory individual and contextual factors that may affect popular support for a UBI. Main findings shows that the stronger support for a European minimum income benefit in less generous welfare states is explained by more optimistic expectations about the EU’s domestic impact and lower socioeconomic status groups are more supportive of this policy proposal. Moreover, the analysis reveals that diverging national experiences and expectations are crucial in understanding why Europeans are widely divided on the implementation of such a benefit scheme. Secondly, in almost all countries, the younger age group is more supportive of activation and a universal basic income than the older age group. Finally, using logistic regression model it is possible to estimate the different attitudes among countries for a UBI more accurately</w:t>
      </w:r>
    </w:p>
    <w:p>
      <w:pPr>
        <w:pStyle w:val="Heading2"/>
      </w:pPr>
      <w:r>
        <w:t>Least cost energy system pathways towards 100% renewable energy in Ireland by 2050</w:t>
      </w:r>
    </w:p>
    <w:p>
      <w:r>
        <w:t>Original source (2020): https://doi.org/10.1016/j.energy.2020.118264</w:t>
      </w:r>
    </w:p>
    <w:p>
      <w:r>
        <w:t>Original wording (abstract; indexed_source_text_not_full_document_verified): This paper therefore undertakes a whole-system approach and explores optimal pathways towards 100% renewable energy by 2050. However, given the large future uncertainties, it is recommended that further policy considerations be given to pathways with high electrification levels as they are more robust towards uncertainties.</w:t>
      </w:r>
    </w:p>
    <w:p>
      <w:r>
        <w:t>POSSIBLE 2024: Autarky penalty versus system cost effects for Europe of large-scale renewable energy imports from North Africa — https://doi.org/10.1016/j.esr.2023.101289</w:t>
      </w:r>
    </w:p>
    <w:p>
      <w:r>
        <w:t>Shared claim-specific concepts: renewable, energy; EU scope visible. This is a provisional connection, not an outcome finding.</w:t>
      </w:r>
    </w:p>
    <w:p>
      <w:r>
        <w:t>Available abstract (not full text): We quantify in more detail than earlier studies the cost trade-offs of establishing import-export links between Europe and North Africa for two quintessential energy carriers needed for the energy transition: electricity and hydrogen. Using the TIAM-ECN model, we show under what assumptions Europe will make a net energy system cost gain or, inversely, pay a net price for exploiting such interlinkages. We find that allowing for trade of renewable energy between Europe and North Africa substantially reduces the EU's domestic renewable energy capacity investments needed to implement its Green Deal and Fit for 55 Programme. In addition to creating import-export scenarios for electricity and hydrogen across the Mediterranean and investigating the cost implications of a European-African energy partnership until 2050, we perform a detailed sensitivity analysis regarding possible technological developments and sectoral shifts, as well as vis-à-vis potential cost, sectoral and technical asymmetries between Europe and North Africa. We introduce a new concept in energy analysis, autarky penalty, which is the price paid by a region for restricting energy trade with its neighbors. If domestic hydrogen production from solar and wind energy through electrolysis is constrained, Europe's autarky penalty may increase to 30 billion $ annually by 2050.</w:t>
      </w:r>
    </w:p>
    <w:p>
      <w:r>
        <w:t>POSSIBLE 2024: Oncoplastic breast surgery in Europe — https://doi.org/10.21037/gs-23-380</w:t>
      </w:r>
    </w:p>
    <w:p>
      <w:r>
        <w:t>Shared claim-specific concepts: therefore, however, high; EU scope visible. This is a provisional connection, not an outcome finding.</w:t>
      </w:r>
    </w:p>
    <w:p>
      <w:r>
        <w:t>Available abstract (not full text): Oncoplastic breast surgery (OPS) has become an integral part of breast cancer surgery for both breast conservation and mastectomies. In recent years, the emphasis on early detection and the advances in systemic and locoregional therapy has improved prognosis leading to an increased focus on survivorship and quality of life issues including patients' short and long-term aesthetic appearance as a key part of the surgical management. There is a significant variation across Europe in the type of specialist performing breast cancer surgery and the provision of OPS as such. In the traditional model, breast cancer care was provided by gynecologists in some countries, general surgeons, surgical oncologists, and breast surgeons in others. However recently, surgeons throughout Europe have extended their skill-base to include level 1 and 2 OPS and implant- and pedicle-flap based breast reconstruction. For breast surgeons to become proficient in these techniques, a standardized level of training and expertise is needed. The European Society of Mastology (EUSOMA) set standards for a specialist health professional in the field of breast cancer, the European Union of Medical Specialists (UEMS) examinations and the global curriculum that was developed by the American Society of Surgical Oncology (SSO) and the European Society of Surgical Oncology (ESSO) aims to improve standards of OPS practic</w:t>
      </w:r>
    </w:p>
    <w:p>
      <w:r>
        <w:t>POSSIBLE 2022: Risks in the European Transmission System and a Novel Restoration Strategy for a Power System after a Major Blackout — https://doi.org/10.3390/app13010083</w:t>
      </w:r>
    </w:p>
    <w:p>
      <w:r>
        <w:t>Shared claim-specific concepts: renewable, energy, given, high, they; EU scope visible. This is a provisional connection, not an outcome finding.</w:t>
      </w:r>
    </w:p>
    <w:p>
      <w:r>
        <w:t>Available abstract (not full text): Many citizens of European countries may soon experience a long and extensive blackout. The lack of predictability in the output of renewable energy sources, aggravating the problem of consistently matching supply with demand on electric grids, along with cyber-attacks or even worse unpredictable incidents in the electric grid are some factors that may mean a blackout is much more likely than in previous years. This paper covers the possibility of an extensive blackout in a country of the interconnected European electricity transmission system or, even worse, a blackout in a wide area of the European continent. The topic of this paper becomes even more important and timely given the energy crisis due to the war in Ukraine, which has made the possibility of a blackout in the winter of 2022–2023 high. First, the major European blackouts that occurred in the past 20 years are presented, examining their causes. On 8 January 2021, the European electricity grid was divided into two separate sections, with different frequencies; some additional scenarios are considered which, if they had happened, could have led to blackouts in some European countries or, even worse, a wide area of Europe. This work also examines how to avoid such an eventuality, as well as how European TSOs should react in case a blackout occurs. Focused on the fast and reliable supply of consumers after a blackout, a</w:t>
      </w:r>
    </w:p>
    <w:p>
      <w:r>
        <w:t>POSSIBLE 2022: Precedent in the system of the European Convention on Human Rights — https://doi.org/10.4324/9781003264262-15</w:t>
      </w:r>
    </w:p>
    <w:p>
      <w:r>
        <w:t>Shared claim-specific concepts: approach, considerations, they; EU scope visible. This is a provisional connection, not an outcome finding.</w:t>
      </w:r>
    </w:p>
    <w:p>
      <w:r>
        <w:t>Available abstract (not full text): The purpose of the present paper is to briefly reassess the role of the ECtHR’s case law in its own case law and the approach developed in this respect by the Court. The Court systematically refers to the earlier case law and usually presents its judgments and decisions as a consequence of principles formulated in earlier case law. Following precedent is a matter of free choice of the Court, justified by two main considerations: 1) legal certainty and foreseeability and 2) equality before the law. Following precedents is the default rule, while departing from precedents is a permissible exception requiring a ‘good reason’. At the same time, the Court differentiates the precedential value of its judgments and decisions. Numerous judges feel bound to follow the Grand Chamber case law, even if they disagree with it, whereas others adopt the opposite viewpoint. Separate opinions usually focus on questions related to the correct identification and interpretation of the relevant case law. The Court develops its case law, usually without overtly departing from precedents. The developments often reflect societal change (under Article 8 of the ECHR), whereas the approach of the ECtHR seems more conservative in respect of more ‘technical’ legal issues.</w:t>
      </w:r>
    </w:p>
    <w:p>
      <w:r>
        <w:t>POSSIBLE 2021: Insights on the environmental management system of the European port sector — https://doi.org/10.1016/j.scitotenv.2021.150550</w:t>
      </w:r>
    </w:p>
    <w:p>
      <w:r>
        <w:t>Shared claim-specific concepts: given, they; EU scope visible. This is a provisional connection, not an outcome finding.</w:t>
      </w:r>
    </w:p>
    <w:p>
      <w:r>
        <w:t xml:space="preserve">Available abstract (not full text): This research focusses on assessing the environmental performance of European Ports based on a wide representation of EcoPorts members. The data is extracted from the Self-Diagnosis Method (SDM), a concise checklist against which port managers can self-assess the environmental management of their port in relation to the performance of the EcoPorts membership. A total number of 97 ports from 18 different European Maritime States contributed to this evaluation. They have answered questions related to the main components of internationally recognized Environmental Management System (EMS) standards. Similar periodic assessments have been carried out since 2013, allowing for the identification of benchmark performance. The geographical representation and characteristics of the participating ports are given along with the perceived ranking of priority environmental issues based on regular reviews. Air quality has been the top environmental priority for many years, followed by climate change, which has risen rapidly to the second position. Most of the ports have an environmental policy in place (96%) and a compilation of an inventory of significant environmental aspects (92%). Transparency is also very important to ports, with 91% of ports communicating their environmental policy to stakeholders, and 86% of ports making it publicly available on their website. Around 80% of ports have </w:t>
      </w:r>
    </w:p>
    <w:p>
      <w:r>
        <w:t>POSSIBLE 2021: Governing displaced migration in Europe: housing and the role of the “local” — https://doi.org/10.1186/s40878-020-00209-x</w:t>
      </w:r>
    </w:p>
    <w:p>
      <w:r>
        <w:t>Shared claim-specific concepts: approach, they; EU scope visible. This is a provisional connection, not an outcome finding.</w:t>
      </w:r>
    </w:p>
    <w:p>
      <w:r>
        <w:t>Available abstract (not full text):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pPr>
        <w:pStyle w:val="Heading2"/>
      </w:pPr>
      <w:r>
        <w:t>Long-term vision of rural areas in Hungary, focusing on foresights</w:t>
      </w:r>
    </w:p>
    <w:p>
      <w:r>
        <w:t>Original source (2020): https://doi.org/10.22004/ag.econ.314094</w:t>
      </w:r>
    </w:p>
    <w:p>
      <w:r>
        <w:t>Original wording (abstract; indexed_source_text_not_full_document_verified): The aim of the Hungarian research team was to identify the current and likely trends for the Hungarian rural areas and to point out key challenges, opportunities, enablers and barriers in rural development in terms of digitalisation up to 2040. Among the results, it is worth mentioning that digitisation and digitalisation will fundamentally change how rural areas operate including economic, environmental and social dimensions.</w:t>
      </w:r>
    </w:p>
    <w:p>
      <w:r>
        <w:t>POSSIBLE 2026: Central And Eastern European Companies in Africa. The Case of Hungarian Businesses — https://doi.org/10.18267/pr.2026.vol.2587.3</w:t>
      </w:r>
    </w:p>
    <w:p>
      <w:r>
        <w:t>Shared claim-specific concepts: aim, hungarian, areas, key; EU scope visible. This is a provisional connection, not an outcome finding.</w:t>
      </w:r>
    </w:p>
    <w:p>
      <w:r>
        <w:t>Available abstract (not full text): The aim of this study is to explore the factors that determine whether Hungarian companies will succeed or fail in African markets.The research was based on interviews with 28 Hungarian companies/enterprises, one export expert, and five foreign economic attachés and diplomats working in Africa, which mapped the motivations, strategies, and experiences of market entry.According to the results, market entry was primarily driven by the saturation of European markets, the need for growth and diversification, and the foreign policy direction of the "Southern Opening".The key to success can be traced back to four factors: market knowledge and preparedness, adaptability, trust-building, and long-term commitment.The majority of Hungarian companies entered through direct export or local distributors, while the main obstacles were in the areas of human resources, financing, cultural differences, infrastructure, and political risks.The research showed that long-term success requires a complex, integrated support system that provides financial, cultural, technological and political tools.Future research directions of the study include sector-specific studies, longitudinal analyses, comparisons across Central and Eastern European countries, and a deeper exploration of the effects of the political and diplomatic background.</w:t>
      </w:r>
    </w:p>
    <w:p>
      <w:r>
        <w:t>POSSIBLE 2026: What drives population fluctuations of European ground squirrels in Hungary? — https://doi.org/10.1186/s12983-026-00608-3</w:t>
      </w:r>
    </w:p>
    <w:p>
      <w:r>
        <w:t>Shared claim-specific concepts: hungarian, identify; EU scope visible. This is a provisional connection, not an outcome finding.</w:t>
      </w:r>
    </w:p>
    <w:p>
      <w:r>
        <w:t>Available abstract (not full text): BACKGROUND: Understanding and predicting the dynamics of rodent populations, particularly for endangered or pest species, requires knowledge of potential background factors. We collected long-term data on the abundance of European ground squirrels, Spermophilus citellus, in 64 colonies as part of the Hungarian Biodiversity Monitoring System to investigate the abiotic factors that could explain the spatial and temporal dynamics of populations in Hungary. We used information theory-based modelling and multi-model inference to investigate the effects of environmental and climate variables on relative population densities, using monitoring records of burrow counts as proxies for density collected annually between 2000 and 2018. We examined data carefully for any clues of inconsistencies, errors, or missing data, which resulted in 57% of the complete dataset. RESULTS: Our generalised additive models (GAM) with splines identified geographical location, year, and principal components reflecting winter temperature, precipitation, and summer temperature to affect population densities. Contour plots derived from the best GAM model uncovered increasing density in the Kiskunság and Kisalföld meso-regions with favourable water management characteristics and decreasing densities in the northern and southern regions, which in fact, cover floodplain of River Tisza and other flash-flood regions</w:t>
      </w:r>
    </w:p>
    <w:p>
      <w:r>
        <w:t>POSSIBLE 2025: Nutritional therapy of post-stroke dysphagia patients, with special reference to the role of dietitians in multidisciplinary teams: A Hungarian study — https://doi.org/10.1556/2066.2025.00068</w:t>
      </w:r>
    </w:p>
    <w:p>
      <w:r>
        <w:t>Shared claim-specific concepts: aim, hungarian, out; EU scope visible. This is a provisional connection, not an outcome finding.</w:t>
      </w:r>
    </w:p>
    <w:p>
      <w:r>
        <w:t>Available abstract (not full text): Abstract Background In the European Union, it is estimated that the number of stroke patients will increase by 27% between 2017 and 2047, due to an ageing population and improved survival rates. The most common complications of acute stroke are malnutrition, aspiration and subsequent aspiration pneumonia, which is often fatal. Purpose The aim of this study was to assess dietitians' knowledge of the concept of dysphagia, its detection, and risk factors and nutritional options for post-stroke patients diagnosed with dysphagia. Materials/Methods An online questionnaire was developed for dietitians working in healthcare institutions. The inclusion criteria were working in a healthcare institution, dealing with people affected by the investigated condition in their daily work, and/or working with elderly people. The exclusion criterion was failure to meet any of the inclusion criteria. The questionnaire was available for completion between 9 September and 11 November 2020. Out of the total of 83 respondents, 19 did not meet the inclusion criteria. The questionnaire contained 12 questions aimed at assessing the knowledge, attitudes, and needs of dietitians working in Hungarian healthcare institutions, mainly with stroke patients, with respect to dysphagia, its complications, and diet. The questionnaire was distributed by the National Association of Hungarian Dietitians (MDOSZ) to its</w:t>
      </w:r>
    </w:p>
    <w:p>
      <w:r>
        <w:t>POSSIBLE 2025: Entrepreneurial Student Teams and Start-up Project Continuance Intention at Hungarian Universities — https://doi.org/10.7595/management.fon.2025.0005</w:t>
      </w:r>
    </w:p>
    <w:p>
      <w:r>
        <w:t>Shared claim-specific concepts: hungarian, team, identify, likely, challenges, among; EU scope not established. This is a provisional connection, not an outcome finding.</w:t>
      </w:r>
    </w:p>
    <w:p>
      <w:r>
        <w:t>Available abstract (not full text): Research Question: The study investigates into whether the characteristics of early-stage innovative student entrepreneurship projects, student team composition, and the intention of continuing the project are related at Hungarian universities. Motivation: Entrepreneurship has long been recognized as a vital driver of innovation, economic development, and societal progress. Within the educational landscape, fostering entrepreneurial skills among university students has become increasingly critical, particularly considering global challenges demanding creative solutions and innovative ventures. This study is motivated by the need to understand the dynamics of early-stage student entrepreneurship projects within the framework of the Hungarian Startup University Program (HSUP). Specifically, it seeks to explore the relationship between the intrinsic characteristics and dynamics of startup projects, such as team composition and skill diversity, and their likelihood of continued development. In addition, the research aims to identify the attributes of student teams that excel in entrepreneurial ventures. Idea: The Hungarian Startup University Program (HSUP) is a fully uniform, centrally managed programme that students from participating universities can take as an undergraduate course, receive ECR credits and earn scholarship for promising project ideas. Our investigation aims to sh</w:t>
      </w:r>
    </w:p>
    <w:p>
      <w:r>
        <w:t>POSSIBLE 2025: Rethinking the strongest link: VAL, ratings, and team success in Hungarian basketball — https://doi.org/10.3389/fspor.2025.1658676</w:t>
      </w:r>
    </w:p>
    <w:p>
      <w:r>
        <w:t>Shared claim-specific concepts: hungarian, team, among; EU scope not established. This is a provisional connection, not an outcome finding.</w:t>
      </w:r>
    </w:p>
    <w:p>
      <w:r>
        <w:t>Available abstract (not full text): Introduction: This study evaluates the impact of individual player performance-particularly the VAL rating-on team success in professional basketball. It examines whether basketball operates as a "strong-link" sport, where outcomes depend primarily on top-performing players. Methods: A quantitative analysis was conducted on the 2022/2023 Hungarian NB I/A men's league, using 21 offensive and defensive statistical indicators. Data were collected from official league sources and analyzed using IBM SPSS Statistics version 28.0. Results: Our findings reveal no significant correlation between individual VAL rankings and team standings. However, offensive and defensive ratings, as well as NET ratings (points scored over opponents per 100 possessions), were strongly associated with team performance, especially among foreign and young players. The VAL metric was more influenced by offensive than defensive performance. Limited playing time and experience may have affected the performance metrics of young players. Discussion: These results suggest that while basketball reflects strong-link sport characteristics, traditional metrics like VAL may not fully capture a player's contribution to team success. A more comprehensive approach-incorporating both offensive and defensive indicators-could offer a clearer evaluation of player impact. Future research should also explore psychological, tac</w:t>
      </w:r>
    </w:p>
    <w:p>
      <w:r>
        <w:t>POSSIBLE 2025: The Central-European small town: interpretations, challenges and resilience in Hungary — https://doi.org/10.18690/rg.20.2.5201</w:t>
      </w:r>
    </w:p>
    <w:p>
      <w:r>
        <w:t>Shared claim-specific concepts: rural, areas, challenges; EU scope visible. This is a provisional connection, not an outcome finding.</w:t>
      </w:r>
    </w:p>
    <w:p>
      <w:r>
        <w:t>Available abstract (not full text): Small towns are long-term stable elements of the urban network with established residential and service roles. Geographical research has often neglected them, and accordingly, certain conceptual issues require clarification. However, particularly in countries with low urbanisation, small towns play a significant role in the transformation and modernisation of rural areas. Nevertheless, the increasingly global scale of economic and social processes poses a considerable challenge to their traditional functions, reshaping their development framework. In this evolving context, the flexible adaptive capacity of small towns – defined as resilinece – becomes crucial. Alongside addressing globalisation challenges, this study outlines a cognitive resilience model that could also serve as the basis for a new planning practice.</w:t>
      </w:r>
    </w:p>
    <w:p>
      <w:r>
        <w:t>POSSIBLE 2022: Hungarian Participation in JUICE Project of European Space Agency — https://doi.org/10.12700/aph.19.9.2022.9.2</w:t>
      </w:r>
    </w:p>
    <w:p>
      <w:r>
        <w:t>Shared claim-specific concepts: hungarian, team, current, out; EU scope visible. This is a provisional connection, not an outcome finding.</w:t>
      </w:r>
    </w:p>
    <w:p>
      <w:r>
        <w:t>Available abstract (not full text): JUICE -JUpiter ICy moons Explorer -is the first large-class mission of ESA (European Space Agency). Planned for launch in Sept 2022 and arrival at Jupiter in 2029, it will spend at least three years making detailed observations of the giant gaseous planet Jupiter and three of its largest moons, Ganymede, Callisto and Europa.Space technical team developed power supply unit for PEP (Particle Enviroment Package) instrument.PEP and its sensors will examine the plasma environment in the Jovian system.PEP will measure density and fluxes of positive and negative ions, electrons, exospheric neutral gas, thermal plasma and energetic neutral atoms.The nominal onboard voltage is 28 V on the space probe.Space technical team had a job to develop power supply unit DCC (Direct Current Converter) for the sensors of PEP.The job was a great challenge because of the required high reliability and that reliable operation had to be ensured in extreme circumstances.We present in this article the realization of DCC.The DCC required for its tests to develop a special test equipment called EGSE (Electronic Ground Support Equipment).The EGSE was developed by the SGF Ltd. and supports checks of DCC.In this article we present the DCC, the quality insurance methods and the tests carried out by EGSE.</w:t>
      </w:r>
    </w:p>
    <w:p>
      <w:r>
        <w:t>POSSIBLE 2022: The genetic origin of Huns, Avars, and conquering Hungarians — https://doi.org/10.1016/j.cub.2022.04.093</w:t>
      </w:r>
    </w:p>
    <w:p>
      <w:r>
        <w:t>Shared claim-specific concepts: hungarian, identify, likely; EU scope visible. This is a provisional connection, not an outcome finding.</w:t>
      </w:r>
    </w:p>
    <w:p>
      <w:r>
        <w:t>Available abstract (not full text): centuries. Based on the historical data, each of these groups are thought to have arrived from Asia, although their exact origin and relation to other ancient and modern populations have been debated. Recently, hundreds of ancient genomes were analyzed from Central Asia, Mongolia, and China, from which we aimed to identify putative source populations for the above-mentioned groups. In this study, we have sequenced 9 Hun, 143 Avar, and 113 Hungarian conquest period samples and identified three core populations, representing immigrants from each period with no recent European ancestry. Our results reveal that this "immigrant core" of both Huns and Avars likely originated in present day Mongolia, and their origin can be traced back to Xiongnus (Asian Huns), as suggested by several historians. On the other hand, the "immigrant core" of the conquering Hungarians derived from an earlier admixture of Mansis, early Sarmatians, and descendants of late Xiongnus. We have also shown that a common "proto-Ugric" gene pool appeared in the Bronze Age from the admixture of Mezhovskaya and Nganasan people, supporting genetic and linguistic data. In addition, we detected shared Hun-related ancestry in numerous Avar and Hungarian conquest period genetic outliers, indicating a genetic link between these successive nomadic groups. Aside from the immigrant core groups, we identified that the majority</w:t>
      </w:r>
    </w:p>
    <w:p>
      <w:r>
        <w:t>POSSIBLE 2022: Strategic coupling on the European periphery: A case study of a small Hungarian town — https://doi.org/10.17649/tet.36.3.3424</w:t>
      </w:r>
    </w:p>
    <w:p>
      <w:r>
        <w:t>Shared claim-specific concepts: hungarian, key; EU scope visible. This is a provisional connection, not an outcome finding.</w:t>
      </w:r>
    </w:p>
    <w:p>
      <w:r>
        <w:t>Available abstract (not full text): The FDI-based economic development policies in East-Central Europe and the strategies of transnational firms seeking cost-efficient production locations close to the main markets of the EU have led during the last decades to the integration of the region into different global/regional production networks, mainly in the form of locations for industrial production. While the intensity of re-industrialization largely determines economic growth and spatial socioeconomic inequalities outside metropolitan regions, the long-term success of this model, which tends to result in a dual economy, dependent development, and the ‘middle-income trap’, has been challenged. According to the GPN literature, which comprises the main theoretical basis of our research, the means of integration is the key to understanding the potential outcomes of this economic model. The process seems to depend on the quality of global-local interactions based on enterprise strategies and multi-level regional assets and agency. Our article focuses on making a comparative analysis of two transnational companies in a small peripheral town and uses the concept of strategic coupling as the analytical framework for the interpretation of the global-local interactions and their developmental outcomes. Based on secondary and primary sources, we examine the key assets and actors in the local environment, follow the developm</w:t>
      </w:r>
    </w:p>
    <w:p>
      <w:r>
        <w:t>POSSIBLE 2021: Sport and development in Hungary and the Central and Eastern European region — https://doi.org/10.4324/9781003024002-5</w:t>
      </w:r>
    </w:p>
    <w:p>
      <w:r>
        <w:t>Shared claim-specific concepts: aim, trends, opportunities; EU scope visible. This is a provisional connection, not an outcome finding.</w:t>
      </w:r>
    </w:p>
    <w:p>
      <w:r>
        <w:t>Available abstract (not full text): Emerging markets mean business opportunities and a special challenge for companies whose goals are to build business. The aim of this paper is to analyse the trends of the leisure sports markets in the Central and Eastern European (CEE) region, with a special focus on Hungary. Comprehensive data collection was conducted between 2010 and 2019 on the leisure sports markets and people’s physical activity in eight post-soviet countries in our detailed investigation of supply and demand for leisure sport in emerging markets. Our research shows that for emerging countries, the development of the economy generally results in a significant increase in the service sector, including the leisure sport industry (revenues, market size, etc.). However, our results show that the level of physical activity and the number of people involved in leisure sports are not increasing. Furthermore, the number of those who never do sports has increased. Finally, we have found that while spending on sports goods has increased, fewer people are actually spending more. This chapter explores these results, the role of business development, and the responsibility of CEE governments in leisure sports.</w:t>
      </w:r>
    </w:p>
    <w:p>
      <w:pPr>
        <w:pStyle w:val="Heading2"/>
      </w:pPr>
      <w:r>
        <w:t>Macrofinancial linkages in Europe: Evidence from quantile local projections</w:t>
      </w:r>
    </w:p>
    <w:p>
      <w:r>
        <w:t>Original source (2020): https://doi.org/10.1002/ijfe.2080</w:t>
      </w:r>
    </w:p>
    <w:p>
      <w:r>
        <w:t>Original wording (abstract; indexed_source_text_not_full_document_verified): We find that global economic policy uncertainty index dampens the growth rates of industrial production in Austria, France, Italy, Luxembourg and Slovakia, which calls for specific measures to mitigate this adverse effect at the national level, for example, by curtailing yellow journalism, populist ideas and disbeliefs. Second, we pursue a hybrid econometric approach to capture a presumably nonlinear nature of these linkages by building on different quantiles of the data series and estimating impulse responses from smooth local projections (Barnichon and Brownlees, Review of Economics and Statistics , 101(3), 522–530, 2019).</w:t>
      </w:r>
    </w:p>
    <w:p>
      <w:r>
        <w:t>POSSIBLE 2026: Global Europe 2.0: The economic potential of new EU Trade Agreements in an era of US protectionism — https://openalex.org/W7164620605</w:t>
      </w:r>
    </w:p>
    <w:p>
      <w:r>
        <w:t>Shared claim-specific concepts: find, adverse, effect; EU scope visible. This is a provisional connection, not an outcome finding.</w:t>
      </w:r>
    </w:p>
    <w:p>
      <w:r>
        <w:t>Available abstract (not full text): The protectionist trade policy of the second Trump administration poses a significant challenge to the European economy, hitting export-oriented manufacturing particularly hard. Against this backdrop, this study quantifies the economic potential of a new European free trade initiative ("Global Europe 2.0") centered on new trade agreements with seven key trading partners: the Mercosur countries, India, the United Arab Emirates, Australia, Indonesia, Malaysia, and Thailand (the P7). Despite accounting for 13 percent of global merchandise imports, the P7's share in EU exports has stagnated over recent decades, pointing to untapped potential that new agreements could help unlock. Using the ifo Trade Model, a quantitative general equilibrium model, we simulate two scenarios: a baseline capturing the medium-term effects of current US tariff policy, and a scenario adding new EU-P7 trade agreements. We find that P7 agreements would more than offset the adverse effects of US protectionism, generating a net positive effect on EU economic activity. Depending on agreement depth, EU real GDP rises by 0.18 to 0.43 percent and total exports by 1.3 to 3.4 percent. Gains are broad-based across all 27 member states, and the turnaround is most striking for EU manufacturing.</w:t>
      </w:r>
    </w:p>
    <w:p>
      <w:r>
        <w:t>POSSIBLE 2026: Extreme weather in Europe: Determinants and economic impact — https://doi.org/10.1016/j.euroecorev.2026.105327</w:t>
      </w:r>
    </w:p>
    <w:p>
      <w:r>
        <w:t>Shared claim-specific concepts: index, measures, adverse; EU scope visible. This is a provisional connection, not an outcome finding.</w:t>
      </w:r>
    </w:p>
    <w:p>
      <w:r>
        <w:t>Available abstract (not full text): This paper investigates the relationship between anthropogenic greenhouse gas (GHG) emissions and extreme weather conditions in Europe using a novel panel regression trend–cycle decomposition approach. Using the European Extreme Events Climate Index (E3CI) and its seven subcomponents for 40 European countries since 1981, the study finds a significant statistical association between extreme weather deterioration and both the flow and the stock dimensions of global greenhouse gas emissions. Building on these results, dynamic panel regressions within an Autometrics and model-averaging framework reveal significant contractions in GDP growth determined by worsening climatological conditions. The largest effects are observed in the services sector, and extreme wind and precipitation events are the most damaging. Climate deterioration operates through both supply and demand channels – particularly via private spending and productivity – and contributes to structural economic divergence across Europe. Effective mitigation and sustainable economic development are the most powerful tools to counter these adverse effects, while adaptation and institutional improvements serve as second-best measures, particularly against wildfires and extreme temperatures.</w:t>
      </w:r>
    </w:p>
    <w:p>
      <w:r>
        <w:t>POSSIBLE 2026: Economic specialization and heterogeneous temperature-economy relationships suggest net costs of climate change in Europe — https://doi.org/10.1038/s41467-026-73341-4</w:t>
      </w:r>
    </w:p>
    <w:p>
      <w:r>
        <w:t>Shared claim-specific concepts: find, rates, national, level; EU scope visible. This is a provisional connection, not an outcome finding.</w:t>
      </w:r>
    </w:p>
    <w:p>
      <w:r>
        <w:t>Available abstract (not full text): Abstract Econometric analysis of the global impact of temperature fluctuations on Gross Domestic Product (GDP) suggests that higher temperatures harm warm countries, benefit cooler ones and the existence of a global "optimal" temperature1–3. However, aggregate temperature-GDP relationships are averages across space and sectors of the economy that mask heterogeneity, misrepresent the costs or benefits of temperature change and provide misleading guidance for mitigation and adaptation policies. Focusing on Europe, we use administrative district level data on the growth rate of Gross-Value Added (GVA) and GDP to estimate the impact of temperature on economic growth at the national, district, and industry levels. Unlike previous global studies, in Europe we find negative effects of warmer-than-average years on GVA and GDP in relatively cold districts (annual mean temperature 0 to 14°C) and positive effects in warmer regions (above 14 °C) warmer-than-average years, yet the opposite in the extremes (&lt; 0 °C and &gt; 20°C). Across Europe this U-shaped temperature-GDP growth relationship implies a -0.14 (95% CI: ± 0.16) percentage point change in economic growth, rather than a benefit of +0.16 (± 0.14) in1. Using RCP4.5 (median CMIP6), average annual growth rates change by between -0.07 (± 0.18) and -1.23 (±0.38) percentage points by 2100, depending on empirical specifications. Disaggregat</w:t>
      </w:r>
    </w:p>
    <w:p>
      <w:r>
        <w:t>POSSIBLE 2023: SMART SPECIALIZATION STRATEGY AS AN INNOVATIVE BASIS OF GLOBAL ECONOMIC DEVELOPMENT: EUROPEAN EXPERIENCE — https://doi.org/10.20998/2519-4461.2023.2.95</w:t>
      </w:r>
    </w:p>
    <w:p>
      <w:r>
        <w:t>Shared claim-specific concepts: find, specific; EU scope visible. This is a provisional connection, not an outcome finding.</w:t>
      </w:r>
    </w:p>
    <w:p>
      <w:r>
        <w:t>Available abstract (not full text): The strategy of smart specialization rightly serves as a key reference point for the economic development of individual industries and regions. This study is aimed at analyzing the European experience in applying the strategy of smart specialization as an innovative basis of global economic development. It is becoming increasingly clear that the strategy of smart specialization can fundamentally change the rules for many industries. The research focuses on the fact that by focusing on specific areas of knowledge and developing targeted capabilities, businesses and organizations can find unique niches and gain a competitive advantage. The smart specialization strategy also has drawbacks, as it requires a deep understanding of the industry and a willingness to invest in specialized skills and resources, or may need to move away from broader, more general strategies to achieve smart specialization. However, it is emphasized that the benefits of smart specialization are clear when it comes to standing out in a crowded marketplace, building deeper relationships with customers, and ultimately driving growth. As industries continue to develop and become more complex, the strategy of smart specialization does not lose its relevance, and the European experience of its implementation will be useful for Ukraine.</w:t>
      </w:r>
    </w:p>
    <w:p>
      <w:r>
        <w:t>POSSIBLE 2023: Cost-effective adaptation strategies to rising river flood risk in Europe — https://doi.org/10.1038/s41558-022-01540-0</w:t>
      </w:r>
    </w:p>
    <w:p>
      <w:r>
        <w:t>Shared claim-specific concepts: find, measures, level; EU scope visible. This is a provisional connection, not an outcome finding.</w:t>
      </w:r>
    </w:p>
    <w:p>
      <w:r>
        <w:t>Available abstract (not full text): Abstract River flood risk in Europe could rise to unprecedented levels due to global warming and continued development in flood-prone areas. Here, we appraise the potential of four key adaptation strategies to reduce flood risk across Europe based on flood risk modelling and cost–benefit analysis. We find that reducing flood peaks using detention areas is economically the most attractive option. In a scenario without climate mitigation (3 °C global warming), they can lower projected flood losses in Europe by 2100 from €44(30–61) billion to €8.1(5.5–10.7) billion per year and lower population exposed by 84% (75–90%) or achieve a risk level comparable to today. The economic investment required over 2020–2100 would provide a return of €4(3.5–6.3) for each €1 invested. The risk reduction potential of strengthening of dykes is somewhat lower, at 70% (59–83%) for a comparable annual investment. Implementing building-based flood proofing and relocation measures is less cost-effective but can reduce impacts in localized areas.</w:t>
      </w:r>
    </w:p>
    <w:p>
      <w:r>
        <w:t>POSSIBLE 2023: Symmetric or Asymmetric: How is Economic Growth Responding to Global Economic Uncertainty in Africa's Oil Exporters? — https://doi.org/10.18267/j.pep.836</w:t>
      </w:r>
    </w:p>
    <w:p>
      <w:r>
        <w:t>Shared claim-specific concepts: find, uncertainty; EU scope visible. This is a provisional connection, not an outcome finding.</w:t>
      </w:r>
    </w:p>
    <w:p>
      <w:r>
        <w:t>Available abstract (not full text): Motivated by the persistent fall in oil prices due to incessant uncertainty-inducing events in recent years, this study empirically examined if economic growth in Africa's top five oil exporters (Algeria, Angola, Egypt, Libya, and Nigeria) is responding asymmetrically to changes in global economic uncertainty as well as uncertainties from U.S., Europe and China using nonlinear ARDL framework from 1997Q1 to 2021Q4. We find that rising global uncertainty hampers economic growth in these economies, while declining global uncertainty significantly enhances growth in Nigeria, Angola and Libya in the short run, but becomes growth-retarding in the long run. Thus, economic growth responds asymmetrically to global uncertainty, especially in the short run. The findings are robust to U.S., Europe, and China uncertainties, except that economic growth in Libya and Algeria remained unresponsive to U.S. and China uncertainties respectively. We concluded that Africa's oil exporters should embrace policies that can strengthen their resilience to global economic uncertainty as well as uncertainties from U.S., Europe, and China.</w:t>
      </w:r>
    </w:p>
    <w:p>
      <w:r>
        <w:t>POSSIBLE 2022: Globalization, Political Institutions, and Redistribution in Central and Eastern Europe — https://doi.org/10.1177/00104140221100199</w:t>
      </w:r>
    </w:p>
    <w:p>
      <w:r>
        <w:t>Shared claim-specific concepts: find, effect; EU scope visible. This is a provisional connection, not an outcome finding.</w:t>
      </w:r>
    </w:p>
    <w:p>
      <w:r>
        <w:t>Available abstract (not full text): We examine the role of political institutions in mediating the effects of globalization on economic redistribution in Central and Eastern Europe. The region represents a least-likely case of welfare state resilience in the face of global economic pressures given its reliance on foreign capital and considerable domestic elite support for neoliberal recipes during the postcommunist transition. Yet, contrary to the race-to-the-bottom hypothesis and consistent with the compensation perspective, we find that economic openness is on average related to higher redistribution. Using the high-quality European Union Statistics on Income and Living Conditions database for 2004–2018, we find that this effect is particularly pronounced in institutional environments where votes are more accurately translated into legislative seats (low disproportionality) and where governments face greater scrutiny both during elections (vertical accountability) and between them (diagonal accountability). Thus, even in a region that adopted “competitive deregulation,” the downward pressures of globalization were limited by electoral pressures for economic redistribution.</w:t>
      </w:r>
    </w:p>
    <w:p>
      <w:r>
        <w:t>POSSIBLE 2021: Public attitudes toward economic growth versus environmental sustainability dilemma: Evidence from Europe — https://doi.org/10.1177/00207152211034224</w:t>
      </w:r>
    </w:p>
    <w:p>
      <w:r>
        <w:t>Shared claim-specific concepts: find, measures, national, level; EU scope visible. This is a provisional connection, not an outcome finding.</w:t>
      </w:r>
    </w:p>
    <w:p>
      <w:r>
        <w:t>Available abstract (not full text): As global warming and other environmental threats intensify and become more visible, scientists are increasingly questioning the desirability of economic growth as an overarching national and global policy imperative. Several theories in environmental sociology and economics—degrowth, steady-state economy, and “agrowth”—offer compelling arguments that environmental sustainability and continuous economic growth are incompatible. However, there is a shortage of empirical evidence about public opinion on the growth versus environment dilemma, despite its great relevance for the social legitimacy of governments’ approach to the issue. In this article, we aim to narrow this research gap by applying multilevel models to data from the 2017 European Values Study (EVS). We find that the idea of sacrificing a certain level of growth for the sake of the environment receives high levels of support in most European countries. Nevertheless, within countries, we find clear indications of social divides in opinions regarding the growth versus environment dilemma: post-materialists, politically left-leaning people, the better-off, and the higher-educated are in favor of reduced growth, whereas materialists, right-wing individuals, and disadvantaged groups prioritize the economy over ecological concerns. At the country level, economic affluence is associated with greater support for reduced grow</w:t>
      </w:r>
    </w:p>
    <w:p>
      <w:r>
        <w:t>POSSIBLE 2021: The impact of stock market integration on economic growth in Asia and Europe regions — https://doi.org/10.1063/5.0075998</w:t>
      </w:r>
    </w:p>
    <w:p>
      <w:r>
        <w:t>Shared claim-specific concepts: find, index; EU scope visible. This is a provisional connection, not an outcome finding.</w:t>
      </w:r>
    </w:p>
    <w:p>
      <w:r>
        <w:t>Available abstract (not full text): The global increased of market integration for the past few decades has been staggering. Although numerous research have shown market integration as one of the main drivers of economic growth, existing literature has yet to find a conclusive result. Hence, this study examines the impact of stock market integration on economic growth in 32 countries of Asia and Europe regions. The study utilizes the Kalman Filter method to generate the stock market integration index and heterogenous panel models to investigate its relationship towards economic growth. Overall, the result shows that stock market integration has positive impact on economic growth in Asia and Europe high-income countries. However, the impact is not significant in Asia Middle-Income Countries, which suggest the insufficient absorptive capacities in these countries to benefit from the market integration. Such findings call for more appropriate market liberalization policies that fits the economic environment and geographical location of these countries.</w:t>
      </w:r>
    </w:p>
    <w:p>
      <w:r>
        <w:t>POSSIBLE 2021: Global economic impacts of COVID-19 lockdown measures stand out in high-frequency shipping data — https://doi.org/10.1371/journal.pone.0248818</w:t>
      </w:r>
    </w:p>
    <w:p>
      <w:r>
        <w:t>Shared claim-specific concepts: find, specific, measures, effect; EU scope visible. This is a provisional connection, not an outcome finding.</w:t>
      </w:r>
    </w:p>
    <w:p>
      <w:r>
        <w:t xml:space="preserve">Available abstract (not full text): The implementation of large-scale containment measures by governments to contain the spread of the COVID-19 virus has resulted in large impacts to the global economy. Here, we derive a new high-frequency indicator of economic activity using empirical vessel tracking data, and use it to estimate the global maritime trade losses during the first eight months of the pandemic. We go on to use this high-frequency dataset to infer the effect of individual non-pharmaceutical interventions on maritime exports, which we use as a proxy of economic activity. Our results show widespread port-level trade losses, with the largest absolute losses found for ports in China, the Middle-East and Western Europe, associated with the collapse of specific supply-chains (e.g. oil, vehicle manufacturing). In total, we estimate that global maritime trade reduced by -7.0% to -9.6% during the first eight months of 2020, which is equal to around 206-286 million tonnes in volume losses and up to 225-412 billion USD in value losses. We find large sectoral and geographical disparities in impacts. Manufacturing sectors are hit hardest, with losses up to 11.8%, whilst some small islands developing states and low-income economies suffered the largest relative trade losses. Moreover, we find a clear negative impact of COVID-19 related school and public transport closures on country-wide exports. Overall, we show </w:t>
      </w:r>
    </w:p>
    <w:p>
      <w:r>
        <w:t>POSSIBLE 2021: How resilient is health financing policy in Europe to economic shocks? Evidence from the first year of the COVID-19 pandemic and the 2008 global financial crisis — https://doi.org/10.1016/j.healthpol.2021.11.002</w:t>
      </w:r>
    </w:p>
    <w:p>
      <w:r>
        <w:t>Shared claim-specific concepts: find, national; EU scope visible. This is a provisional connection, not an outcome finding.</w:t>
      </w:r>
    </w:p>
    <w:p>
      <w:r>
        <w:t>Available abstract (not full text): The COVID-19 pandemic triggered an economic shock just ten years after the shock of the 2008 global financial crisis. Economic shocks are a challenge for health systems because they reduce government revenue at the same time as they increase the need for publicly financed health care. This article explores the resilience of health financing policy to economic shocks by reviewing policy responses to the financial crisis and COVID-19 in Europe. It finds that some health systems were weakened by responses to the 2008 crisis. Responses to the pandemic show evidence of lessons learnt from the earlier crisis but also reveal weaknesses in health financing policy that limit national preparedness to face economic shocks, particularly in countries with social health insurance schemes. These weaknesses highlight where permanent changes are needed to strengthen resilience in future: countries will have to find ways to reduce cyclicality in coverage policy and revenue-raising; increase the priority given to health in allocating public spending; and ensure that resources are used to meet equity and efficiency goals. Although many health systems are likely to face budgetary pressure in the years ahead, the experience of the 2008 crisis shows that austerity is not an option because it undermines resilience and progress towards universal health coverage.</w:t>
      </w:r>
    </w:p>
    <w:p>
      <w:pPr>
        <w:pStyle w:val="Heading2"/>
      </w:pPr>
      <w:r>
        <w:t>Medium-term forecast of European economic sustainable growth using Markov chains</w:t>
      </w:r>
    </w:p>
    <w:p>
      <w:r>
        <w:t>Original source (2020): https://doi.org/10.18045/zbefri.2020.2.585</w:t>
      </w:r>
    </w:p>
    <w:p>
      <w:r>
        <w:t>Original wording (abstract; indexed_source_text_not_full_document_verified): Economic growth is a frequently analyzed aspect, both from theoretical and empirical standpoint, under the impact of the influence factors, while the issue of economic growth was studied by applying different methods and obtaining different results.In the case of EU28, the problem of economic convergence has to take into consideration the fact that the Member States are heterogeneous in terms of development and rate of growth.In the present paper, by using Markov chains we have made, a forecast of the GDP per capita evolution for the economies of the EU28 members, starting from the known time horizon -1997-2016 as to approach a forecast horizon -2017-2028.The results obtained show that the convergence process will be a slow one in the case of some Member States, especially in the Central and Eastern Europe.The future economic dynamics will intensify growth</w:t>
      </w:r>
    </w:p>
    <w:p>
      <w:r>
        <w:t>POSSIBLE 2026: The impact of international economic sanctions on national economic growth. — https://openalex.org/W7125359130</w:t>
      </w:r>
    </w:p>
    <w:p>
      <w:r>
        <w:t>Shared claim-specific concepts: frequently, empirical; EU scope visible. This is a provisional connection, not an outcome finding.</w:t>
      </w:r>
    </w:p>
    <w:p>
      <w:r>
        <w:t>Available abstract (not full text): Over the past decades, international economic sanctions have become one of the most frequently used instruments of foreign and security policy, allowing states to restrict the activities of other countries, companies, or individuals without resorting to direct military intervention. Nevertheless, the economic consequences of sanctions affect not only the targeted entities but also the sanctioning states themselves, which incur adjustment costs due to changes in the volume and structure of foreign trade, investment and capital flows, financing conditions, energy and raw material price dynamics, and the costs of ensuring sanctions compliance and enforcement. Academic literature highlights that the majority of empirical research has traditionally focused on sanctioned states, while the economic costs borne by sanctioning countries have been assessed in a fragmented and inconsistent manner. In 2022, following Russia’s full-scale invasion of Ukraine, the tightening of the sanction’s regime imposed by European countries on Russia and Belarus further underscored the importance of systematically evaluating the economic effects such restrictive measures have on the sanctioning economies themselves. The aim of this master’s thesis is to evaluate the impact of international economic sanctions against Russia and Belarus on the economic growth of European states that imposed them, with part</w:t>
      </w:r>
    </w:p>
    <w:p>
      <w:r>
        <w:t>POSSIBLE 2024: Climate change and economic growth: Evidence for European countries — https://doi.org/10.1111/ajes.12605</w:t>
      </w:r>
    </w:p>
    <w:p>
      <w:r>
        <w:t>Shared claim-specific concepts: different, methods; EU scope visible. This is a provisional connection, not an outcome finding.</w:t>
      </w:r>
    </w:p>
    <w:p>
      <w:r>
        <w:t>Available abstract (not full text): Abstract Climate change may affect economies and the welfare of people around the world. To design appropriate policy responses, the economic effects of climate change should be known. One strand in the literature empirically estimates the growth effects of climatic variations. However, those studies often neglect economic variables that have proven to be robust in explaining economic growth. Further, often they fail to check for the robustness of their results. The main aim of this study is to detect whether there exists a statistically significant robust relation between climate change and economic growth by estimating different model specifications. To do so panel estimation techniques for 24 European economies for the period from 2002 to 2019 are applied whereby panel fixed effects estimations and dynamic Generalized Methods of Moments estimations are resorted to. No statistically significant robust relationship between the temperature change and economic growth is found just as for precipitation that does not exert a significant effect on growth. As regards the institutional and macroeconomic control variables the rule of law, the fiscal variable, and the output gap are statistically significant and robust. It is argued that far‐reaching policy measures, such as the net zero goal of the European Union, should be given only based on robust results. Otherwise, economic polic</w:t>
      </w:r>
    </w:p>
    <w:p>
      <w:r>
        <w:t>POSSIBLE 2023: Digitalisation and Economic Growth in the European Union — https://doi.org/10.3390/electronics12071718</w:t>
      </w:r>
    </w:p>
    <w:p>
      <w:r>
        <w:t>Shared claim-specific concepts: empirical, take, consideration; EU scope visible. This is a provisional connection, not an outcome finding.</w:t>
      </w:r>
    </w:p>
    <w:p>
      <w:r>
        <w:t>Available abstract (not full text): The aim of the present paper is to analyse the effects of digitalisation on economic growth in the European Union. An econometric model with balanced panel data is used, with the analysis spanning over a 22-year time frame from 2000 to 2021. The main conclusion is that digitalisation generates a positive and significant impact on economic growth, even when several control variables are taken into consideration. The results prove their robustness, which is backed by the employment of the DESI as an independent variable. This paper contributes to the existing empirical analyses by extending the research on digitalisation to the entire EU, and separately for the old EU-15 member states and EU-13 new member states since, to our best knowledge, the existing literature has not approached the subject in this manner. As a policy recommendation, we suggest that public decision-makers take measures that support more harmonised digitalisation policies, favouring the new business model based on digitalisation.</w:t>
      </w:r>
    </w:p>
    <w:p>
      <w:r>
        <w:t>POSSIBLE 2022: The impact of financial systems on economic growth in European Union member countries — https://doi.org/10.2478/picbe-2022-0068</w:t>
      </w:r>
    </w:p>
    <w:p>
      <w:r>
        <w:t>Shared claim-specific concepts: different, case; EU scope visible. This is a provisional connection, not an outcome finding.</w:t>
      </w:r>
    </w:p>
    <w:p>
      <w:r>
        <w:t>Available abstract (not full text): Abstract As the economy develops, self-financed capital investments are less frequent, being replaced by financing through banking intermediation and later through capital markets. The development of financial systems has a positive effect on the mobilization of resources, improving corporate governance and risk management, leading to economic growth. The preponderance of previous research papers shows a positive relationship between financial development and economic growth. Studies using cross-sectional methodologies discover almost unanimously a positive link between financial development and economic growth, while studies with methodologies based on time series, panel data or case studies reach different conclusions depending on the period considered, the countries’ initial level of development and the structure of the financial systems. The purpose of this paper is to investigate the impact of financial systems on economic growth using panel regressions based on annual data regarding measures of financial development for the member countries of the European Union, for the period 1990-2020. The findings show that the development of the financial systems, through the activity of banks and capital markets, has a positive effect on the allocation of resources, the mobilization of savings and the efficient management of risks, leading in turn to economic growth if there is a co</w:t>
      </w:r>
    </w:p>
    <w:p>
      <w:r>
        <w:t>POSSIBLE 2022: Analyzing the Level of Digitalization among the Enterprises of the European Union Member States and Their Impact on Economic Growth — https://doi.org/10.3390/joitmc8020070</w:t>
      </w:r>
    </w:p>
    <w:p>
      <w:r>
        <w:t>Shared claim-specific concepts: both, issue; EU scope visible. This is a provisional connection, not an outcome finding.</w:t>
      </w:r>
    </w:p>
    <w:p>
      <w:r>
        <w:t>Available abstract (not full text): The dynamic development of information and communication technology (ICT) reported in recent years has caused significant changes in almost all areas of social and economic life. The digitalization process resulting from this development is now becoming a determinant of both progress and modernity. This issue has been addressed in this paper, and thereby we present a methodology developed to study the level of digitalization and the use of innovative technologies among the enterprises of the EU-27 countries. The research was conducted using selected indicators—determinants (10) characterizing the main digital technologies and infrastructure associated with their implementation in the enterprises under study. Based on these indicators, the Entropy-Multi-Objective Optimization on the basis of Ratio Analysis (MOORA) method was used to determine the index (level) of digitalization among the companies of the EU-27. The level of use of digital technologies and infrastructure for Industry 4.0 was also determined. Another important goal of the study was to determine a relationship between the values of the digitalization index for the EU-27 countries and the economic parameters characterizing their economies. For this analysis, non-parametric tests such as the Kendall’s Tau and Spearman’s rank correlation coefficients were applied. The results significantly enrich the knowledge of meth</w:t>
      </w:r>
    </w:p>
    <w:p>
      <w:pPr>
        <w:pStyle w:val="Heading2"/>
      </w:pPr>
      <w:r>
        <w:t>One step ahead? The use of foresight by Czech and Slovak non-governmental organizations</w:t>
      </w:r>
    </w:p>
    <w:p>
      <w:r>
        <w:t>Original source (2020): https://doi.org/10.1186/s40309-020-00163-y</w:t>
      </w:r>
    </w:p>
    <w:p>
      <w:r>
        <w:t>Original wording (abstract; indexed_source_text_not_full_document_verified): Given the nature of their work and the complexity of the fast-changing contexts in which they operate, foresight techniques can potentially be useful in helping them prepare for future disruptions and maximize the positive influence of their work over future developments. The possibilities for and benefits of the application of foresight approaches and techniques are increasingly being discussed in various private and public organizations, especially with the aim to innovate and grow.</w:t>
      </w:r>
    </w:p>
    <w:p>
      <w:r>
        <w:t>POSSIBLE 2026: The End of Bourgeois Humanism and the Mindfulness of Nature in Adorno’s Writings of the 1950s and 1960s — https://doi.org/10.65272/978-88-6977-570-3_5</w:t>
      </w:r>
    </w:p>
    <w:p>
      <w:r>
        <w:t>Shared claim-specific concepts: given, nature, work, useful; EU scope not established. This is a provisional connection, not an outcome finding.</w:t>
      </w:r>
    </w:p>
    <w:p>
      <w:r>
        <w:t>Available abstract (not full text): Before discussing Adorno’s position on humanism and nature in more detail, particularly in his post- Dialectic of Enlightenment writings, it is useful to briefly review the attention that critical literature has devoted to these themes in Adorno, specifically that of nature. The last thirty years have seen a renewed interest in the conception of nature in Adorno’s work, also in view of its possible use in ecological discourse. This interest was already evident in the 1990s in the works of Jameson and Vogel: while the former considers Adorno and the other members of the Institute for Social Research as precursors of the ecological movement and animal rights struggles, the latter believes that Adorno (and Horkheimer) fails to conceive of a dialectical interaction between nature and society, remaining tied to a vague and ambiguous notion of nature: Nature is regarded as a given reality that humans seek to dominate, but it is also what enlightenment would like to return to. 1</w:t>
      </w:r>
    </w:p>
    <w:p>
      <w:r>
        <w:t>POSSIBLE 2025: Rethinking Automation and the Future of Work with Hannah Arendt — https://doi.org/10.1007/s10551-025-05991-1</w:t>
      </w:r>
    </w:p>
    <w:p>
      <w:r>
        <w:t>Shared claim-specific concepts: given, nature, work, developments; EU scope not established. This is a provisional connection, not an outcome finding.</w:t>
      </w:r>
    </w:p>
    <w:p>
      <w:r>
        <w:t>Available abstract (not full text):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r>
        <w:t>POSSIBLE 2024: True nature of hybrid work — https://doi.org/10.3389/forgp.2024.1448894</w:t>
      </w:r>
    </w:p>
    <w:p>
      <w:r>
        <w:t>Shared claim-specific concepts: nature, work, them, influence; EU scope visible. This is a provisional connection, not an outcome finding.</w:t>
      </w:r>
    </w:p>
    <w:p>
      <w:r>
        <w:t>Available abstract (not full text): Introduction This article reviews the discussion concerning hybrid work (HW) during and after the pandemic. We argue that understanding hybrid work as simply dividing working time between an office and another location limits the potential of organizing work sustainably based on organizations' goals and employee needs. Understanding the core nature of hybridity as a flexible and systemic entity and a “combination of two or more things” impacting work outcomes such as wellbeing and performance opens a much richer view of organizing work now and in the future. The critical questions are: What is the core nature of hybridity when two or more things are combined in work, and what factors influence configuring them? Moreover, what are their potential wellbeing and performance outcomes? Methods To discover core elements, we reviewed how the HW concept was defined in consulting companies' publications, business journals, and international organizations' publications, mainly focusing on challenges and opportunities for hybrid work during COVID-19. We also analyzed how the concept was used in European questionnaire findings from 27 EU countries during the pandemic. The potential wellbeing and performance outcomes were studied using a sample of prior literature reviews on remote and telework. To identify “Two or more things” in the discussions, we broke down the HW concepts into the phys</w:t>
      </w:r>
    </w:p>
    <w:p>
      <w:r>
        <w:t>POSSIBLE 2024: Nature of Work of Accountants: The Case of Accounting Service Firms in Hanoi, Vietnam — https://doi.org/10.25105/ijsmebs.v6i1.20525</w:t>
      </w:r>
    </w:p>
    <w:p>
      <w:r>
        <w:t>Shared claim-specific concepts: given, nature, work; EU scope not established. This is a provisional connection, not an outcome finding.</w:t>
      </w:r>
    </w:p>
    <w:p>
      <w:r>
        <w:t>Available abstract (not full text): In accounting service firms in Hanoi, nature of work of accountants is consistent with the accountants, but not fully. The main objective of this study was to identify, evaluate, and to measure the attributes of nature of work of accountants in accounting service firms in Hanoi, Vietnam. The study was based on a field survey using a semi-structured questionnaire on a sample of 150 accountants. But only 120 filled questionnaires were satisfactory and therefore included in the analysis. By using seceral statistical analytical tools, i.e. descriptive statistics, Cronbach’s Alpha analysis, Independent t-test and ANOVA, the study has identified and measured five (5) attributes of nature of work of accountants in accounting service firms in Hanoi, Vietnam that have great effects on employees (or in this case study, accountants). There is not, statistically, significant difference in the level of nature of work of accountants in accounting service firms in Hanoi from these different genders and between the mentioned three groups of age. Based on the findings, some recommendations are given for accounting service firms to improve the nature of work of accountants.</w:t>
      </w:r>
    </w:p>
    <w:p>
      <w:r>
        <w:t>POSSIBLE 2024: Nature, society, man, and culture in the system of being (1980) — https://doi.org/10.33910/2687-1262-2024-6-3-196-206</w:t>
      </w:r>
    </w:p>
    <w:p>
      <w:r>
        <w:t>Shared claim-specific concepts: given, nature, work; EU scope not established. This is a provisional connection, not an outcome finding.</w:t>
      </w:r>
    </w:p>
    <w:p>
      <w:r>
        <w:t>Available abstract (not full text): The article is based on the authorized copy of M. S. Kagan’s book ‘Systematic Approach and Humanitarian Knowledge’ (1991). It incorporates the hand-written edits made to the book by Kagan himself. The work is an attempt to understand the principles of structuring being. It discusses the relevant system of categories and the relationship between such concepts as nature, society, man, and culture. The author criticizes the ideas that lead to the dissolution of society in culture and the dissolution of society in nature. Kagan proposes a four-member principle of ontology. According to him, the identification of four basic forms of being — nature, society, man, and culture — allows us to overcome all types of reductionism (spiritualistic, psychological, biological, sociological). At the same time, this approach allows to maintain a monistic understanding of the material unity of the world and reveal the dialectic of the general and the particular in all the four specific forms of the motion of matter. The article describes theoretical consequences, practical significance and ideological meaning of Kagan’s tetra-based principle of ontology. A special focus is given to the prospects that this ontological principle opens up for the structural analysis of scientific knowledge, the organization of its various fields and the classification of sciences. The article emphasizes the relevanc</w:t>
      </w:r>
    </w:p>
    <w:p>
      <w:r>
        <w:t>POSSIBLE 2023: Kant on Freedom, Nature, and Judgment — https://doi.org/10.1017/9781009036634</w:t>
      </w:r>
    </w:p>
    <w:p>
      <w:r>
        <w:t>Shared claim-specific concepts: given, nature, work; EU scope not established. This is a provisional connection, not an outcome finding.</w:t>
      </w:r>
    </w:p>
    <w:p>
      <w:r>
        <w:t>Available abstract (not full text): Kant's Critique of Judgment seems not to be an obviously unified work. Unlike other attempts to comprehend it as a unity, which treat it as serving either practical or theoretical interests, Kristi Sweet's book posits it as examining a genuinely independent sphere of human life. In her in-depth account of Kant's Critical philosophical system, Sweet argues that the Critique addresses the question: for what may I hope? The answer is given in Kant's account of 'territory,' a region of experience that both underlies and mediates between freedom and nature. Territory forms the context in which purposiveness without a purpose, the Ideal of Beauty, the sensus communis, genius and aesthetic ideas, and Kant's conception of life and proof of God are best interpreted. Encounters in this sphere are shown to refer us to a larger, more cosmic sense of a whole to which both freedom and nature belong.</w:t>
      </w:r>
    </w:p>
    <w:p>
      <w:r>
        <w:t>POSSIBLE 2023: Metabolic politics: Industrial relations as if nature mattered — https://doi.org/10.31235/osf.io/wxb3s</w:t>
      </w:r>
    </w:p>
    <w:p>
      <w:r>
        <w:t>Shared claim-specific concepts: nature, work, they; EU scope not established. This is a provisional connection, not an outcome finding.</w:t>
      </w:r>
    </w:p>
    <w:p>
      <w:r>
        <w:t>Available abstract (not full text): Work is at the center of the social metabolism with nature. This means that industrial relations (IR) are always also environmental politics. This article reviews core contributions to IR literature, showing that they do not systematically address this role of nature and separate the politics of work from their ecological basis. Against this backdrop, the article develops an interdisciplinary approach, combining IR studies with geographical as well as historical perspectives. Drawing on these fields, it presents the concept of metabolic politics in which nature is an autonomous party of IR. This approach allows analysis to take into account systematically the effects of IR on nonhuman nature as well as nature's own shaping of IR. Such an interdisciplinary approach is necessary to understand the entanglement of IR with climate change and the broader ecological crisis.</w:t>
      </w:r>
    </w:p>
    <w:p>
      <w:r>
        <w:t>POSSIBLE 2023: Reinventing Work Nature: The Changing Work Landscape in Malayalam Architecture Magazines in the Post-COVID-19 Pandemic Era — https://doi.org/10.52783/tjjpt.v44.i3.719</w:t>
      </w:r>
    </w:p>
    <w:p>
      <w:r>
        <w:t>Shared claim-specific concepts: given, nature, work; EU scope not established. This is a provisional connection, not an outcome finding.</w:t>
      </w:r>
    </w:p>
    <w:p>
      <w:r>
        <w:t>Available abstract (not full text): The COVID-19 pandemic has profoundly impacted various industries, including the field of architecture magazines. This study aims to analyze the ramifications of the pandemic on the work nature of architecture magazines, with particular attention given to the editorial, business, and mechanical departments. By utilizing a qualitative research approach involving in-depth interviews with experts, this research investigates the changes that have transpired within the nature of work in architecture magazines as a direct response to the pandemic. Many changes have occurred. Findings from this study contribute to a deeper understanding of the changes and transformations within the architecture magazine industry, shedding light on the evolving work nature, strategies, and practices in the post-pandemic era. The insights gained will inform the key players such as stakeholders and advertisers to navigate the multifaceted challenges within the media landscape, reinforcing the resilience of magazine organizations and paving the way for sustained growth in the future.</w:t>
      </w:r>
    </w:p>
    <w:p>
      <w:r>
        <w:t>POSSIBLE 2022: The Nature of Work in the Media Industries: A Literature Review and Future Directions — https://doi.org/10.3390/journalmedia3010013</w:t>
      </w:r>
    </w:p>
    <w:p>
      <w:r>
        <w:t>Shared claim-specific concepts: given, nature, work, potentially, over, approaches; EU scope not established. This is a provisional connection, not an outcome finding.</w:t>
      </w:r>
    </w:p>
    <w:p>
      <w:r>
        <w:t xml:space="preserve">Available abstract (not full text): Media work is a culture-making activity affecting the ways people understand the world and, therefore, workers in the media industries have a critical role in shaping collective memories, traditions, and belief systems. While studies regarding the characteristics impacting the nature of work in the media industries have significantly been increasing over the last years, the literature in this area remains highly fragmented. This paper begins to address that shortcoming by conducting an in-depth review of 36 scholarly papers in influential journals published from 2006 to 2020 to provide a comprehensive view of the literature and its approaches. This study elaborates on the concept of media work by organizing previous efforts into five subthemes, including commonalities, contested terrain, gendered profession, emerging practices, and influencing factors. Previous research has emphasized that media workers’ subjective experiences need to be explored further and more in-depth; however, if we wish to depict a more holistic but realistic picture, those experiences should be contextualized and thus linked with the specific organizational configurations and macro structures in which media work is embedded. The present review depicts how work in the media may take different meanings when addressing it through various theoretical frameworks. Our study can enrich future studies regarding </w:t>
      </w:r>
    </w:p>
    <w:p>
      <w:r>
        <w:t>POSSIBLE 2022: Automation and the Changing Nature of Work — https://doi.org/10.1371/journal.pone.0266326</w:t>
      </w:r>
    </w:p>
    <w:p>
      <w:r>
        <w:t>Shared claim-specific concepts: nature, work, they; EU scope visible. This is a provisional connection, not an outcome finding.</w:t>
      </w:r>
    </w:p>
    <w:p>
      <w:r>
        <w:t>Available abstract (not full text): This study identifies the job attributes, and in particular skills and abilities, which predict the likelihood a job is recently automatable drawing on the Josten and Lordan (2020) classification of automatability, EU labour force survey data and a machine learning regression approach. We find that skills and abilities which relate to non-linear abstract thinking are those that are the safest from automation. We also find that jobs that require 'people' engagement interacted with 'brains' are also less likely to be automated. The skills that are required for these jobs include soft skills. Finally, we find that jobs that require physically making objects or physicality more generally are most likely to be automated unless they involve interaction with 'brains' and/or 'people'.</w:t>
      </w:r>
    </w:p>
    <w:p>
      <w:r>
        <w:t>POSSIBLE 2022: Nature, Work, and Transcendence — https://doi.org/10.1515/ejss-2022-2067</w:t>
      </w:r>
    </w:p>
    <w:p>
      <w:r>
        <w:t>Shared claim-specific concepts: nature, work, they, them; EU scope visible. This is a provisional connection, not an outcome finding.</w:t>
      </w:r>
    </w:p>
    <w:p>
      <w:r>
        <w:t>Available abstract (not full text): Abstract This article analyzes the function of Christian intertexts in Selma Lagerlöf’sNils Holgersson’s Marvelous Journey Through Sweden(1906/7). The intertexts structure the story both narratively and ethically. For the most part, however, they are not explicitly used as Christian. The intention of the book is not to transmit these stories, but to translate them into the new, national discourse. They were stripped of their original religious context and placed in the service of what might be called a national religion. In this process, the loss of the Christian framework did not mean the abolition of central ethical elements that were significant for Protestant practice. In particular, the pietistic heritage of a work ethic, the necessity of learning and education in order to become a true Christian – or, in its secular version, a true human citizen of the world with respect for others, taking responsibility for one’s own life and that of others, being humble and industrious – are central to the propagated morality of Nils Holgersson’s travelling school. Moreover, the transition from vertically to horizontally ordered space in the course of nationalizing the organization of the imagined community of Sweden seems to demand that the location of metaphysical transcendence be moved from heaven to earth; nature takes the place of the divine.</w:t>
      </w:r>
    </w:p>
    <w:p>
      <w:r>
        <w:t>POSSIBLE 2022: Principles for urban nature-based solutions — https://doi.org/10.1007/s13280-021-01685-w</w:t>
      </w:r>
    </w:p>
    <w:p>
      <w:r>
        <w:t>Shared claim-specific concepts: given, nature, work, application; EU scope not established. This is a provisional connection, not an outcome finding.</w:t>
      </w:r>
    </w:p>
    <w:p>
      <w:r>
        <w:t>Available abstract (not full text): Nature-based solutions (NBS) were introduced as integrated, multifunctional and multi-beneficial solutions to a wide array of socio-ecological challenges. Although principles for a common understanding and implementation of NBS were already developed on a landscape scale, specific principles are needed with regard to an application in urban areas. Urban areas come with particular challenges including (i) spatial conflicts with urban system nestedness, (ii) specific urban biodiversity, fragmentation and altered environments, (iii) value plurality, multi-actor interdependencies and environmental injustices, (iv) path-dependencies with cultural and planning legacies and (v) a potential misconception of cities as being artificial landscapes disconnected from nature. Given these challenges, in this perspective paper, we build upon and integrate knowledge from the most recent academic work on NBS in urban areas and introduce five distinct, integrated principles for urban NBS design, planning and implementation. Our five principles should help to transcend governance gaps and advance the scientific discourse of urban NBS towards a more effective and sustainable urban development. To contribute to resilient urban futures, the design, planning, policy and governance of NBS should (1) consider the need for a systemic understanding, (2) contribute to benefiting people and biodiversity, (3</w:t>
      </w:r>
    </w:p>
    <w:p>
      <w:pPr>
        <w:pStyle w:val="Heading2"/>
      </w:pPr>
      <w:r>
        <w:t>PREDICTION OF CUMULONIMBUS (CB) CLOUD BASED ON INTEGRATED FORECAST SYSTEM (IFS) OF EUROPEAN MEDIUM-RANGE WEATHER FORECAST (ECMWF)  IN THE FLIGHT INFORMATION REGION (FIR) OF JAKARTA AND UJUNG PANDANG</w:t>
      </w:r>
    </w:p>
    <w:p>
      <w:r>
        <w:t>Original source (2020): https://doi.org/10.29122/jstmc.v21i2.4100</w:t>
      </w:r>
    </w:p>
    <w:p>
      <w:r>
        <w:t>Original wording (abstract; indexed_source_text_not_full_document_verified): The study in the period other than 2019 is suggested for the next research because Indian Ocean Dipole (IOD) is extreme that may affect the Cb cloud growth in the study area.</w:t>
      </w:r>
    </w:p>
    <w:p>
      <w:r>
        <w:t>POSSIBLE 2024: Housing affordability and poverty in Europe: on the deteriorating position of market renters — https://doi.org/10.1017/s0047279423000703</w:t>
      </w:r>
    </w:p>
    <w:p>
      <w:r>
        <w:t>Shared claim-specific concepts: period, other, suggested; EU scope visible. This is a provisional connection, not an outcome finding.</w:t>
      </w:r>
    </w:p>
    <w:p>
      <w:r>
        <w:t>Available abstract (not full text): Abstract There are growing concerns about housing affordability throughout Europe. Recent studies by Housing Europe and the OECD have suggested that we are witnessing a generalised deterioration in housing affordability, while other studies point to worsening housing affordability for specific groups, such as renters or low-income households. The aim of this paper is to explore trends in, and incidences and determinants of, housing affordability in a comparative European context over the period 2010 to 2018. To do this we analyse data from the EU Statistics on Income and Living Conditions survey. We examine trends across different measures of housing affordability; examine its association with a variety of socio-economic characteristics and explore country-level differences in housing affordability problems. Our study finds that despite claims of worsening housing affordability, affordability measures show little sign of generalised deterioration over the period in question but that risks of affordability problems have become more concentrated on market renters during this period. At the country level, we find that gross domestic product (GDP) per capita and the at-risk-of-poverty rate are associated with housing affordability problems both between countries as well as within countries over time, while housing allowance coverage and rent regulation stringency are associated wit</w:t>
      </w:r>
    </w:p>
    <w:p>
      <w:r>
        <w:t>POSSIBLE 2021: The Contraction of European Economic Distances through Sustainable Tourism in the Pre-Pandemic Period — https://doi.org/10.2478/zireb-2021-0013</w:t>
      </w:r>
    </w:p>
    <w:p>
      <w:r>
        <w:t>Shared claim-specific concepts: period, other; EU scope visible. This is a provisional connection, not an outcome finding.</w:t>
      </w:r>
    </w:p>
    <w:p>
      <w:r>
        <w:t>Available abstract (not full text): Abstract The current importance of tourism leads us to analyze the extent to which the receipts from international tourism, and tourism in general, influence the capacity of European countries to reduce the development gaps of this sector in the European context and the extent to which the economic growth is sensitive to changes in tourist arrivals, tourism receipts and expenditures. Studying the GDP per capita and the receipts from international tourism for the period 1995-2017, we find that the European tourism has an important role in economy but secondary to capital stock and exports. The methodology used is a sensitivity analysis and a multiple linear regression with two models. The results show that, on short term, the gap in the European tourism sector is explained by the ability to attract income from the international tourism. The European growth of the tourism sector depends to a large extent on the amount of expenditures that tourists are making, on tourism receipts and, to a lesser extent, on tourist arrivals, but in all cases, the connection is a direct and positive one but, even so, the capital stock and the exports continue to play a very important role for the European economy. The analysis suggests that tourism is not a panacea for growth. On the contrary, it is one of the activities that stimulate growth along with investments, technology, or any other form of</w:t>
      </w:r>
    </w:p>
    <w:p>
      <w:r>
        <w:t>POSSIBLE 2021: Storm and fire disturbances in Europe: Distribution and trends — https://doi.org/10.1111/gcb.15679</w:t>
      </w:r>
    </w:p>
    <w:p>
      <w:r>
        <w:t>Shared claim-specific concepts: period, other, area; EU scope visible. This is a provisional connection, not an outcome finding.</w:t>
      </w:r>
    </w:p>
    <w:p>
      <w:r>
        <w:t>Available abstract (not full text): Abiotic forest disturbances are an important driver of ecosystem dynamics. In Europe, storms and fires have been identified as the most important abiotic disturbances in the recent past. Yet, how strongly these agents drive local disturbance regimes compared to other agents (e.g., biotic, human) remains unresolved. Furthermore, whether storms and fires are responsible for the observed increase in forest disturbances in Europe is debated. Here, we provide quantitative evidence for the prevalence of storm and fire disturbances in Europe 1986-2016. For 27 million disturbance patches mapped from satellite data, we determined whether they were caused by storm or fire, using a random forest classifier and a large reference dataset of true disturbance occurrences. We subsequently analyzed patterns of disturbance prevalence (i.e., the share of an agent on the overall area disturbed) in space and time. Storm- and fire-related disturbances each accounted for approximately 7% of all disturbances recorded in Europe in the period 1986-2016. Storm-related disturbances were most prevalent in western and central Europe, where they locally accounted for &gt;50% of all disturbances, but we also identified storm-related disturbances in south-eastern and eastern Europe. Fire-related disturbances were a major disturbance agent in southern and south-eastern Europe, but fires also occurred in eastern an</w:t>
      </w:r>
    </w:p>
    <w:p>
      <w:r>
        <w:t>POSSIBLE 2021: Western Europe — https://doi.org/10.1017/9781316671603.003</w:t>
      </w:r>
    </w:p>
    <w:p>
      <w:r>
        <w:t>Shared claim-specific concepts: period, suggested; EU scope visible. This is a provisional connection, not an outcome finding.</w:t>
      </w:r>
    </w:p>
    <w:p>
      <w:r>
        <w:t>Available abstract (not full text): This chapter considers the growth performance of western European countries since 1870, and relates this to the degree of openness. A theoretical explanation of why convergence is predicted by economic theory is presented and some statistics are presented on GDP per capita and the contributions of various factors to growth performance. Three periods are considered: 1870 until World War I; the interwar period; and after World War II. The first and the last are associated with globalization and convergence, whereas the interwar period witnessed increasing levels of economic isolation and lack of convergence. All western European countries are much richer today than they were in 1870, but some countries have performed much more strongly than others. Over- and underperforming countries, whose growth performances were markedly different from what might be expected from their initial levels of income, are highlighted, and possible interpretations suggested.</w:t>
      </w:r>
    </w:p>
    <w:p>
      <w:pPr>
        <w:pStyle w:val="Heading2"/>
      </w:pPr>
      <w:r>
        <w:t>PROBLEM OF PROFESSIONAL TRAINING OF FUTURE ECONOMISTS FOR DEVELOPMENT OF NATIONAL ECONOMY UNDER CONDITIONS OF EUROPEAN INTEGRATION</w:t>
      </w:r>
    </w:p>
    <w:p>
      <w:r>
        <w:t>Original source (2020): https://doi.org/10.30525/2256-0742/2020-6-5-148-154</w:t>
      </w:r>
    </w:p>
    <w:p>
      <w:r>
        <w:t>Original wording (abstract; indexed_source_text_not_full_document_verified): Core competencies for future economists, which they must acquire at the universities in the process of professional training and which they will promote participating in the development of national economy of Ukraine, are outlined. In particular, the introduction of individual educational trajectory of economists with a projection on elective courses and extrapolation into future economic practice is recommended.</w:t>
      </w:r>
    </w:p>
    <w:p>
      <w:r>
        <w:t>POSSIBLE 2025: Art Core Competency in Chinese Secondary Vocational Schools: A Systematic Literature Review — https://doi.org/10.6007/ijarbss/v15-i1/24498</w:t>
      </w:r>
    </w:p>
    <w:p>
      <w:r>
        <w:t>Shared claim-specific concepts: core, competencies, professional, training, educational; EU scope not established. This is a provisional connection, not an outcome finding.</w:t>
      </w:r>
    </w:p>
    <w:p>
      <w:r>
        <w:t>Available abstract (not full text): The education system greatly emphasises cultivating the students' skills to succeed in the 21st century.The Ministry of Education in China advocates for the developing students' core competencies and has introduced the concept of art core competencies to integrate more closely with the art discipline.Teachers aim to cultivate art core competencies as an educational goal.However, The current literature lacks a scope review of relevant research on the core competencies of vocational art in the context of core competencies.Therefore, researchers emphasize the need for a systematic review of existing studies to gather information on the research regarding art core competencies in Chinese secondary vocational schools.This review identifies three key questions: (1) What are the dominant themes associated with art core competency in secondary vocational schools in China?(2) How do secondary vocational schools cultivate art core competencies in China?(3) What difficulties are encountered in cultivating art core competencies?The literature review on art core competencies in Chinese secondary vocational schools reveals that student-centered approaches, multimedia-assisted teaching, problem-based learning contexts, and diversified assessment strategies are the primary methods art teachers use to implement core competencies.Moreover, the findings also indicate that teachers face challenges</w:t>
      </w:r>
    </w:p>
    <w:p>
      <w:r>
        <w:t>POSSIBLE 2025: Economists, Economic Knowledge, and Central Banks — https://doi.org/10.31235/osf.io/acymv_v1</w:t>
      </w:r>
    </w:p>
    <w:p>
      <w:r>
        <w:t>Shared claim-specific concepts: economists, process, national; EU scope not established. This is a provisional connection, not an outcome finding.</w:t>
      </w:r>
    </w:p>
    <w:p>
      <w:r>
        <w:t>Available abstract (not full text): What do economists do in central banks? Why do central banks hire economists? This book investigates the evolving role of economists and economic knowledge within central banks, arguing that their current centrality is neither self-evident nor historically inevitable. While the presence and influence of economists in central banks today may seem natural, this book shows that it is the result of a complex, gradual, and uneven historical process shaped by institutional structures, disciplinary transformations, and shifting relationships between science and policy. Drawing on a rich but dispersed body of literature, the book traces how economists progressively gained authority through the establishment of statistics departments, the adoption of macroeconometric models, and the emergence of a shared cognitive infrastructure between academia and central banks. Rather than focusing on individuals or doctrines, it examines general trends and institutional shifts across a series of national case studies to show how central banks function as boundary organizations, at the intersection of policy and science.[Version Submitted to Cambridge University Press Elements series.]</w:t>
      </w:r>
    </w:p>
    <w:p>
      <w:r>
        <w:t>POSSIBLE 2025: EMPLOYERS' PERCEPTIONS OF THE ROLE OF ENGLISH-LANGUAGE COMPETENCE OF ECONOMISTS IN THE DEVELOPMENT OF INNOVATIVE ACTIVITY OF ENTERPRISES — https://doi.org/10.30525/2256-0742/2025-11-5-414-424</w:t>
      </w:r>
    </w:p>
    <w:p>
      <w:r>
        <w:t>Shared claim-specific concepts: economists, they, professional, training, ukraine, individual; EU scope not established. This is a provisional connection, not an outcome finding.</w:t>
      </w:r>
    </w:p>
    <w:p>
      <w:r>
        <w:t>Available abstract (not full text): Economic transformation and intensified international competition increase the demand for specialists capable of operating across linguistic and cultural borders. This study examines how employers in Ukraine assess economists’ English language competence and how they relate it to enterprise innovation. The aim is to explore employers’ evaluations of economists’ English skills and their perceived contribution to innovation-related activities and overall company performance. The analysis is based on a quantitative survey of 50 employers from the IT, financial, service, and production sectors who evaluated selected economist employees using five-point Likert scales. The questionnaire captures three groups of indicators: perceived level and use of English at work, perceived impact of English on individual performance, and perceived impact of English on enterprise development. Descriptive statistics show that employers rate initial English proficiency at 3.6 points on average, frequency of use at 3.9, and quality of English-mediated task performance at 3.7, which indicates regular use with considerable room for improvement. Employers also give high scores to the impact of English on communication with partners and clients (4.6) and on overall work effectiveness (4.4), while they rate its contribution to participation in new or international projects at 4.1. At the enterprise level t</w:t>
      </w:r>
    </w:p>
    <w:p>
      <w:r>
        <w:t>POSSIBLE 2024: Entrepreneurial competencies in the success of enterprises: A bibliometric analysis of the publications in the field — https://doi.org/10.15295/bmij.v12i2.2390</w:t>
      </w:r>
    </w:p>
    <w:p>
      <w:r>
        <w:t>Shared claim-specific concepts: core, competencies; EU scope visible. This is a provisional connection, not an outcome finding.</w:t>
      </w:r>
    </w:p>
    <w:p>
      <w:r>
        <w:t>Available abstract (not full text): There has been an acceleration in competence-based management in recent years, which has, in turn, influenced entrepreneurial success by strengthening entrepreneurial competencies. This study aims to analyse and predict the future of the research on entrepreneurial competencies using bibliometric methods. For this purpose, VOSviewer software was used for co-word analysis. Bibliometric methods such as citation analysis and co-author analysis were used to analyse the studies related to entrepreneurial competencies. It was found that most publications were published in 2019 based on a search in the Web of Science database between 1995 and 2023. The analysis of 1403 publications revealed that 460 proceeding papers, 10 early access and 210 book chapters were involved in the search. After reducing the set to include articles, 914 papers were evaluated. Results show that the authors most cited over the years are Lans Thomas, Al Mamun Abdullah, Mulder Martin, and Obschonka. Furthermore, it was found that Spain had the highest number of published works, followed by China and the USA respectively. Study findings also revealed that entrepreneurial competencies are more related to core, emotional, and network competencies and sustainable development, creativity, innovation, social capital, and higher education.</w:t>
      </w:r>
    </w:p>
    <w:p>
      <w:r>
        <w:t>POSSIBLE 2024: Reciprocity and caregiver competencies. — https://doi.org/10.7146/qs.v9i1.143675</w:t>
      </w:r>
    </w:p>
    <w:p>
      <w:r>
        <w:t>Shared claim-specific concepts: competencies, professional, training; EU scope not established. This is a provisional connection, not an outcome finding.</w:t>
      </w:r>
    </w:p>
    <w:p>
      <w:r>
        <w:t>Available abstract (not full text): Despite the impact of dementia, people’s needs to connect with others and their environment remains. With progression of a dementia disease, a person will gradually be more dependent on assistance and care. In this study, we aimed to conceptualise our understanding of person-centred dementia care, theoretically based on Tom Kitwood’s ontology of personhood. A hermeneutic constructivist approach with four explorative phases allowed for a metaphorical way of working with implicit knowledge related to professional caregiving. We used Lego Serious Play™ for data collection and as a method for exploring, articulating, and conceptualising how we understood caregiver interactions. Based on our analysis, we developed a co-created, condensed model suggesting an ideographic understanding of person-attuned interactions in caregiving, emphasizing knowledge about personhood and reciprocity. We unfolded how professional caregivers represent an essential value in dementia care by providing a feeling of safety through person-attuned interactions, introspection and mentalisation. We found that caregiver competencies depend on resources, culture, and interdisciplinary collaboration, which puts a strong demand on continuous training and supervision and for political and societal priorities.</w:t>
      </w:r>
    </w:p>
    <w:p>
      <w:r>
        <w:t>POSSIBLE 2023: The Key Competencies for the Future of Work—A Bibliometric Study — https://doi.org/10.47297/wspchrmwsp2040-800501.20231401</w:t>
      </w:r>
    </w:p>
    <w:p>
      <w:r>
        <w:t>Shared claim-specific concepts: competencies, process, training; EU scope not established. This is a provisional connection, not an outcome finding.</w:t>
      </w:r>
    </w:p>
    <w:p>
      <w:r>
        <w:t>Available abstract (not full text): The constant technological transformations that have emerged over the last few decades have forced a fast adjustment caused both by the digitalization and automation processes that have revolutionized the job market. Even though the fourth industrial revolution allows the emergence of numerous job opportunities, it brings different restrictions that directly affect the daily lives of professionals and organizations. On the other hand, this implementation requires not only a large financial investment but also, and perhaps the most critical obstacle in this process, the training of human resources to be able to assimilate the complexity of these digital transformations. Thus, the main objective of this research is to try to understand which skills will be most required by the labor market in the future. To achieve this primary objective, a bibliometric study was carried out, based on the World Economic Forum report and two main databases: Web of Science and Scopus.</w:t>
      </w:r>
    </w:p>
    <w:p>
      <w:r>
        <w:t>POSSIBLE 2022: Core Competencies for Maritime Business Educators in the Digital Era — https://doi.org/10.3389/fpsyg.2022.915980</w:t>
      </w:r>
    </w:p>
    <w:p>
      <w:r>
        <w:t>Shared claim-specific concepts: core, competencies, universities, training; EU scope not established. This is a provisional connection, not an outcome finding.</w:t>
      </w:r>
    </w:p>
    <w:p>
      <w:r>
        <w:t>Available abstract (not full text): In light of digitalization, the objectives of this study are to (1) identify the emerging, core competencies of maritime business educators (MBE) and (2) examine their effects on perceived teaching performance. A systematic review of the contemporary literature was first performed to build a competency framework. Subsequently, an online survey was administered to 196 faculty members of the top 10 leading maritime universities as identified from the Worldwide Maritime School Rankings produced by Hong Kong Polytechnic University. The collected data were analyzed using Exploratory Factor Analysis to extract the main competencies of MBE. The results uncovered five key competencies from 22 sub-competencies. Thereafter, Hierarchical Regression Modeling was used to examine the effects of the key competencies on perceived teaching performance. After controlling for teaching experience and job position, it was found that the five competency requirements, in descending order of their importance, have significant positive effects on teaching performance: Pedagogy, Maritime, Interpersonal, Business and Digital. Academically, this study consolidates the literature and identifies the emerging core competencies that are expected from MBE in the digital era. The study also implicates education policy formulation, offering directions for institutions to allocate their resources, develop suitabl</w:t>
      </w:r>
    </w:p>
    <w:p>
      <w:r>
        <w:t>POSSIBLE 2022: Should organising premier-level European football be a monopoly? And who should run it? – An economists' perspective — https://doi.org/10.4324/9781003305989-6</w:t>
      </w:r>
    </w:p>
    <w:p>
      <w:r>
        <w:t>Shared claim-specific concepts: economists, they, professional; EU scope visible. This is a provisional connection, not an outcome finding.</w:t>
      </w:r>
    </w:p>
    <w:p>
      <w:r>
        <w:t>Available abstract (not full text): In this conceptual and theoretical chapter from the perspective of sport economics, the authors ask whether organising premier-level European football should be a monopoly, and who should be in charge. In their attempt to locate the scope for a necessary monopoly, the two economists discuss the merits and shortcomings of the established European pyramidal model of sports governance. In economics, monopolies are associated with severe consumer (fan) welfare loss and massive dynamic inefficiencies. Therefore, effective competition in every market is the generally preferred organisation of commercial activities and, subsequently, the main goal of competition law and policy. Yet they also find that there may be situations where a single supplier of a good may exceptionally be superior to competition. Organising premier-level sports is often viewed to be such an exception, they argue, as in the EU with the pyramid structure of sports associations governing professional (and commercial) sports. The authors revisit this assertion from a modern economics perspective, looking for economic arguments in favour of the pyramid structure, counter-arguments as well the potential for balancing the two. For the identified monopoly areas, they ask who should run them in order to maximise social and consumer (fan) welfare, suggesting that regular competitions for the market such as tender procedu</w:t>
      </w:r>
    </w:p>
    <w:p>
      <w:r>
        <w:t>POSSIBLE 2022: The role of the core competence and core resource features of a sharing economy on the achievement of SDGs 2030 — https://doi.org/10.1016/j.jik.2022.100283</w:t>
      </w:r>
    </w:p>
    <w:p>
      <w:r>
        <w:t>Shared claim-specific concepts: core, economy; EU scope not established. This is a provisional connection, not an outcome finding.</w:t>
      </w:r>
    </w:p>
    <w:p>
      <w:r>
        <w:t>Available abstract (not full text): Globally, sustainable development goals (SDGs), which need to be achieved using the sharing economy, are the focus of many recent studies. This article investigates the impact of sharing economy features such as core competence and resources on achieving SDGs in the tourism industry in the BRICS countries (Brazil, Russia, India, China, and South Africa). It examines the mediating impact of distinctive competitive advantage between the core competence and core resource features of a sharing economy, and achievement of the SDGs. The study also examines the moderating role of institutional support on the nexus of distinctive competitive advantage and achievement of SDGs in the BRICS countries. Questionnaires are used to collect primary data and Smart-PLS is used to analyse the data. The results indicate that the core competence and core resource features have a positive association with the achievement of SDGs, and that distinctive competitive advantage significantly mediates the association between core competence, core resources, and achievement of the SDGs. The outcomes reveal that institutional support significantly moderates the nexus of distinctive competitive advantage and achievement of SDGs. The research provides guidelines for regulators establishing policies related to the achievement of SDGs using the sharing economy.</w:t>
      </w:r>
    </w:p>
    <w:p>
      <w:r>
        <w:t>POSSIBLE 2022: Digital Competencies in Selected European Countries among University and High-School Students: Programming is lagging behind — https://doi.org/10.2478/bsrj-2022-0019</w:t>
      </w:r>
    </w:p>
    <w:p>
      <w:r>
        <w:t>Shared claim-specific concepts: competencies, process, educational; EU scope visible. This is a provisional connection, not an outcome finding.</w:t>
      </w:r>
    </w:p>
    <w:p>
      <w:r>
        <w:t>Available abstract (not full text): Abstract Background: Constant integration of digital technologies in economic and social life is rapidly and significantly shaping and changing our environment and ourselves. To function in such a world, even in daily routines, it is necessary to possess certain digital competencies. Objectives: This paper aims to examine how university and high-school students of economic orientations from selected European countries self-assess their digital competencies, and to analyse the identified differences. This will enable further understanding of university and high-school students’ digital competencies that can serve as guidance for improving teaching practices and curricula. Methods/Approach: A survey was conducted to collect data that were analysed using non-parametric statistic tests (Mann-Whitney U test and Kruskal-Wallis H test) and Spearman Rank-Order Correlation coefficient. Results: University and high-school students consider to have below intermediate level of digital competencies. High-school students self-assessed digital competencies at a higher level than university students. University students of higher years of study self-assessed digital competencies at a higher level. There is no universal pattern among high-school students of different years of study. University students in the Accounting module and high-school students in the Tourism module assessed their digita</w:t>
      </w:r>
    </w:p>
    <w:p>
      <w:r>
        <w:t>POSSIBLE 2022: Are Quantity Surveyors competent to value for Civil Engineering Works? Evaluating QSs' competencies and militating factors — https://doi.org/10.6084/m9.figshare.19758772</w:t>
      </w:r>
    </w:p>
    <w:p>
      <w:r>
        <w:t>Shared claim-specific concepts: core, competencies, professional, outlined; EU scope not established. This is a provisional connection, not an outcome finding.</w:t>
      </w:r>
    </w:p>
    <w:p>
      <w:r>
        <w:t>Available abstract (not full text): The role of the quantity surveyor is one that is often unclear amongst the general public. This study discussed the competencies of the quantity surveyor in measuring and managing civil engineering works and also carrying out the financial management for civil engineering construction projects; also outlined the various competencies and skills required of quantity surveyors in discharging and managing their professional duties. The core activities of quantity surveyors include determining project budgets, measuring project quantities, preparing contract documentation (such as Bills of Quantities and cost control documents), administering contracts, and preparing final accounts. The study also examines recent developments in the profession, which have led to the quantity surveyor delivering a number of management related consultancy services, in response to rising client expectations and demands. The militating factors to QS participation in the Nigeria AEC industry were identified as skills and knowledge, competencies, identity or branding issues, fewer QS in public service among others. The study advocated a change in culture and the inclusion of quantity surveyors on civil engineering projects in order for the industry to leverage on the dynamism of the quantity surveying profession.</w:t>
      </w:r>
    </w:p>
    <w:p>
      <w:r>
        <w:t>POSSIBLE 2021: Digital intelligence of a modern economist: an exploratory case study — https://doi.org/10.1051/shsconf/202110403001</w:t>
      </w:r>
    </w:p>
    <w:p>
      <w:r>
        <w:t>Shared claim-specific concepts: economists, they, training, educational; EU scope not established. This is a provisional connection, not an outcome finding.</w:t>
      </w:r>
    </w:p>
    <w:p>
      <w:r>
        <w:t>Available abstract (not full text): In the current context of digitalization of various spheres of life, an important characteristic of participants in a digital society is the level of their digital intelligence. The level at which future economists develop their digital intelligence skills during university depends on their successful employment and career development. The presented article analyses the concept of digital intelligence of an economist on the basis of the Digital Quotient framework developed by the Digital Intelligence Institute, characterizing the levels of “Digital Citizen”, “Digital Creator”, “Digital Entrepreneur” for such components of digital intelligence as: Digital Changemaker Identity, Digital Use, Safety Digital, Digital Security, Digital Emotional Intelligence, Digital Communication, Digital Literacy, Digital Rights. For the first time, the contents of an academic discipline of a university training programme for future economists have been proposed, in the course of which digital intelligence skills can be developed. The authors demonstrate the stages of formation, indicators for different levels of formation, content and examples of educational representation of material. They offer the stages of Digital intelligence development in the framework of studying the course modules, the implementation of project work and the solution of the real case studies during academic training. The r</w:t>
      </w:r>
    </w:p>
    <w:p>
      <w:pPr>
        <w:pStyle w:val="Heading2"/>
      </w:pPr>
      <w:r>
        <w:t>Pathways for Low-Carbon Transition of the Steel Industry—A Swedish Case Study</w:t>
      </w:r>
    </w:p>
    <w:p>
      <w:r>
        <w:t>Original source (2020): https://doi.org/10.3390/en13153840</w:t>
      </w:r>
    </w:p>
    <w:p>
      <w:r>
        <w:t>Original wording (abstract; indexed_source_text_not_full_document_verified): The results show that CCS in combination with biomass substitution in the blast furnace and a replacement primary steel production plant with EAF with biomass (Pathway 1) yield CO2 emission reductions of 83% in 2045 compared to CO2 emissions with current steel process configurations. Finally, (Pathway 3) we show that increased production of hot briquetted iron pellets (HBI), could lead to decarbonization of the steel industry outside Sweden, assuming that the exported HBI will be converted via EAF and the receiving country has a decarbonized power sector.</w:t>
      </w:r>
    </w:p>
    <w:p>
      <w:r>
        <w:t>POSSIBLE 2024: Analysis of CCS Technology Applied in Green Building — https://doi.org/10.62051/08xctb54</w:t>
      </w:r>
    </w:p>
    <w:p>
      <w:r>
        <w:t>Shared claim-specific concepts: ccs, steel, production, emissions; EU scope not established. This is a provisional connection, not an outcome finding.</w:t>
      </w:r>
    </w:p>
    <w:p>
      <w:r>
        <w:t>Available abstract (not full text): As the global climate change crisis intensifies, the integration of green building practices with carbon capture and storage (CCS) technology is increasingly emerging as a focal point of research within the architectural domain. Green buildings prioritize resource efficiency, environmental sustainability, and long-term viability, while CCS technology serves as an effective mechanism for mitigating carbon emissions. This paper examined the application of CCS technology in green buildings and identifies its significant potential across various stages of building design, construction, and operation. Firstly, CCS technology can substantially reduce carbon emissions during the production processes of construction materials—particularly in high-emission sectors such as cement and steel manufacturing. Furthermore, by synergizing CCS technology with energy systems utilized in building operations, it becomes feasible to capture carbon emissions generated from routine energy consumption, thereby facilitating a near-zero carbon footprint. Nonetheless, challenges related to integration complexity and elevated costs hinder the deployment of CCS technology within existing structures—especially older buildings where spatial constraints and infrastructural limitations pose considerable obstacles. The lack of clear economic incentives has deterred numerous construction projects from investing i</w:t>
      </w:r>
    </w:p>
    <w:p>
      <w:r>
        <w:t>POSSIBLE 2024: Carbon Dioxide Capture and Storage (CCS) in Saline Aquifers versus Depleted Gas Fields — https://doi.org/10.3390/geosciences14060146</w:t>
      </w:r>
    </w:p>
    <w:p>
      <w:r>
        <w:t>Shared claim-specific concepts: ccs, production, co2, compared, emissions; EU scope not established. This is a provisional connection, not an outcome finding.</w:t>
      </w:r>
    </w:p>
    <w:p>
      <w:r>
        <w:t>Available abstract (not full text): Saline aquifers have been used for CO2 storage as a dedicated greenhouse gas mitigation strategy since 1996. Depleted gas fields are now being planned for large-scale CCS projects. Although basalt host reservoirs are also going to be used, saline aquifers and depleted gas fields will make up most of the global geological repositories for CO2. At present, depleted gas fields and saline aquifers seem to be treated as if they are a single entity, but they have distinct differences that are examined here. Depleted gas fields have far more pre-existing information about the reservoir, top-seal caprock, internal architecture of the site, and about fluid flow properties than saline aquifers due to the long history of hydrocarbon project development and fluid production. The fluid pressure evolution paths for saline aquifers and depleted gas fields are distinctly different because, unlike saline aquifers, depleted gas fields are likely to be below hydrostatic pressure before CO2 injection commences. Depressurised depleted gas fields may require an initial injection of gas-phase CO2 instead of dense-phase CO2 typical of saline aquifers, but the greater pressure difference may allow higher initial injection rates in depleted gas fields than saline aquifers. Depressurised depleted gas fields may lead to CO2-injection-related stress paths that are distinct from saline aquifers depending on</w:t>
      </w:r>
    </w:p>
    <w:p>
      <w:r>
        <w:t>POSSIBLE 2024: Kickstarting CCS Adoption: Tailoring Subsidies to Emitters' Needs — https://openalex.org/W4400372560</w:t>
      </w:r>
    </w:p>
    <w:p>
      <w:r>
        <w:t>Shared claim-specific concepts: ccs, emissions, current; EU scope visible. This is a provisional connection, not an outcome finding.</w:t>
      </w:r>
    </w:p>
    <w:p>
      <w:r>
        <w:t xml:space="preserve">Available abstract (not full text): Despite being an essential technology in industrial decarbonization scenarios, Carbon Capture and Storage (CCS) struggles to achieve large-scale deployment.Indeed, emitters face a coordination problem, which prevents them from forming the critical mass the transportation operator needs to develop a network that leverages economies of scale.In response, many public entities have multiplied financing mechanisms to support CCS adoption. However, current subsidy mechanisms overlook the network infrastructure and do not acknowledge the heterogeneity of emitters.This paper introduces a methodology for distributing subsidies among industrial emitters based on their capture costs and network cost contribution while accounting for potential budgetary constraints. Firstly, we evaluate each emitter's contribution to the network cost through the Shapley value. Secondly, we define each emitter's subsidy claim by combining results from the first step with their capture cost.We then distribute the subsidies according to the Proportional bankruptcy solution (i.e., proportionally to each emitter's claim). We justify this solution based on properties (axioms) we desire our subsidy distribution to verify. A key feature of our methodology is its flexibility. Indeed, each step can be adapted to suit the normative framework that a future study or policymaker wishes to posit.We apply our methodology </w:t>
      </w:r>
    </w:p>
    <w:p>
      <w:r>
        <w:t>POSSIBLE 2023: Is Carbon Capture and Storage (CCS) Really So Expensive? An Analysis of Cascading Costs and CO 2 Emissions Reduction of Industrial CCS Implementation on the Construction of a Bridge — https://doi.org/10.1021/acs.est.2c05724</w:t>
      </w:r>
    </w:p>
    <w:p>
      <w:r>
        <w:t>Shared claim-specific concepts: show, ccs, steel, plant, emissions, current; EU scope not established. This is a provisional connection, not an outcome finding.</w:t>
      </w:r>
    </w:p>
    <w:p>
      <w:r>
        <w:t>Available abstract (not full text): High Resolution Image Download MS PowerPoint Slide Carbon capture and storage (CCS) is an essential technology to mitigate global CO 2 emissions from power and industry sectors. Despite the increasing recognition of its importance to achieve the net-zero target, current CCS deployment is far behind targeted ambitions. A key reason is that CCS is often perceived as too expensive. The costs of CCS have however traditionally been looked at from the industrial plant perspective, which does not necessarily reflect the end user’s one. This paper addresses the incomplete view by investigating the impact of implementing CCS in industrial facilities on the overall costs and CO 2 emissions of end-user products and services. As an example, we examine the extent to which an increase in costs of raw materials (cement and steel) due to CCS impacts the costs of building a bridge. Results show that although CCS significantly increases cement and steel costs, the subsequent increment in the overall bridge construction cost remains marginal (∼1%). This 1% cost increase, however, enables a deep reduction in CO 2 emissions (∼51%) associated with the bridge construction. Although more research is needed in this area, this work is the first step to a better understanding of the real cost and benefits of CCS.</w:t>
      </w:r>
    </w:p>
    <w:p>
      <w:r>
        <w:t>POSSIBLE 2023: Reduction potential of the energy penalty for CO2 capture in CCS — https://doi.org/10.1007/s11708-023-0864-x</w:t>
      </w:r>
    </w:p>
    <w:p>
      <w:r>
        <w:t>Shared claim-specific concepts: ccs, co2; EU scope not established. This is a provisional connection, not an outcome finding.</w:t>
      </w:r>
    </w:p>
    <w:p>
      <w:r>
        <w:t>Available abstract (not full text): Unavailable</w:t>
      </w:r>
    </w:p>
    <w:p>
      <w:r>
        <w:t>POSSIBLE 2023: Comparing the Expressiveness of the π-calculus and CCS — https://doi.org/10.1145/3611013</w:t>
      </w:r>
    </w:p>
    <w:p>
      <w:r>
        <w:t>Shared claim-specific concepts: show, ccs, finally; EU scope not established. This is a provisional connection, not an outcome finding.</w:t>
      </w:r>
    </w:p>
    <w:p>
      <w:r>
        <w:t>Available abstract (not full text): This paper shows that the π-calculus with implicit matching is no more expressive than CCS γ , a variant of CCS in which the result of a synchronisation of two actions is itself an action subject to relabelling or restriction, rather than the silent action τ. This is done by exhibiting a compositional translation from the π-calculus with implicit matching to CCS γ that is valid up to strong barbed bisimilarity. The full π-calculus can be similarly expressed in CCS γ enriched with the triggering operation of Meije . I also show that these results cannot be recreated with CCS in the rôle of CCS γ , not even up to reduction equivalence, and not even for the asynchronous π-calculus without restriction or replication. Finally, I observe that CCS cannot be encoded in the π-calculus.</w:t>
      </w:r>
    </w:p>
    <w:p>
      <w:r>
        <w:t>POSSIBLE 2023: Regulatory framework for CCS in the Nordic countries — https://doi.org/10.6027/temanord2023-521</w:t>
      </w:r>
    </w:p>
    <w:p>
      <w:r>
        <w:t>Shared claim-specific concepts: ccs, co2, emissions; EU scope not established. This is a provisional connection, not an outcome finding.</w:t>
      </w:r>
    </w:p>
    <w:p>
      <w:r>
        <w:t>Available abstract (not full text): All Nordic countries have set ambitious targets to achieve net-zero greenhouse gas emissions through various national goals and legislation. Carbon Capture and Storage (CCS) has a key role in strategies to achieve net-zero emissions through mitigating emissions from fossil fuels and removing CO2 permanently from the atmosphere. This project aimed to analyse regulatory aspects that are relevant for deployment of CCS-based mitigation options in a Nordic context. The report identifies similarities and differences between the Nordic countries concerning CCS regulation, barriers to CCS deployment due to regulatory frameworks, and currently ongoing regulatory development aimed at promoting responsible CCS deployment. Recommendations are provided concerning areas where further development, coordination, and capacity building might be prioritised by the Nordic countries.</w:t>
      </w:r>
    </w:p>
    <w:p>
      <w:r>
        <w:t>POSSIBLE 2023: EOS-CG-2021: A Mixture Model for the Calculation of Thermodynamic Properties of CCS Mixtures — https://doi.org/10.1007/s10765-023-03263-6</w:t>
      </w:r>
    </w:p>
    <w:p>
      <w:r>
        <w:t>Shared claim-specific concepts: show, ccs; EU scope not established. This is a provisional connection, not an outcome finding.</w:t>
      </w:r>
    </w:p>
    <w:p>
      <w:r>
        <w:t>Available abstract (not full text): Abstract Thermodynamic properties for CCS-relevant mixtures can be calculated with the fundamental equation of state presented in this work over wide ranges of pressure, temperature, and composition for gas, liquid, and supercritical states, as well as for phase equilibria. The mixture model is formulated in terms of the Helmholtz energy and is based on the EOS-CG model of Gernert and Span (J Chem Thermodyn 93:274, 2016]. The new model presented here (EOS-CG-2021) is an update and extension of the previous version, and covers the following sixteen components: carbon dioxide, water, nitrogen, oxygen, argon, carbon monoxide, hydrogen, methane, hydrogen sulfide, sulfur dioxide, monoethanolamine, diethanolamine, hydrogen chloride, chlorine, ammonia, and methyl diethanolamine. Previously published elements of the model are summarized, and new elements are validated and analyzed with the use of comparisons to experimental data and by assessing the physical and extrapolation behavior of the equations. A comprehensive study on the representation of multicomponent mixture data was carried out to show the high accuracy and application range of the EOS-CG-2021.</w:t>
      </w:r>
    </w:p>
    <w:p>
      <w:r>
        <w:t>POSSIBLE 2023: Modeling CO2 Pipeline Systems: An Analytical Lens for CCS Regulation — https://doi.org/10.5547/2160-5890.12.2.anic</w:t>
      </w:r>
    </w:p>
    <w:p>
      <w:r>
        <w:t>Shared claim-specific concepts: show, ccs, production, co2, compared, emissions; EU scope not established. This is a provisional connection, not an outcome finding.</w:t>
      </w:r>
    </w:p>
    <w:p>
      <w:r>
        <w:t>Available abstract (not full text): Carbon Capture and Storage (CCS) is regularly depicted as a crucial technology to reduce the social cost of achieving carbon neutrality.However, its deployment critically depends on the installation of CO 2 infrastructures.As the regulatory procedures governing their provision are yet to be clarified, this paper aims to assess the social and environmental impacts of such regulations.We show how the engineering equations of a CO 2 pipeline implicitly define a Cobb-Douglas production function.We then infer that the resulting cost function exhibits economies of scale and verifies the technological condition for a natural monopoly.As the possible exertion of market power is a concern, we evaluate the social distortion of the unregulated monopoly and the average-cost pricing solution, which we compare to the outcomes of the welfare-maximizing solution.While the deadweight loss obtained under average-cost pricing remains lower than 5% compared to the firstbest solution, our findings indicate that allocative efficiency is an issue, with more than a quarter of the CO 2 emissions not being transported.This analysis will usefully inform the emerging regulatory policy debates on CCS by providing the first analytically determined cost function of a CO 2 pipeline.</w:t>
      </w:r>
    </w:p>
    <w:p>
      <w:r>
        <w:t>POSSIBLE 2022: The development of carbon capture and storage (CCS) in India: A critical review — https://doi.org/10.1016/j.ccst.2022.100036</w:t>
      </w:r>
    </w:p>
    <w:p>
      <w:r>
        <w:t>Shared claim-specific concepts: ccs, co2, emissions; EU scope not established. This is a provisional connection, not an outcome finding.</w:t>
      </w:r>
    </w:p>
    <w:p>
      <w:r>
        <w:t>Available abstract (not full text): Carbon capture and sequestration (CCS) is a three-tier process- carbon capture, transport andstorage. The capture consists of pre-combustion, oxy-combustion and post-combustion capture.Transport of CO2 is most viable through pipelines.The biotic CO2storage occurs throughterrestrial or oceanic pathways and can be simulated naturally or artificially. The abiotic/geologicstorage is achieved through sequestering CO2 in depleting/depleted hydrocarbon reserves, indeep saline aquifers or through mineral carbonation. At the district level, 64 out of 641 districts(2013 government reports) accounted for ~ 60% of the total CO2 emissions. Controlling CO2emissions comes with the challenge of sustainable socio-economic growth of the country- ademanding task for the economy. Indian organizations have made international collaborations.India holds a substantial geological sequestration potential in its basaltic rocks, coal seams,depleted oil reserves, soils, deep saline aquifers and sedimentary basins. At this point, no carboncapture and storage / clean development mechanism projects are operational in the country. Thenext 10-15 years would be very crucial for India to attain technological advancement to deploylarge-scale CCS projects.</w:t>
      </w:r>
    </w:p>
    <w:p>
      <w:r>
        <w:t>POSSIBLE 2022: Cost estimation of CCS integration into thermal power plants in Japan — https://doi.org/10.1299/mej.22-00028</w:t>
      </w:r>
    </w:p>
    <w:p>
      <w:r>
        <w:t>Shared claim-specific concepts: ccs, co2, reductions, emissions; EU scope visible. This is a provisional connection, not an outcome finding.</w:t>
      </w:r>
    </w:p>
    <w:p>
      <w:r>
        <w:t>Available abstract (not full text): full chain') is necessary to realize CO2 emissions reductions.Notably, there are multiple technological options to realize each sub-process, with the 'optimal' option being case-dependent.For example, in North America, onshore storage sites are abundant, and an existing CO2 pipeline network provides relatively low-cost transport (GCCSI, 2021).On the other hand, in Europe and Japan, the potential storage sites are primarily offshore, making shipping of CO2 more feasible than pipelines (Baroudi et al., 2021).Despite the abundance of technological solutions available, CCS has not been deployed at the rate expected by modelers (Peters et al., 2017) or required by pledges of CO2 emissions reductions (Wang et al., 2021).It is often stated that the main barrier hindering the rapid implementation of CCS is its high cost.Naturally, if the price of polluting (e.g.,</w:t>
      </w:r>
    </w:p>
    <w:p>
      <w:r>
        <w:t>POSSIBLE 2021: Promoting CCS in Europe: A Case for Green Strategic Trade Policy? — https://doi.org/10.5547/01956574.43.6.faun</w:t>
      </w:r>
    </w:p>
    <w:p>
      <w:r>
        <w:t>Shared claim-specific concepts: ccs, production, co2, emissions, current; EU scope visible. This is a provisional connection, not an outcome finding.</w:t>
      </w:r>
    </w:p>
    <w:p>
      <w:r>
        <w:t>Available abstract (not full text): According to IEA (2018), there is a huge gap between the first-best social optimal utilization of Carbon Capture and Storage (CCS) technologies to lower global CO2 emissions and the current, negligible diffusion of this technology. This calls for a financial support mechanism for CCS. We study to what extent promotion of CCS in Europe should be through subsidizing development and production of CCS technologies—an upstream subsidy—or by subsidising the purchasers of CCS technologies—a downstream subsidy. This question is examined theoretically in a stylized model and numerically by using a new approach that integrates strategic trade policy with an economic model of the European energy markets. The theory model suggests that upstream subsidies should clearly be preferred, and this is confirmed by the numerical simulations. For the European power market, the numerical simulations suggest that subsidies to CCS coal power should exceed subsidies to CCS gas power.</w:t>
      </w:r>
    </w:p>
    <w:p>
      <w:pPr>
        <w:pStyle w:val="Heading2"/>
      </w:pPr>
      <w:r>
        <w:t>Perspective of comprehensive and comprehensible multi-model energy and climate science in Europe</w:t>
      </w:r>
    </w:p>
    <w:p>
      <w:r>
        <w:t>Original source (2020): https://doi.org/10.1016/j.energy.2020.119153</w:t>
      </w:r>
    </w:p>
    <w:p>
      <w:r>
        <w:t>Original wording (abstract; indexed_source_text_not_full_document_verified): Finally, drawing from the COVID-19 pandemic, we discuss the need to expand the modelling comfort zone, by exploring extreme scenarios, disruptive innovations, and questions that transcend the energy and climate goals across the sustainability spectrum. Europe’s capacity to explore the envisaged pathways that achieve its near- and long-term energy and climate objectives needs to be significantly enhanced.</w:t>
      </w:r>
    </w:p>
    <w:p>
      <w:r>
        <w:t>POSSIBLE 2025: Colombia, COVID-19, and the Colonial Trap: Reflections on the Politics of Knowledge Production — https://doi.org/10.1177/0094582x241311803</w:t>
      </w:r>
    </w:p>
    <w:p>
      <w:r>
        <w:t>Shared claim-specific concepts: finally, drawing, covid-19, pandemic; EU scope visible. This is a provisional connection, not an outcome finding.</w:t>
      </w:r>
    </w:p>
    <w:p>
      <w:r>
        <w:t>Available abstract (not full text): The COVID-19 pandemic has made historical and contemporary colonial relationships between and within states more fraught. This complexity is apparent within the research process itself, adding a new dimension to debates on positionality and the politics of knowledge production. Drawing on critical approaches to International Relations, and in dialogue with an emerging literature on the implications of the pandemic for knowledge decolonization, we reflect on our experience as scholars from the UK/Ireland researching colonial legacy and Transitional Justice in Colombia. The aim of this autoethnographic article is to suggest how the COVID-19 pandemic affected inequalities between researchers based in Europe and participants in Latin America. Our findings are mixed. While Covid-related funding cuts undermined equity within relationships, the virtual field offered an opportunity to cultivate cooperation between researcher and participant and re-think issues of ethics, voice, and the research agenda itself. Finally, El Maestro Covid taught us valuable lessons on the colonial trap inherent in our endeavors.</w:t>
      </w:r>
    </w:p>
    <w:p>
      <w:r>
        <w:t>POSSIBLE 2024: Muslims in Europe and Covid-19 — https://doi.org/10.5617/jais.10871</w:t>
      </w:r>
    </w:p>
    <w:p>
      <w:r>
        <w:t>Shared claim-specific concepts: covid-19, pandemic, questions; EU scope visible. This is a provisional connection, not an outcome finding.</w:t>
      </w:r>
    </w:p>
    <w:p>
      <w:r>
        <w:t>Available abstract (not full text): Covid-19 obliged the authorities of all countries to adopt a series of measures aimed at limiting the spread of the virus (e.g. social distancing and restrictions on internal and international movement), some of which prevent Muslims from performing, or only partially perform, some of their acts of worship, in particular those which, by requiring and/or prescribing the formation of an assembly, physical proximity or direct contact between those performing them (collective prayers, pilgrimage, religious festivals, funeral rites), are more conducive to the spread of the virus. This situation is at the root of the many questions that some European Muslims have asked jurists to provide them with guidance, based on Islamic law, on how to reconcile the anti-Covid rules with the obligation to perform acts of worship. This article analyses the fatāwā issued by the European Council for Fatwas and Research in response to these questions. In particular, this article has three aims: 1. to identify and describe the solutions adopted by the Maǧlis to adapt religious practice to the restrictions imposed by the Covid; 2. to verify whether the solutions adopted by the ECFR to combat the pandemic are compatible with the provisions adopted by European governments in this regard; 3. to verify whether and in what terms the Islamic jurisprudence produced at the national level (the Italian one) trans</w:t>
      </w:r>
    </w:p>
    <w:p>
      <w:r>
        <w:t>POSSIBLE 2023: Public Debt and Economic Growth after Covid-19 in Europe: Challenges and Policy Implications — https://doi.org/10.5539/res.v15n4p31</w:t>
      </w:r>
    </w:p>
    <w:p>
      <w:r>
        <w:t>Shared claim-specific concepts: finally, drawing, covid-19, pandemic, exploring, sustainability; EU scope visible. This is a provisional connection, not an outcome finding.</w:t>
      </w:r>
    </w:p>
    <w:p>
      <w:r>
        <w:t>Available abstract (not full text): The Covid-19 pandemic has had a profound impact on European economies, leading to a significant increase in public debt levels. This paper examines the challenges and policy implications of managing public debt and fostering economic growth in Europe post-Covid-19. It provides a conceptual framework by defining and measuring public debt, exploring the relationship between public debt and economic growth, and highlighting the role of public debt in times of crisis. The paper analyzes the impact of Covid-19 on public debt in Europe, including the fiscal response, debt accumulation, and reasons for increased debt levels. It further discusses the challenges posed by high public debt, such as debt sustainability, crowding out private investment, financial stability risks, and constraints on future fiscal policy. The study then presents policy implications for balancing public debt and economic growth, including fiscal consolidation measures, long-term debt management strategies, prioritizing public investments, implementing structural reforms, considering monetary policy, and fostering international cooperation. Additionally, the paper provides case studies of selected European countries, evaluating their approaches, assessing policy effectiveness, and drawing key lessons and best practices. Finally, the paper concludes with a summary of key findings, policy recommendations for Euro</w:t>
      </w:r>
    </w:p>
    <w:p>
      <w:r>
        <w:t>POSSIBLE 2023: Tracing the Origin and Early Progression of COVID-19 in Europe: An Epidemiological Descriptive Study — https://doi.org/10.61186/iem.9.3.249</w:t>
      </w:r>
    </w:p>
    <w:p>
      <w:r>
        <w:t>Shared claim-specific concepts: finally, covid-19, pandemic, across; EU scope visible. This is a provisional connection, not an outcome finding.</w:t>
      </w:r>
    </w:p>
    <w:p>
      <w:r>
        <w:t>Available abstract (not full text): Background: The ongoing global health crisis caused by the infectious coronavirus disease, known as COVID-19, is attributed to the SARS-CoV-2 virus. The pandemic has significantly impacted people of all ages and nationalities and has spread across all continents, with an initial focus on Asia and subsequently reaching Europe. The objective of this study was to analyze the progression of COVID-19 in Europe in contrast to other continents around the world by examining the pandemic's trajectory across different geographic areas, allowing us to gain insights into the effectiveness of containment measures, and identifying potential patterns of virus spread. Materials &amp; Methods: The data source was a curated dataset provided by Our World in Data (OWD), regularly updated during the COVID-19 pandemic. The dataset consisted of 207,316 records with 67 attributes, covering 244 locations, including countries from six continents. These attributes encompassed a wide range of COVID-19-related metrics, such as cases, deaths, testing, vaccinations, and demographic indicators. This comprehensive comparative study specifically focused on the European continent data from January 01, 2020, to August 08, 2022. Findings: The analysis revealed distinct groups of European countries with different experiences with the virus. First, some countries were found to be severely affected by the virus, grapplin</w:t>
      </w:r>
    </w:p>
    <w:p>
      <w:r>
        <w:t>POSSIBLE 2023: Did COVID-19 Blur Partisan Boundaries? A Comparison of Partisan Affinity and Source Heterophily in Online Alternative News-Sharing Networks Before and During the COVID-19 Pandemic — https://doi.org/10.1177/20563051231192963</w:t>
      </w:r>
    </w:p>
    <w:p>
      <w:r>
        <w:t>Shared claim-specific concepts: finally, drawing, covid-19, pandemic, across; EU scope visible. This is a provisional connection, not an outcome finding.</w:t>
      </w:r>
    </w:p>
    <w:p>
      <w:r>
        <w:t xml:space="preserve">Available abstract (not full text): This study explores partisan and group heterophily within cross-platform online communities that share alternative news media content in Denmark, Sweden, Germany, and Austria. The analysis is related to the emergence of anti-systemic cross-partisan counter-publics in Europe that have gained momentum with the outbreak of COVID-19 and the subsequent resistance against government restrictions. Comparing two periods (before and after the outbreak of COVID-19), we investigate whether these developments foster cross-partisan information sharing in online communities that form around right-wing, left-wing, and anti-systemic alternative news media content. Drawing on a network-analytical approach, we study networks formed around URL sharing of alternative news content across Facebook, Instagram, Twitter, Reddit, Telegram, TikTok, YouTube, and VKontakte. Data include 30 million social media posts from January 2019 to September 2021. The results show that overall source heterophily in online alternative news networks increases slightly with the COVID-19 pandemic, mainly due to the increased proliferation of anti-system news. This increase is, however, not an expression of a more profound collapse of bi-partisan, left-right cleavages and is contingent on country contexts. Except for the time of the initial outbreak, the overall sharing of COVID-19-related content tends to increase rather </w:t>
      </w:r>
    </w:p>
    <w:p>
      <w:r>
        <w:t>POSSIBLE 2022: COVID‐19 and European Multi‐Level Democracy — https://doi.org/10.1111/jcms.13417</w:t>
      </w:r>
    </w:p>
    <w:p>
      <w:r>
        <w:t>Shared claim-specific concepts: covid-19, pandemic, across; EU scope visible. This is a provisional connection, not an outcome finding.</w:t>
      </w:r>
    </w:p>
    <w:p>
      <w:r>
        <w:t>Available abstract (not full text): The COVID-19 pandemic that hit Europe in early 2020 radically reshaped the political agenda at all levels of Europe's multi-level system within a matter of weeks. It continued to overshadow all other public concerns throughout 2021. The single most important development that distinguished the second year of the pandemic from the first was that, from early 2021, COVID-19 vaccines became widely available and were rolled out throughout Europe. Early hopes that vaccination might offer full protection against infection were soon dashed. However, the availability of vaccines propelled governments to reorient policy from strict containment to approaches that meant 'learning to live with the virus'. This shift was not linear. Partly driven by the emergence of new COVID-19 'variants of interest and concern', policy changes and reversals were frequent. But during 2021, restrictions on individual and civil liberties justified on public health grounds became complemented by the reliance on vaccination as the chief means to combat the pandemic. Vaccination meant that public policies became increasingly differentiated between the (fully) vaccinated and the non-vaccinated (for details, see Hale et al., 2022), often provoking intensive protest. The year 2021 was also when the full political and institutional implications of the pandemic became ever more apparent, as the long-term nature of the</w:t>
      </w:r>
    </w:p>
    <w:p>
      <w:r>
        <w:t>POSSIBLE 2022: Children’s representations of the COVID-19 lockdown and pandemic through drawings — https://doi.org/10.3389/fpsyg.2022.960893</w:t>
      </w:r>
    </w:p>
    <w:p>
      <w:r>
        <w:t>Shared claim-specific concepts: drawing, covid-19, pandemic, exploring, explore; EU scope visible. This is a provisional connection, not an outcome finding.</w:t>
      </w:r>
    </w:p>
    <w:p>
      <w:r>
        <w:t>Available abstract (not full text): The COVID-19 pandemic and the measures to face it have placed children and their caregivers in front of many challenges that could represent sources of stress. This work aims to explore the point of view of children through drawing, as a spontaneous means of expression, relating it to parents' perceptions of children's difficulties, strengths, and mentalization skills. The sample consists of 18 children (mean age = 8.22, SD = 1.79). Parents were asked to complete: a socio-demographic questionnaire with information on the impact of COVID-19 on the family, the Strengths and Difficulties Questionnaire, and the Everyday Mindreading Scale. Children were asked to draw three moments: "Before" the pandemic, "During" the lockdown, and "After," when the COVID-19 will be passed. The drawings were coded by constructing a content and expressive analysis grid, adapting coding systems found in the literature. Data were collected at the beginning of the summer of 2020, just after the first lockdown period (from March to May 2020 in Italy). The results of the present work are in line with previous studies that reported experiences of wellbeing and tranquility of children in time spent at home with family during the pandemic. From the drawings emerges that children feel sufficiently able to master the situation, as reflected by including themselves in drawings and providing many details of the h</w:t>
      </w:r>
    </w:p>
    <w:p>
      <w:r>
        <w:t>POSSIBLE 2022: Advances in COVID-19 mRNA vaccine development — https://doi.org/10.1038/s41392-022-00950-y</w:t>
      </w:r>
    </w:p>
    <w:p>
      <w:r>
        <w:t>Shared claim-specific concepts: drawing, covid-19, pandemic, capacity; EU scope not established. This is a provisional connection, not an outcome finding.</w:t>
      </w:r>
    </w:p>
    <w:p>
      <w:r>
        <w:t>Available abstract (not full text): To date, the coronavirus disease 2019 (COVID-19) caused by severe acute respiratory syndrome coronavirus 2 (SARS-CoV-2) has determined 399,600,607 cases and 5,757,562 deaths worldwide. COVID-19 is a serious threat to human health globally. The World Health Organization (WHO) has declared COVID-19 pandemic a major public health emergency. Vaccination is the most effective and economical intervention for controlling the spread of epidemics, and consequently saving lives and protecting the health of the population. Various techniques have been employed in the development of COVID-19 vaccines. Among these, the COVID-19 messenger RNA (mRNA) vaccine has been drawing increasing attention owing to its great application prospects and advantages, which include short development cycle, easy industrialization, simple production process, flexibility to respond to new variants, and the capacity to induce better immune response. This review summarizes current knowledge on the structural characteristics, antigen design strategies, delivery systems, industrialization potential, quality control, latest clinical trials and real-world data of COVID-19 mRNA vaccines as well as mRNA technology. Current challenges and future directions in the development of preventive mRNA vaccines for major infectious diseases are also discussed.</w:t>
      </w:r>
    </w:p>
    <w:p>
      <w:r>
        <w:t>POSSIBLE 2021: Understanding the effectiveness of government interventions against the resurgence of COVID-19 in Europe — https://doi.org/10.1038/s41467-021-26013-4</w:t>
      </w:r>
    </w:p>
    <w:p>
      <w:r>
        <w:t>Shared claim-specific concepts: covid-19, pandemic, modelling; EU scope visible. This is a provisional connection, not an outcome finding.</w:t>
      </w:r>
    </w:p>
    <w:p>
      <w:r>
        <w:t>Available abstract (not full text): Abstract As European governments face resurging waves of COVID-19, non-pharmaceutical interventions (NPIs) continue to be the primary tool for infection control. However, updated estimates of their relative effectiveness have been absent for Europe’s second wave, largely due to a lack of collated data that considers the increased subnational variation and diversity of NPIs. We collect the largest dataset of NPI implementation dates in Europe, spanning 114 subnational areas in 7 countries, with a systematic categorisation of interventions tailored to the second wave. Using a hierarchical Bayesian transmission model, we estimate the effectiveness of 17 NPIs from local case and death data. We manually validate the data, address limitations in modelling from previous studies, and extensively test the robustness of our estimates. The combined effect of all NPIs was smaller relative to estimates from the first half of 2020, indicating the strong influence of safety measures and individual protective behaviours--such as distancing--that persisted after the first wave. Closing specific businesses was highly effective. Gathering restrictions were highly effective but only for the strictest limits. We find smaller effects for closing educational institutions compared to the first wave, suggesting that safer operation of schools was possible with a set of stringent safety measures includi</w:t>
      </w:r>
    </w:p>
    <w:p>
      <w:r>
        <w:t>POSSIBLE 2021: War Metaphors in Political Communication on Covid-19 — https://doi.org/10.3389/fsoc.2020.583680</w:t>
      </w:r>
    </w:p>
    <w:p>
      <w:r>
        <w:t>Shared claim-specific concepts: finally, drawing, covid-19, pandemic, discuss, expand; EU scope not established. This is a provisional connection, not an outcome finding.</w:t>
      </w:r>
    </w:p>
    <w:p>
      <w:r>
        <w:t>Available abstract (not full text): Although militaristic metaphors have been pervasive during health crisis in political and science communication, few works have examined how these linguistic devices may influence crisis communication. Drawing on critical discourse analysis (CDA) and on crisis communication literature, I show how political representatives have used the war metaphor for very different purposes in terms of crisis communication and management of the current Covid-19 pandemic. I suggest that these findings challenge previous criticisms of the war metaphor as inherently negative and damaging. Finally, I discuss possibilities of using CDA, and specifically, metaphor analysis to inform and expand crisis communication.</w:t>
      </w:r>
    </w:p>
    <w:p>
      <w:r>
        <w:t>POSSIBLE 2021: Regulating the health workforce in Europe: implications of the COVID-19 pandemic — https://doi.org/10.1186/s12960-021-00624-w</w:t>
      </w:r>
    </w:p>
    <w:p>
      <w:r>
        <w:t>Shared claim-specific concepts: drawing, covid-19, pandemic, need, zone, across; EU scope visible. This is a provisional connection, not an outcome finding.</w:t>
      </w:r>
    </w:p>
    <w:p>
      <w:r>
        <w:t>Available abstract (not full text): In the European free movement zone, various mechanisms aim to harmonize how the competence of physicians and nurses is developed and maintained to facilitate the cross-country movement of professionals. This commentary addresses these mechanisms and discusses their implications during the COVID-19 pandemic, drawing lessons for future policy. It argues that EU-wide regulatory mechanisms should be reviewed to ensure that they provide an adequate foundation for determining competence and enabling health workforce flexibility during health system shocks. Currently, EU regulation focuses on the automatic recognition of the primary education of physicians and nurses. New, flexible mechanisms should be developed for specializations, such as intensive or emergency care. Documenting new skills, such as the ones acquired during rapid training in the pandemic, in a manner that is comparable across countries should be explored, both for usual practice and in light of outbreak preparedness. Initiatives to strengthen continuing education and professional development should be supported further. Funding under the EU4Health programme should be dedicated to this endeavour, along with revisiting the scope of necessary skills following the experience of COVID-19. Mechanisms for cross-country sharing of information on violations of good practice standards should be maintained and strengthened to e</w:t>
      </w:r>
    </w:p>
    <w:p>
      <w:r>
        <w:t>POSSIBLE 2021: COVID-19 Pandemic and Drawing Lessons for Future Crises to Indian Federalism — https://openalex.org/W7219388642</w:t>
      </w:r>
    </w:p>
    <w:p>
      <w:r>
        <w:t>Shared claim-specific concepts: drawing, covid-19, pandemic; EU scope not established. This is a provisional connection, not an outcome finding.</w:t>
      </w:r>
    </w:p>
    <w:p>
      <w:r>
        <w:t>Available abstract (not full text): In the past year-and-a-half, the COVID-19 pandemic has laid bare the strengths and weaknesses of all forms of political systems and structures: democratic and authoritarian; unitary and federal; and every model in-between. This paper focuses on federalism. Given the diffused and decentralised overall pathway followed by a federal structure of government, there were legitimate concerns over how countries with such a system could handle a rapidly spreading pandemic of a highly infectious disease. It acquired a serious tone when the pandemic began exposing the vulnerabilities of the United States (US), a federal country that has what is generally presumed to be an advanced healthcare system that will be able to withstand such an emergency. Analysts raised concerns about what they said were the inherent disadvantages of a federal political system against a pandemic that requires rapid and unitary response.Indeed, political analysts in the US started calling on the government to abandon the rigid dual federal system where health is an exclusive domain of states and local governments. Observers contrasted the US’s early experience against China’s swift response in Wuhan, as proof of the efficacy of a centralised response.</w:t>
      </w:r>
    </w:p>
    <w:p>
      <w:pPr>
        <w:pStyle w:val="Heading2"/>
      </w:pPr>
      <w:r>
        <w:t>Population aging, migration, and productivity in Europe</w:t>
      </w:r>
    </w:p>
    <w:p>
      <w:r>
        <w:t>Original source (2020): https://doi.org/10.1073/pnas.1918988117</w:t>
      </w:r>
    </w:p>
    <w:p>
      <w:r>
        <w:t>Original wording (abstract; indexed_source_text_not_full_document_verified): In terms of policy options, lifting labor-force participation among the general population as in Sweden, and education-selective migration if accompanied by high integration, could even improve economic dependency.</w:t>
      </w:r>
    </w:p>
    <w:p>
      <w:r>
        <w:t>POSSIBLE 2024: Policy options for sustainable access to off-patent antibiotics in Europe — https://doi.org/10.1038/s44259-024-00061-4</w:t>
      </w:r>
    </w:p>
    <w:p>
      <w:r>
        <w:t>Shared claim-specific concepts: options, general; EU scope visible. This is a provisional connection, not an outcome finding.</w:t>
      </w:r>
    </w:p>
    <w:p>
      <w:r>
        <w:t>Available abstract (not full text): Securing sustainable access to existing antibiotics optimises agent choice for individual treatments and is crucial to curb antibiotic resistance. Access to antibiotics is often restricted in many countries, due to general market unavailability or episodic shortages. This article outlines key policy options to maintain availability of existing antibiotics and enhance antibiotic supply chain resilience focusing on the perspectives of European Union (EU) and European Economic Area (EEA) institutions and member states.</w:t>
      </w:r>
    </w:p>
    <w:p>
      <w:r>
        <w:t>POSSIBLE 2024: The value of national defense: Assessing public preferences for defense policy options — https://doi.org/10.1016/j.ejpoleco.2024.102595</w:t>
      </w:r>
    </w:p>
    <w:p>
      <w:r>
        <w:t>Shared claim-specific concepts: terms, options, population; EU scope visible. This is a provisional connection, not an outcome finding.</w:t>
      </w:r>
    </w:p>
    <w:p>
      <w:r>
        <w:t>Available abstract (not full text): Defense spending accounts for a large share of the budget in many countries, but the value of the resulting public good - national defense - has so far escaped assessment. Much of the literature has instead considered indirect benefits of defense spending in terms of greater economic growth or technological spillovers. In this paper, we assess the direct welfare effects of defense policy, namely an increase in the security of citizens, by means of a survey-based discrete choice experiment. Drawing on a representative sample of the German population, results suggest substantial willingness to pay for an increase in troop numbers, the establishment of a European army and an improved air defense system. The reintroduction of compulsory military service does not enjoy public support. Results further indicate substantial preference heterogeneity across respondents and policy options which we explore. As such, these findings demonstrate how methods of survey-based, non-market valuation can help to refine research in this area of public policy.</w:t>
      </w:r>
    </w:p>
    <w:p>
      <w:r>
        <w:t>POSSIBLE 2024: Policies of Plastic Use in European Countries — https://doi.org/10.1201/9781003387862-3</w:t>
      </w:r>
    </w:p>
    <w:p>
      <w:r>
        <w:t>Shared claim-specific concepts: terms, options, dependency; EU scope visible. This is a provisional connection, not an outcome finding.</w:t>
      </w:r>
    </w:p>
    <w:p>
      <w:r>
        <w:t>Available abstract (not full text): The European Union is an international political and economic union comprised of 27 Member States from Europe. Since the 21st century, plastic pollution has reached to a critical point plaguing not only Europe but other continents also facing the massive threats of plastic pollution affecting both civil populations and the environment. The European Union has been attempting to tackle the rising issue of plastic pollution for decades through national and transnational cooperations by setting up appropriate legislation and policies. Several approaches have been taken to pressure existing industries and the public with the intention of promoting a circular economy for plastics and reducing their dependency on products manufactured from plastics. The European Union remains resilient in terms of its economy and infrastructure to lay foundations towards achieving a circular economy for plastics. The European Union has formed new directives and frameworks which apply to single-use plastics, plastic packaging, and micro-plastics, aiming to reduce the environmental impacts of plastics through increasing the current recycling rates while reducing dependency on any waste-management options which can cause negative impacts on the environment and human health such as landfilling. Overall, the European Union has setup targets that have to be fulfilled by each of the Member States by the year</w:t>
      </w:r>
    </w:p>
    <w:p>
      <w:r>
        <w:t>POSSIBLE 2023: The Energy Price Shock—Impact, Policy Responses, and Reform Options — https://doi.org/10.5089/9798400246135.018</w:t>
      </w:r>
    </w:p>
    <w:p>
      <w:r>
        <w:t>Shared claim-specific concepts: terms, options; EU scope visible. This is a provisional connection, not an outcome finding.</w:t>
      </w:r>
    </w:p>
    <w:p>
      <w:r>
        <w:t>Available abstract (not full text): The surge in energy prices due to Russia’s war in Ukraine inflicted a sharp terms of trade shock on the UK economy. While energy prices have since declined, the future energy price path remains uncertain, with futures-implied prices substantially above their levels prior to October 2021, when Russian natural gas imports to Europe began to be curtailed. In this context, section I analyzes the impact of the energy price shock on UK households and firms; section II describes the energy support measures introduced by the UK government; and section III provides staff’s assessment of these measures and sets out some options to optimize the policy response to a possible resurgence in energy prices. These include structural measures to ensure energy security and raise resilience to spikes in energy prices, and options to refine, especially the targeting of, support measures that could be introduced in response.</w:t>
      </w:r>
    </w:p>
    <w:p>
      <w:r>
        <w:t>POSSIBLE 2022: European Union criminal procedure policy as part of the European Union's policy in the field of the fight against criminality — https://doi.org/10.24144/2788-6018.2021.03.35</w:t>
      </w:r>
    </w:p>
    <w:p>
      <w:r>
        <w:t>Shared claim-specific concepts: terms, options; EU scope visible. This is a provisional connection, not an outcome finding.</w:t>
      </w:r>
    </w:p>
    <w:p>
      <w:r>
        <w:t>Available abstract (not full text): This article is devoted to finding the term that would be optimal for naming the procedural part of the European Union's policy in the field of the fight against criminality. The terms «EU policy in the field of the fight against criminality», «EU criminal policy», «EU law enforcement policy» are used to refer to a separate type of European Union policy. Adhering to the position of giving preference to the use of the term «policy in the field of the fight against criminality», it is seen that such a construction can be applied in the context of the European Union and, as we see, is in demand. However, it should be recognized that a significant number of European scholars use the term «criminal policy of the European Union». Thus, it is proposed to use the term «European Union policy in the field of the fight against criminality» as a generalized concept that better reflects its non-level, but namely complex structure and relatively independent but interconnected basic elements, parts, first of all, EU criminal policy and EU criminal procedure policy. Of course, we can talk about other parts of the European Union's policy in the field of the fight against criminality, in particular, criminology, but the primary interest in the study is its procedural component. There are various terminologies in the literature that define it. For example, the following options can be identified:</w:t>
      </w:r>
    </w:p>
    <w:p>
      <w:r>
        <w:t>POSSIBLE 2022: Ukraine’s Balance Policy between European Union and Russia — https://doi.org/10.18276/ap.2022.54-07</w:t>
      </w:r>
    </w:p>
    <w:p>
      <w:r>
        <w:t>Shared claim-specific concepts: terms, options, participation; EU scope visible. This is a provisional connection, not an outcome finding.</w:t>
      </w:r>
    </w:p>
    <w:p>
      <w:r>
        <w:t>Available abstract (not full text): Having declared independence in 1991, after the dissolution of the Soviet Union, Ukraine gained strategic importance in terms of its geographical location. It is regarded a “buffer zone” for both the European Union (EU) and Russia. There is a division within the country into the pro-Western and pro-Russian options. Ukraine’s aspiration for the UE membership has faced Russia’s objection since time immemorial. In the past, Ukraine preferred to pursue a balance policy between Russia and the EU. Ukraine’s attempt to approach the West with the Orange Revolution, its inclusion in the European Neighbourhood Policy, its participation in the Eastern Partnership program were perceived as a threat by Russia. The Ukrainian crisis, in particular, brought these two countries face to face. This crisis also deeply affected both the EU’s energy policy and its relations with Russia. After all the developments that followed, the issue of Ukraine’s membership in the EU remains uncertain.</w:t>
      </w:r>
    </w:p>
    <w:p>
      <w:r>
        <w:t>POSSIBLE 2022: Governing Europe's forests for multiple ecosystem services: Opportunities, challenges, and policy options — https://doi.org/10.1016/j.forpol.2022.102849</w:t>
      </w:r>
    </w:p>
    <w:p>
      <w:r>
        <w:t>Shared claim-specific concepts: options, participation, among, integration; EU scope visible. This is a provisional connection, not an outcome finding.</w:t>
      </w:r>
    </w:p>
    <w:p>
      <w:r>
        <w:t>Available abstract (not full text): Europe's forest provide multiple ecosystem services for societies, ranging from provisioning (e.g. wood) and regulating (e.g. climate mitigation and biodiversity) to cultural (e.g. recreation) services. In this paper, we assess the state and prospects of forest ecosystem services provision in Europe, introducing new data from the European collaborative research projects SINCERE, NOBEL and CLEARING HOUSE, and combining it with findings from the literature. We identify six challenges (1 an insufficient alignment of FES supply and demand, 2 lacking policy integration, 3 ambiguous and conflicting regulatory frameworks, 4 a lack of precise information on FES demand and provision, and innovations to align both, 5 an increasing pressure to adapt to climate change, and 6 a striking diversity constraining European level policy solutions) and three opportunities (1 increasingly heterogenous forest owner objectives potentially matching pluralistic societal demands, 2 diversifying forest enterprises levering innovations in regulating and cultural ecosystem services provision, and 3 the potential of forests to mitigate climate change). Subsequently, we introduce four distinct but complimentary policy pathways for European forest policy to better align forest ecosystem services provision and demand: 1 Better monitoring of FES supply and demand, 2 Enhanced policy integration, 3 Payments for e</w:t>
      </w:r>
    </w:p>
    <w:p>
      <w:r>
        <w:t>POSSIBLE 2021: Future options for organic farming policy support in Europe — https://openalex.org/W3200370314</w:t>
      </w:r>
    </w:p>
    <w:p>
      <w:r>
        <w:t>Shared claim-specific concepts: terms, options; EU scope visible. This is a provisional connection, not an outcome finding.</w:t>
      </w:r>
    </w:p>
    <w:p>
      <w:r>
        <w:t>Available abstract (not full text): Policy support has been very important for the development of organic farming in Europe since the 1990s. Measures include regulations defining organic in the marketplace, support payments for organic conversion and maintenance, and action plans aimed at integrating market and rural development support. Such support has been justified in terms of the environmental and other societal benefits delivered, as well as the economic benefits of the market for organic food. While the evidence for public benefits from organic farming is clear and increasing, the mechanisms for rewarding these benefits have been focused, as other agri-environment measures, on income foregone and costs incurred. With the introduction of a new CAP, involving Member State Strategic Plans and Ecoschemes, the focus of policy is shifting to results. This paper explores the implications of the for future organic farming support, including how public benefits from complex, multi-functional systems can be identified, quantified and valued at an affordable cost.</w:t>
      </w:r>
    </w:p>
    <w:p>
      <w:pPr>
        <w:pStyle w:val="Heading2"/>
      </w:pPr>
      <w:r>
        <w:t>Post-normal times: re-thinking the futures of the EU-Africa relationship</w:t>
      </w:r>
    </w:p>
    <w:p>
      <w:r>
        <w:t>Original source (2020): https://doi.org/10.1186/s40309-020-00167-8</w:t>
      </w:r>
    </w:p>
    <w:p>
      <w:r>
        <w:t>Original wording (abstract; indexed_source_text_not_full_document_verified): With the establishment of new powers as well as efforts to decolonise the thought and practise of North-South interactions, it is crucial to understand what the future of the relationship could be. The process consisted of identifying major influential factors in the relationship and assessing what role they played in the past and what role they could play in the future.</w:t>
      </w:r>
    </w:p>
    <w:p>
      <w:r>
        <w:t>POSSIBLE 2025: Establishment of the Authority for Anti-Money Laundering . Why Does the European Union Need to Institutionalize Anti-Money Laundering? — https://doi.org/10.31743/recl.18302</w:t>
      </w:r>
    </w:p>
    <w:p>
      <w:r>
        <w:t>Shared claim-specific concepts: establishment, powers; EU scope visible. This is a provisional connection, not an outcome finding.</w:t>
      </w:r>
    </w:p>
    <w:p>
      <w:r>
        <w:t>Available abstract (not full text): The Regulation of the European Parliament and of the Council of 31 May 2024 establishing the Authority for Anti-Money Laundering and Countering the Financing of Terrorism (AMLA) is an important step in combating money laundering and the financing of terrorism. This article outlines why this initiative was deemed necessary and what the objectives and powers of the new Authority will be. The primary method used during the research was the formal-dogmatic method through an analysis of the provisions regulating AML. The new Authority’s goals and functions were verified using legal acts, reports and studies from European Union bodies. On the basis of these, conclusions are presented on the purposefulness of the AMLA’s establishment, its scope of tasks and how it is expected to function. Some of the proposed assumptions – especially regarding the effectiveness of the direct supervision the AMLA is to perform – were subject to critical analysis. The research results show that, to increase the effectiveness of overall AML policy in the European Union, the new Authority must cooperate successfully with both EU and national authorities – primarily the Financial Intelligence Units of Member States.</w:t>
      </w:r>
    </w:p>
    <w:p>
      <w:r>
        <w:t>POSSIBLE 2025: The separation of powers and the administrative branch in the European Union — https://doi.org/10.1093/icon/moaf048</w:t>
      </w:r>
    </w:p>
    <w:p>
      <w:r>
        <w:t>Shared claim-specific concepts: powers, assessing, role, played; EU scope visible. This is a provisional connection, not an outcome finding.</w:t>
      </w:r>
    </w:p>
    <w:p>
      <w:r>
        <w:t>Available abstract (not full text): Abstract The interpretation of the principle of separation of powers in the EU has developed a distinct character through the principle of institutional balance. The Court of Justice of the European Union (CJEU) has played a central role in assessing and overseeing this principle. This article examines how the EU’s understanding of the separation of powers has shaped the functioning of its administrative branch. Specifically, it focuses on how the CJEU has applied the principle of institutional balance through the so-called non-delegation doctrine, which restricts the delegation of powers to EU administrative bodies. It argues that the CJEU’s interpretation has affected the theoretical understanding of administrative powers, ultimately hindering the development of a robust framework to ensure the accountability of discretionary powers exercised by administrative bodies not explicitly outlined in the EU treaties.</w:t>
      </w:r>
    </w:p>
    <w:p>
      <w:r>
        <w:t>POSSIBLE 2025: Building Trade Institutions After the EU:Trade Powers in the UK — https://openalex.org/W7203962608</w:t>
      </w:r>
    </w:p>
    <w:p>
      <w:r>
        <w:t>Shared claim-specific concepts: establishment, powers; EU scope visible. This is a provisional connection, not an outcome finding.</w:t>
      </w:r>
    </w:p>
    <w:p>
      <w:r>
        <w:t>Available abstract (not full text): This chapter presents the reshaped landscape of trade powers in the United Kingdom (UK) following withdrawal from the European Union EU), exploring the implications for the UK’s trade policy and regulatory framework. It examines the repatriation of trade powers from the EU to the UK, including the establishment of new trade agreements, tariff schedules, and regulatory regimes. By examining the UK’s trade powers in comparison to those of other countries and regions, it provides readers with insights into the diverse approaches and challenges in comparative trade regulation. Moreover, the chapter serves as a valuable case study for understanding the complexities of disentangling from regional trade arrangements and redefining trade policy priorities outside of large integrated markets.</w:t>
      </w:r>
    </w:p>
    <w:p>
      <w:r>
        <w:t>POSSIBLE 2024: An anti-money laundering authority for the European Union: a new center of gravity in AML enforcement — https://doi.org/10.1007/s12027-024-00805-9</w:t>
      </w:r>
    </w:p>
    <w:p>
      <w:r>
        <w:t>Shared claim-specific concepts: establishment, powers; EU scope visible. This is a provisional connection, not an outcome finding.</w:t>
      </w:r>
    </w:p>
    <w:p>
      <w:r>
        <w:t>Available abstract (not full text): Abstract The establishment of an Anti-Money Laundering Authority (AMLA) heralds a milestone in the European Union’s (EU) institutional framework for the enforcement of anti-money laundering and countering the financing of terrorism (AML/CFT) rules. This contribution explores the competence and powers of the new AML/CFT supervisor. While AMLA is a true enforcement actor with investigative and sanctioning powers to address breaches of AML/CFT requirements, the scope of AMLA’s enforcement powers will be limited. AMLA will nevertheless have an important regulatory impact and it will enhance the fight against cross-border financial crime by supporting the work of other bodies and agencies in the field.</w:t>
      </w:r>
    </w:p>
    <w:p>
      <w:r>
        <w:t>POSSIBLE 2023: THE EUROPEAN UNION: THE HISTORY OF ESTABLISHMENT AND SIGNIFICANCE FOR UKRAINE — https://doi.org/10.30970/vla.2023.76.015</w:t>
      </w:r>
    </w:p>
    <w:p>
      <w:r>
        <w:t>Shared claim-specific concepts: establishment, powers, process, role, they, played; EU scope visible. This is a provisional connection, not an outcome finding.</w:t>
      </w:r>
    </w:p>
    <w:p>
      <w:r>
        <w:t>Available abstract (not full text): The article reveals the prerequisites for the formation and development of European integration, reveals the processes of creating the European Union as a new form of European integration, and analyzes the achievements of Ukraine in European integration processes. It is noted that the idea of uniting the peoples and states of Europe has a long history. In various historical periods, European rulers and politicians sought to implement the idea of European unification. The idea of European unity was developed and defended in their writings by philosophers, scientists, religious figures, etc. This idea is based on the principles of territorial and civilizational kinship and unity of Europeans and runs through the entire history of European nations. The formation and development of European integration institutions was the result of the consistent development of the unification process of the countries of Western Europe, which went through several stages in their development. Integration involved an active search for ways and means of political, legal, economic (and in some cases, social and cultural) unification of European states with the aim of establishing their close, first of all, economic cooperation. An important role in integration processes was and continues to be played by the economic basis of the development of states. European integration is based on economic integrat</w:t>
      </w:r>
    </w:p>
    <w:p>
      <w:r>
        <w:t>POSSIBLE 2022: The relationship between Willy Brandt and the Norwegian Labor Party, and the process of change and establishment of Brandt’s thoughts seen from the publication of The Purpose of War of Great Powers and a New Europe — https://doi.org/10.17995/kjgs.2022.2.49.93</w:t>
      </w:r>
    </w:p>
    <w:p>
      <w:r>
        <w:t>Shared claim-specific concepts: establishment, powers, relationship, process; EU scope visible. This is a provisional connection, not an outcome finding.</w:t>
      </w:r>
    </w:p>
    <w:p>
      <w:r>
        <w:t>Available abstract (not full text): 노르웨이 노동당은 브란트의 삶과 사상의 궤적에 큰 영향을 끼쳤다. 특히, 브란트가 사회주의, 자유, 민주주의, 유럽연방주의 사상을 정립해 가는 데 있어서 많은 자극과 영감을 주었다. 노르웨이 망명기간 동안 브란트는 그 곳 노동당의 도움을 많이 받았다. 그러면서 노르웨이 노동당의 노선과 실체에 대해 많은 것을 새롭게 느끼고 깨닫게 되었다. 그리하여 이 시기에 대한 연구는 청년 브란트의 사상과 삶, 국제 네트워크를 이해하는데 매우 유익하다. 특히, 코민테른과 소련에 대한 노르웨이 노동당과 빌리 브란트의 이해와 반응의 유사성이 매우 흥미롭다. 이 유사성들이 상호 관계에 크게 작용했음은 매우 주목할 만한 내용이다. 이 과정에서 브란트는 고향 뤼벡 시절에서와는 다르게 자유와 민주주의 그리고 유럽연방주의에 대한 개념을 더욱 깊게 하고 사회주의와의 관계를 체계화하였다. 이러한 과정과 결과들 이 『강대국의 전쟁목적과 새로운 유럽』 책 속에 녹아들어 갔다. 이 책을 통해 노르웨이 노동당과 빌리 브란트의 관계 그리고 그의 활동은 더욱 활 성화 될 것이었다. 그러나 나치 독일의 노르웨이 점령으로 그렇게 되지 못 하고 험난한 운명을 맞이했다.</w:t>
      </w:r>
    </w:p>
    <w:p>
      <w:r>
        <w:t>POSSIBLE 2022: The Delegation of Powers to EU Agencies After the Financial Crisis — https://doi.org/10.15166/2499-8249/535</w:t>
      </w:r>
    </w:p>
    <w:p>
      <w:r>
        <w:t>Shared claim-specific concepts: establishment, powers, role, they; EU scope visible. This is a provisional connection, not an outcome finding.</w:t>
      </w:r>
    </w:p>
    <w:p>
      <w:r>
        <w:t>Available abstract (not full text): The financial crisis has set new challenges for European integration, including the revision of priorities, principles and mechanisms of micro-prudential supervision of financial markets. Amongst the significant institutional reforms, the intensification of controls on financial markets has been pursued through the establishment of the European Supervisory Authorities in the financial markets (ESAs). This Article aims to analyse the role that these Authorities have been playing in shaping the EU legal order after the financial crisis. As a result of the EMU-related regulation aimed at enhancing EU financial stability after the crisis, the ESAs institutionalise administrative cooperation in micro-prudential supervision. The combination of agencification and crisis management is not new to the development of European integration nor specific to the case of financial markets. Nevertheless, the ESAs represent a peculiar regulatory experience, which share many characteristics of EU agencies, yet move towards an embryonic model of independent regulators. Compared to other EU agencies, in fact, they enjoy wider powers and a much more autonomous status from the Commission. They have acquired highly relevant competences that enhance their role in the internal market regulation. In addition, the CJEU engaged in a partial revision of the interpretative boundaries of the Meroni doctrine co</w:t>
      </w:r>
    </w:p>
    <w:p>
      <w:r>
        <w:t>POSSIBLE 2021: The Emergence of New States in Eastern Europe in 1918—Lessons for All of Europe — https://doi.org/10.2478/bjes-2021-0001</w:t>
      </w:r>
    </w:p>
    <w:p>
      <w:r>
        <w:t>Shared claim-specific concepts: establishment, powers, well, efforts, crucial, process; EU scope visible. This is a provisional connection, not an outcome finding.</w:t>
      </w:r>
    </w:p>
    <w:p>
      <w:r>
        <w:t>Available abstract (not full text): Abstract The year of 1918 was a crucial point in the history of Europe. Its importance does not only stem from the end of World War I, but also from the establishment of new states. Eastern Europe was particularly an arena where many new states emerged after the dissolution of tsarist Russia. The abovementioned process was correlated with the outcome of World War I (the defeat of the Central Powers on the Western Front and their victory on the Eastern Front against the tsarist Russia resulting in imposing their protectorate over Eastern Europe) but simultaneously it was influenced by the 1917 Bolshevik Revolution originating from a structural crisis of Russia. The legacy of nation-building processes, taking place in the period of 1917–1921 in the European part of the tsarist Russia— even when some of the states did not manage to survive— occupies a key role in the historical memories of those countries. The importance of this legacy originates from the fact that these states often constituted the most progressive nation-building efforts in the world. The wider context of these developments and the important interlinkages existing between them are very often unfamiliar to many Europeans today. Despite that, the state-building attempts, undertaken in Eastern Europe between 1917 and 1921, had a huge impact on the trajectory of European history. Contextualising this particular acad</w:t>
      </w:r>
    </w:p>
    <w:p>
      <w:r>
        <w:t>POSSIBLE 2021: Philanthrocapitalism and the Separation of Powers — https://doi.org/10.1146/annurev-lawsocsci-120220-074323</w:t>
      </w:r>
    </w:p>
    <w:p>
      <w:r>
        <w:t>Shared claim-specific concepts: powers, major; EU scope visible. This is a provisional connection, not an outcome finding.</w:t>
      </w:r>
    </w:p>
    <w:p>
      <w:r>
        <w:t>Available abstract (not full text): This article discusses the rise of an approach to philanthropic giving known as philanthrocapitalism. I relate it to a new paradigm in management theory that has claimed that private profit making naturally aligns with improved public welfare. I show how growing belief in the inherent “compatibility” of corporate missions and public benefits has led to new laws and contributed to major shifts in how giving practices are structured and legitimated. The original point made in this article is that the philanthrocapitalist turn is more than simply an organizational change in the structure of different philanthropic institutions. Rather, the belief that profit-making and public welfare are naturally aligned also has significant, undertheorized implications for different principles in European-American legal traditions. The ascendancy of the philanthrocapitalist approach represents a subtle but profound displacement of belief in the need for democratic checks and balances on the use of public funds for private enrichment.</w:t>
      </w:r>
    </w:p>
    <w:p>
      <w:r>
        <w:t>POSSIBLE 2021: The EU’s ‘watchdogs’: assessing the powers of the European Ombudsman and European Court of Auditors — https://openalex.org/W3168197065</w:t>
      </w:r>
    </w:p>
    <w:p>
      <w:r>
        <w:t>Shared claim-specific concepts: powers, assessing, role, they, play; EU scope visible. This is a provisional connection, not an outcome finding.</w:t>
      </w:r>
    </w:p>
    <w:p>
      <w:r>
        <w:t>Available abstract (not full text): The European Ombudsman and European Court of Auditors both play an important role in guaranteeing the EU’s transparency, accountability and integrity. Anchrit Wille and Mark Bovens argue that the key to understanding the impact of the two institutions lies in the use of their powers, rather than the formal remits they have been assigned.</w:t>
      </w:r>
    </w:p>
    <w:p>
      <w:r>
        <w:t>POSSIBLE 2021: EU Operational Powers and Legal Protection: A Legal Theory Perspective on the Operational Powers of the European Border and Coast Guard — https://doi.org/10.1017/glj.2021.29</w:t>
      </w:r>
    </w:p>
    <w:p>
      <w:r>
        <w:t>Shared claim-specific concepts: powers, process, they; EU scope visible. This is a provisional connection, not an outcome finding.</w:t>
      </w:r>
    </w:p>
    <w:p>
      <w:r>
        <w:t>Available abstract (not full text): Abstract For the first time in its history, the EU is in the process of acquiring significant and genuine permanent operational powers. A new Regulation on the European Border and Coast Guard provides Frontex with a permanent corps of 10,000 border guards—3,000 of which will be EU agents—its own equipment, and its own competences to intervene along the EU borders and beyond. The operational powers will allow the EU to directly and physically intervene in tangible reality. This Article argues that the conferral of operational powers on the EU poses a risk to individual legal protection. This is because once authorities have acquired operational powers of a certain extent and quality, they can afford to act against or without the law by simply overpowering or eluding the legal mechanisms that normally constrain the exercise of public power. So far, Members of the European Parliament and academics critical of Frontex and the new Regulation have overlooked this issue and concentrated exclusively on how to legally constrain the exercise of operational powers. This Article addresses this blind spot by examining whether and how public law should place legal constraints not only on the exercise but also on the build-up of operational powers.</w:t>
      </w:r>
    </w:p>
    <w:p>
      <w:pPr>
        <w:pStyle w:val="Heading2"/>
      </w:pPr>
      <w:r>
        <w:t>Quantifying the sensitivity of european power systems to energy scenarios and climate change projections</w:t>
      </w:r>
    </w:p>
    <w:p>
      <w:r>
        <w:t>Original source (2020): https://doi.org/10.1016/j.renene.2020.09.125</w:t>
      </w:r>
    </w:p>
    <w:p>
      <w:r>
        <w:t>Original wording (abstract; indexed_source_text_not_full_document_verified): We show for the first time how a set of divergent future power system scenarios lead to marked differences in Europe’s total energy balance (demand-net-renewable supply) by 2050, which dominate over the uncertainty associated with climate change (∼50% and ∼5% respectively). However, within any given power system scenario, national power systems may be subject to considerable impacts from climate change, particularly for seasonal differences between renewable resources (e.g., wind power may be impacted by ∼20% or more).</w:t>
      </w:r>
    </w:p>
    <w:p>
      <w:r>
        <w:t>POSSIBLE 2025: Spatial shifts of seasonal vegetation cycles in Europe over time — https://doi.org/10.5194/egusphere-egu25-11953</w:t>
      </w:r>
    </w:p>
    <w:p>
      <w:r>
        <w:t>Shared claim-specific concepts: show, first, time, over, climate, however; EU scope visible. This is a provisional connection, not an outcome finding.</w:t>
      </w:r>
    </w:p>
    <w:p>
      <w:r>
        <w:t>Available abstract (not full text): Seasonal cycles of vegetation functioning are changing as a consequence of climate change. For example, a widespread greening of the northern hemisphere is observed, with an earlier start of the growing season and a later end of the growing season in some regions. However, in other regions, the growing season is actually ending earlier due to water limitations or more frequent extremes.In this study, we focus on Europe and calculate seasonal cycles of vegetation indices at each grid cell during a past time period, and determine where most similar seasonal cycles are observed during a more recent time period. This way, we examine how the seasonal vegetation cycle at grid cells has shifted in space over the past decades by analyzing satellite-derived Leaf Area Index (LAI) data. The spatial shift is calculated for each grid cell as the difference between the locations with (i) most similar seasonal cycles during 2010-2018 and (ii) most similar seasonal cycles during 1982-1989. Similarity is assessed based on the RMSE between the seasonal cycles. First results show a widespread eastward and northward shift of seasonal cycles across Europe. The variability of determined shifts is high across regions. Calculations of spatial shifts using MODIS LAI data during more recent time periods are used to validate the long-term results. Finally, we compare the determined spatial shifts to resp</w:t>
      </w:r>
    </w:p>
    <w:p>
      <w:r>
        <w:t>POSSIBLE 2025: The spatiotemporal dynamics of COVID-19 in Europe: time-series clustering maps 5 distinct trajectories to spatial patterns — https://doi.org/10.1186/s12963-025-00405-w</w:t>
      </w:r>
    </w:p>
    <w:p>
      <w:r>
        <w:t>Shared claim-specific concepts: show, first, time, within; EU scope visible. This is a provisional connection, not an outcome finding.</w:t>
      </w:r>
    </w:p>
    <w:p>
      <w:r>
        <w:t>Available abstract (not full text): The COVID-19 pandemic affected Europe unevenly, with surges in infections and deaths fluctuating across different regions and time periods. Hyper-localised hotspots and staggered timelines created intense, asynchronous waves of infections and deaths that distort country-level and cumulative data, obscuring the pandemic's spatiotemporal dynamics through aggregation. Despite extensive research comparing states and analysing subnational variance within individual countries, the detailed subnational and transnational dynamics of the COVID-19 pandemic across Europe as a whole have not been comprehensively described. Here we show that time-series clustering, applied to weekly excess mortality estimates for subnational NUTS3 administrative regions of 27 countries in Europe, identifies five distinct pandemic trajectories which map to spatial patterns. The trajectories comprise two subgroups, representing contrasting pandemic dynamics in eastern and western Europe. Western Europe exhibits concentric arrangements of mortality impact, with secondary and tertiary impact zones surrounding outbreak epicenters. Eastern Europe exhibits internally homogeneous spatial dynamics, possibly due to the deferral of the first major mortality wave.</w:t>
      </w:r>
    </w:p>
    <w:p>
      <w:r>
        <w:t>POSSIBLE 2025: #154 Time trends in European paediatric kidney transplantation: an ESPN/ERA Registry study — https://doi.org/10.1093/ndt/gfaf116.0876</w:t>
      </w:r>
    </w:p>
    <w:p>
      <w:r>
        <w:t>Shared claim-specific concepts: first, time, differences, over; EU scope visible. This is a provisional connection, not an outcome finding.</w:t>
      </w:r>
    </w:p>
    <w:p>
      <w:r>
        <w:t>Available abstract (not full text): Abstract Background and Aims Kidney transplantation is the optimal treatment modality for most patients with kidney failure particularly in childhood due to survival advantages and improved physical and psychosocial development. While most children initiate kidney replacement therapy (KRT) on dialysis, they are expected to receive a kidney transplant during childhood. We know that in Europe there are substantial differences in the access to kidney transplantation, but information on time trends is lacking. The aim of this study was therefore to report on time trends in paediatric kidney transplantation rates and recipient characteristics between 2010 and 2021 in Europe, overall and by country macro-economic level. Method Thirty-one countries contributing with data to the ESPN/ERA Registry on kidney transplant recipients below 18 years (covering about 90% of Europe) between 2010 and 2021 were included. The main analysis focused on the period of 2010–19. Additionally, the years 2020–21 were analysed separately, because of the potential effect of the COVID-19 pandemic. We reported trends in kidney transplantation per million age related population (pmarp) in Europe, overall and by country groups based on macro-economic level [low, middle or high income countries according to the gross domestic product (GDP) per capita in 2021]. Time trends were reported as annual percentage change</w:t>
      </w:r>
    </w:p>
    <w:p>
      <w:r>
        <w:t>POSSIBLE 2024: “EUROPE”: A Patriotic Ballet for the First World War — https://doi.org/10.1080/19475020.2024.2352853</w:t>
      </w:r>
    </w:p>
    <w:p>
      <w:r>
        <w:t>Shared claim-specific concepts: show, first, time, associated, however, within; EU scope visible. This is a provisional connection, not an outcome finding.</w:t>
      </w:r>
    </w:p>
    <w:p>
      <w:r>
        <w:t xml:space="preserve">Available abstract (not full text): From September 1914 to January 1915, the Empire Theatre in London staged what was billed as a patriotic ballet called Europe. In addition to its lengthy run in the capital, a second version of the show toured the country, appearing at theatres in Manchester, Newcastle, Glasgow, Sheffield, Liverpool, Bradford, Nottingham and Portsmouth. The show received unanimous praise in both national and regional newspapers. However, despite its reach, popularity and impact, Europe has been mostly forgotten. Since it was a dance-based performance, no script was submitted to the Lord Chamberlain’s office. Although the piece did include music, it produced no hit songs captured on gramophone records or sheet music. Moreover, once the reality of the First World War began to hit home, the manner in which the show trivialised and glorified the conflict quickly fell out of step with public opinion. Therefore, when Europe’s run ended, it was permanently shelved and assigned to the passing of time. Nevertheless, the show left an archival imprint scattered through newspapers, theatre programmes, magazines and autobiographies. The following article draws these fragments together to form a blueprint of this hitherto discarded piece of popular culture. This reconstruction reveals a strikingly complex and rich piece of theatre, both in terms of its technical construction and how cultural conventions were </w:t>
      </w:r>
    </w:p>
    <w:p>
      <w:r>
        <w:t>POSSIBLE 2023: “The first difficulty is time”: The impact of gestational age limits on reproductive health and justice in the context of cross-border travel for abortion care in Europe — https://doi.org/10.1016/j.socscimed.2023.115760</w:t>
      </w:r>
    </w:p>
    <w:p>
      <w:r>
        <w:t>Shared claim-specific concepts: show, first, time; EU scope visible. This is a provisional connection, not an outcome finding.</w:t>
      </w:r>
    </w:p>
    <w:p>
      <w:r>
        <w:t xml:space="preserve">Available abstract (not full text): Drawing on qualitative and quantitative data collected during a 5-year multi-disciplinary European research project, in this article we show how restrictions on access to legal abortion, and particularly gestational age (GA) limits at the end of the first trimester of pregnancy, negatively affect women and pregnant people living in European countries where abortion is legal on request or on broad grounds. First, we examine why most European legislations establish GA limits, and illustrate how abortion is framed in national laws and in the current national and international legal and political debates on abortion rights. We then show, based on research data we collected during our 5-year project and contextualized with existing data and statistics, how these restrictions force thousands of people to travel across borders from European countries where abortion is legal, delaying access to care, and increasing pregnant people's health risks. Finally, we explore, from an anthropological perspective, how pregnant people who travel across borders for abortion care conceptualize abortion access, and the relationship between the right to abortion care and the GA restrictions that limit this right. Our study participants criticize the time restrictions established by the laws in their countries of residence as failing to meet pregnant people's needs, highlight the crucial importance of </w:t>
      </w:r>
    </w:p>
    <w:p>
      <w:r>
        <w:t>POSSIBLE 2022: Impact of the first wave of the COVID-19 pandemic on birth rates in Europe: a time series analysis in 24 countries — https://doi.org/10.1093/humrep/deac215</w:t>
      </w:r>
    </w:p>
    <w:p>
      <w:r>
        <w:t>Shared claim-specific concepts: first, time, power, differences, over, associated; EU scope visible. This is a provisional connection, not an outcome finding.</w:t>
      </w:r>
    </w:p>
    <w:p>
      <w:r>
        <w:t>Available abstract (not full text): STUDY QUESTION: Did the first wave of the COVID-19 pandemic have an impact on monthly birth rates in Europe? SUMMARY ANSWER: Using datasets on live births per month in Europe, collected from the Human Fertility Database, we found a -14.1% decline in live births in January 2021 (i.e. 9-10 months after the epidemic peaks and first lockdowns), compared to the average number of live births in January 2018 and 2019. WHAT IS KNOWN ALREADY: Previous pandemics in the 20th and 21st centuries have been associated with a decline in birth rates 9 months after their peak, and a rebound in births over time. Lockdowns were necessary to control the first wave of the COVID-19 pandemic and may have had an impact on subsequent birth rates. STUDY DESIGN, SIZE, DURATION: Monthly time series data on live births from January 2018 to March 2021 were extracted to provide a time-series analysis of birthrates during and after the first wave of the COVID-19 pandemic in 24 European countries. PARTICIPANTS/MATERIALS, SETTING, METHODS: We conducted a random-effect generalized least squares regression to assess the seasonality of births from January 2018 to March 2021, and to identify potential differences in monthly live births after the first wave of the COVID-19 pandemic, considering the seasonality of births. To quantify these potential differences, we estimated the variation rate between the monthly live</w:t>
      </w:r>
    </w:p>
    <w:p>
      <w:r>
        <w:t>POSSIBLE 2022: High-Resolution Mapping of Winter Cereals in Europe by Time Series Landsat and Sentinel Images for 2016–2020 — https://doi.org/10.3390/rs14092120</w:t>
      </w:r>
    </w:p>
    <w:p>
      <w:r>
        <w:t>Shared claim-specific concepts: show, first, time, total, over, respectively; EU scope visible. This is a provisional connection, not an outcome finding.</w:t>
      </w:r>
    </w:p>
    <w:p>
      <w:r>
        <w:t xml:space="preserve">Available abstract (not full text): Winter cereals, including wheat, rye, barley, and triticale, are important food crops, and it is crucial to identify the distribution of winter cereals for monitoring crop growth and predicting yield. The production and plating area of winter cereals in Europe both contribute 12.57% to the total global cereal production and plating area in 2020. However, the distribution maps of winter cereals with high spatial resolution are scarce in Europe. Here, we first used synthetic aperture radar (SAR) data from Sentinel-1 A/B, in the Interferometric Wide (IW) swath mode, to distinguish rapeseed and winter cereals; we then used a time-weighted dynamic time warping (TWDTW) method to discriminate winter cereals from other crops by comparing the similarity of seasonal changes in the Normalized Difference Vegetation Index (NDVI) from Landsat and Sentinel-2 images. We generated winter cereal maps for 2016–2020 that cover 32 European countries with 30 m spatial resolution. Validation using field samples obtained from the Google Earth Engine (GEE) platform show that the producer’s and user’s accuracies are 91% ± 7.8% and 89% ± 10.3%, respectively, averaged over 32 countries in Europe. The winter cereal map agrees well with agricultural census data for planted winter cereal areas at municipal and country levels, with the averaged coefficient of determination R2 as 0.77 ± 0.15 for 2016–2019. In </w:t>
      </w:r>
    </w:p>
    <w:p>
      <w:r>
        <w:t>POSSIBLE 2021: Time-resolved emission reductions for atmospheric chemistry modelling in Europe during the COVID-19 lockdowns — https://doi.org/10.5194/acp-21-773-2021</w:t>
      </w:r>
    </w:p>
    <w:p>
      <w:r>
        <w:t>Shared claim-specific concepts: show, first, time, power, total, energy; EU scope visible. This is a provisional connection, not an outcome finding.</w:t>
      </w:r>
    </w:p>
    <w:p>
      <w:r>
        <w:t>Available abstract (not full text):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r>
        <w:t>POSSIBLE 2021: Islam and space in Europe: the politics of race, time, and secularism — https://doi.org/10.1080/01419870.2021.1918739</w:t>
      </w:r>
    </w:p>
    <w:p>
      <w:r>
        <w:t>Shared claim-specific concepts: show, first, time; EU scope visible. This is a provisional connection, not an outcome finding.</w:t>
      </w:r>
    </w:p>
    <w:p>
      <w:r>
        <w:t>Available abstract (not full text): This introduction to the Special Issue “Rethinking Islam and Space in Europe” advocates for an analytical turn in the study of Islam in Europe by using space as a central conceptual lens. While spatial approaches are gaining traction in the study of religion, migration, ethnicity, and race, we argue that the critical potential of spatial approaches remains largely unexplored. This paper offers a threefold contribution. First, we show how combining spatial perspectives with local histories contributes to de-exceptionalising the contemporary study of Islam in urban contexts. Second, by “localising secularism” we can uncover concrete formations of exclusion and erasure, while also providing a more refined picture of the ways in which the agency of Muslims is negotiated. Third, we demonstrate how scrutinizing the nexus of time, race and Europe reveals colonial pasts and continuities that are disrupted and transformed by the movement of bodies through public spaces.</w:t>
      </w:r>
    </w:p>
    <w:p>
      <w:r>
        <w:t>POSSIBLE 2021: Depression and loneliness of older adults in Europe and Israel after the first wave of covid-19 — https://doi.org/10.1007/s10433-021-00640-8</w:t>
      </w:r>
    </w:p>
    <w:p>
      <w:r>
        <w:t>Shared claim-specific concepts: show, first, time, however; EU scope visible. This is a provisional connection, not an outcome finding.</w:t>
      </w:r>
    </w:p>
    <w:p>
      <w:r>
        <w:t>Available abstract (not full text): Epidemic control measures that aim to introduce social distancing help to decelerate the spread of the COVID-19 pandemic. However, their consequences in terms of mental well-being might be negative, especially for older adults. While existing studies mainly focus on the time during the first lockdown, we look at the weeks afterward in order to measure the medium-term consequences of the first wave of the pandemic. Using data from the SHARE Corona Survey, we include retired respondents aged 60 and above from 25 European countries plus Israel. Combining SHARE data with macro-data from the Oxford COVID-19 Government Response Tracker allows us to include macro-indicators at the country level, namely the number of deaths per 100,000 and the number of days with stringent epidemic control measures, in addition to individual characteristics. The findings show that both macro-indicators are influential for increased feelings of sadness/depression, but that individual factors are crucial for explaining increased feelings of loneliness in the time after the first lockdown. Models with interaction terms reveal that the included macro-indicators have negative well-being consequences, particularly for the oldest survey participants. Additionally, the results reveal that especially those living alone had a higher risk for increased loneliness in the time after the first COVID-19 wave. Supplem</w:t>
      </w:r>
    </w:p>
    <w:p>
      <w:r>
        <w:t>POSSIBLE 2021: Time–Motion Analysis by Playing Positions of Male Handball Players during the European Championship 2020 — https://doi.org/10.3390/ijerph18062787</w:t>
      </w:r>
    </w:p>
    <w:p>
      <w:r>
        <w:t>Shared claim-specific concepts: first, time, system, differences, total; EU scope visible. This is a provisional connection, not an outcome finding.</w:t>
      </w:r>
    </w:p>
    <w:p>
      <w:r>
        <w:t>Available abstract (not full text): The aim of this study was to analyze time–motion characteristics of elite male handball players during the last European Championship 2020. A total of 414 players from 24 national teams were analyzed during 65 matches using a local positioning system (LPS) for the first time in a European Championship. Players (n = 1865) covered significantly (p &lt; 0.001; ES = 0.48) more total distance in offense (1217.48 ± 699.33 m) and in all locomotion categories (p &lt; 0.001) than in defense (900.96 ± 538.95 m), with a similar average total time on court (13.40 ± 8.19 min in offense and 13.27 ± 8.59 min; p &gt; 0.05). The running pace was significantly higher in offense 96.53 ± 22.57 m/min than in defense 82.72 ± 43.28 m/min (p &lt; 0.001; ES = 0.47). By playing positions, the Left Wing players covered significantly (p &lt; 0.001) higher distances (2547.14 ± 1309.52) and showed longer playing time (32.08 ± 17.01). Center Back was the playing position that showed the highest global running pace (98.34 m/min). Players with higher running pace in offense (p &lt; 0.001) were Left Backs (105.95 ± 25.20) and the Center Backs in defense (95.76 ± 48.90). There were no significant differences between winners and losers or between top ranked and lower ranked teams in terms of time played, distance covered, and running pace. Specific physical conditioning is necessary to maximize performance and minimize fatigue whe</w:t>
      </w:r>
    </w:p>
    <w:p>
      <w:pPr>
        <w:pStyle w:val="Heading2"/>
      </w:pPr>
      <w:r>
        <w:t>Recycling of European plastic is a pathway for plastic debris in the ocean</w:t>
      </w:r>
    </w:p>
    <w:p>
      <w:r>
        <w:t>Original source (2020): https://doi.org/10.1016/j.envint.2020.105893</w:t>
      </w:r>
    </w:p>
    <w:p>
      <w:r>
        <w:t>Original wording (abstract; indexed_source_text_not_full_document_verified): Data uncertainty was reflected in three scenarios representing high, low and average recovery efficiency factors in material recovery facilities and reprocessing facilities, and different ocean debris fate factors.</w:t>
      </w:r>
    </w:p>
    <w:p>
      <w:r>
        <w:t>POSSIBLE 2025: High resolution soil property maps and their uncertainty for Europe — https://openalex.org/W7110658065</w:t>
      </w:r>
    </w:p>
    <w:p>
      <w:r>
        <w:t>Shared claim-specific concepts: data, uncertainty, high; EU scope visible. This is a provisional connection, not an outcome finding.</w:t>
      </w:r>
    </w:p>
    <w:p>
      <w:r>
        <w:t>Available abstract (not full text): High-resolution, reliable soil data is crucial for addressing climate change and sustainable land management. Integrating high-resolution remote sensing data, such as from the Copernicus Sentinel fleet, is essential for improving accuracy and relevance. This study presents an overview of our Digital Soil Mapping (DSM) approach and its innovations. We combine satellite imagery, environmental covariates (e.g., elevation, weather data), and ground truth observations (e.g., LUCAS and other European and national datasets) to create high-resolution soil property maps using statistical models. These maps encompass primary properties (e.g., organic carbon, pH, texture), derived properties, and soil health indicators. We used the Soil Composite Mapping Processor (SCMaP) to derive soil reflectance composites from Sentinel-2 time series. These composites aid in identifying bare soil areas and estimating their spectral reflectance, spectral dynamics and frequency of occurrence, serving as a proxy for land management. Random Forest models, in particular Quantile Random Forests for uncertainty assessment, are employed to predict soil properties. This study delves into the advantages and challenges of using high-resolution remote sensing data with limited ground truth data. We also provide insights into product uncertainty assessment at a continental scale, including accuracy, spatial pattern</w:t>
      </w:r>
    </w:p>
    <w:p>
      <w:r>
        <w:t>POSSIBLE 2025: Assessing data uncertainty in large-scale energy model — https://doi.org/10.26868/25222708.2025.1706</w:t>
      </w:r>
    </w:p>
    <w:p>
      <w:r>
        <w:t>Shared claim-specific concepts: data, uncertainty, high; EU scope visible. This is a provisional connection, not an outcome finding.</w:t>
      </w:r>
    </w:p>
    <w:p>
      <w:r>
        <w:t>Available abstract (not full text): National building renovation plans are a central element of the newly approved Energy Performance of Buildings Directive (European Commission, 2024). This plan will offer a comprehensive overview of the energy and environmental performance of both residential and non-residential buildings. To effectively map the energy status of the urban building stocks, it is useful to analyse building typologies that represent various climatic zones, building uses, and construction periods.Urban Building Energy Models (UBEMs) require vast amounts of data, which are often limited and inaccurate. Privacy policies significantly restrict data availability, impacting access to building information on a city-wide scale (HosseiniHaghighi et al., 2022; Johari et al., 2023). To address data uncertainty in large-scale energy analysis, collected data are used to create building archetypes (BAs). The BA approach strikes a balance between reducing complexity and enhancing the model’s accuracy in energy analysis. The energy performance certificates (EPCs) represent a core source of information to bridge the data uncertainty in large-scale analyses.Given the significant data uncertainty associated with generating BAs, deeper analysis of the effects of key input data deviations on energy performance assessment is necessary. This study begins with the classification of data in UBEMs, aiming to identify the e</w:t>
      </w:r>
    </w:p>
    <w:p>
      <w:r>
        <w:t>POSSIBLE 2025: Data Uncertainty of Flood Susceptibility Using Non-Flood Samples — https://doi.org/10.3390/rs17030375</w:t>
      </w:r>
    </w:p>
    <w:p>
      <w:r>
        <w:t>Shared claim-specific concepts: data, uncertainty, three, high, low, factors; EU scope not established. This is a provisional connection, not an outcome finding.</w:t>
      </w:r>
    </w:p>
    <w:p>
      <w:r>
        <w:t>Available abstract (not full text): Flood susceptibility provides scientific support for flood prevention planning and infrastructure development by identifying and assessing flood-prone areas. The uncertainty posed by non-flood sample datasets remains a key challenge in flood susceptibility mapping. Therefore, this study proposes a novel sampling method for non-flood points. A flood susceptibility model is constructed using a machine learning algorithm to examine the uncertainty in flood susceptibility due to non-flood point selection. The influencing factors of flood susceptibility are analyzed through interpretable models. Compared to non-flood datasets generated by random sampling with the buffer method, the non-flood dataset constructed using the spatial range identified by the frequency ratio model and sampling method of one-class support vector machine achieves higher accuracy. This significantly improves the simulation accuracy of the flood susceptibility model, with an accuracy increase of 24% in the ENSEMBLE model. (2) In constructing the flood susceptibility model using the optimal non-flood dataset, the ENSEMBLE learning algorithm demonstrates higher accuracy than other machine learning methods, with an AUC of 0.95. (3) The northern and southeastern regions of the Zijiang River Basin have extremely high flood susceptibility. Elevation and drainage density are identified as key factors causing high flo</w:t>
      </w:r>
    </w:p>
    <w:p>
      <w:r>
        <w:t>POSSIBLE 2024: Uncertainty Estimation of Lake Ice Cover Maps From a Random Forest Classifier Using MODIS TOA Reflectance Data — https://doi.org/10.1109/jstars.2024.3518306</w:t>
      </w:r>
    </w:p>
    <w:p>
      <w:r>
        <w:t>Shared claim-specific concepts: data, uncertainty, different; EU scope visible. This is a provisional connection, not an outcome finding.</w:t>
      </w:r>
    </w:p>
    <w:p>
      <w:r>
        <w:t>Available abstract (not full text): This article presents a method to improve the usability of lake ice cover (LIC) maps generated from moderate resolution imaging spectroradiometer (MODIS) top-of-atmosphere reflectance data by providing estimates of aleatoric and epistemic uncertainty. We used a random forest (RF) classifier, which has been shown to have superior performance in classifying lake ice, open water, and clouds, to generate daily LIC maps with inherent (aleatoric) and model (epistemic) uncertainties. RF allows for the learning of different hypotheses (trees), producing diverse predictions that can be utilized to quantify aleatoric and epistemic uncertainty. We use a decomposition of Shannon entropy to quantify these uncertainties and apply pixel-based uncertainty estimation. Our results show that using uncertainty values to reject the classification of uncertain pixels significantly improves recall and precision. The method presented herein is under consideration for integration into the processing chain implemented for the production of daily LIC maps as part of the European Space Agency's Climate Change Initiative (CCI+) Lakes project.</w:t>
      </w:r>
    </w:p>
    <w:p>
      <w:r>
        <w:t>POSSIBLE 2024: Voicing Uncertainty: How Speech, Text, and Visualizations Influence Decisions with Data Uncertainty — https://doi.org/10.1109/uncertaintyvisualization63963.2024.00007</w:t>
      </w:r>
    </w:p>
    <w:p>
      <w:r>
        <w:t>Shared claim-specific concepts: data, uncertainty, factors; EU scope not established. This is a provisional connection, not an outcome finding.</w:t>
      </w:r>
    </w:p>
    <w:p>
      <w:r>
        <w:t>Available abstract (not full text): Understanding and communicating data uncertainty is crucial for informed decision-making across various domains, including finance, healthcare, and public policy. This study investigates the impact of gender and acoustic variables on decision-making, confidence, and trust through a crowdsourced experiment. We compared visualization-only representations of uncertainty to text-forward and speech-forward bimodal representations, including multiple synthetic voices across gender. Speech-forward representations led to an increase in risky decisions, and text-forward representations led to lower confidence. Contrary to prior work, speech-forward forecasts did not receive higher ratings of trust. Higher normalized pitch led to a slight increase in decision confidence, but other voice characteristics had minimal impact on decisions and trust. An exploratory analysis of accented speech showed consistent results with the main experiment and additionally indicated lower trust ratings for information presented in Indian and Kenyan accents. The results underscore the importance of considering acoustic and contextual factors in presentation of data uncertainty.</w:t>
      </w:r>
    </w:p>
    <w:p>
      <w:r>
        <w:t>POSSIBLE 2023: Uncertainty of atmospheric scattering functions relevant for Satellite Ocean Colour Radiometry in European Seas — https://doi.org/10.1080/01431161.2023.2247531</w:t>
      </w:r>
    </w:p>
    <w:p>
      <w:r>
        <w:t>Shared claim-specific concepts: data, uncertainty, three, ocean; EU scope visible. This is a provisional connection, not an outcome finding.</w:t>
      </w:r>
    </w:p>
    <w:p>
      <w:r>
        <w:t>Available abstract (not full text): Uncertainty assessment of Ocean Colour Radiometry (OCR) usually relies on the comparison between satellite marine reflectance and concurrent in situ radiometric measurements. However, when dealing with the standard atmospheric correction (AC), uncertainty of marine reflectance originates fundamentally from two sources: (i) uncertainty of the Level-1 calibration at top of the atmosphere, and (ii) uncertainty of the atmospheric scattering functions computed by the AC (atmospheric path reflectance and transmittance). The aim of this alternative work is thus to assess the uncertainty of these scattering functions, thanks to inherent optical properties of aerosols extracted from the AErosol Robotic NETwork (AERONET) and ingested in a radiative transfer code. The study is conducted for the MEdium Resolution Imaging Spectrometer (MERIS), over three AERONET sites selected in European seas (Aqua Alta Oceanographic Tower, AAOT; Gustav Dalen Tower, GDT; Lampedusa) and Lanai in the Pacific Ocean as a reference. We develop an uncertainty budget based on the statistical analysis of the errors between MERIS and AERONET-derived data. At 443 nm, uncertainty of MERIS atmospheric path reflectance due to random effects is estimated around 2%, while that of total atmospheric transmittance is between 0.6% and 1%. Propagation of these uncertainties to OCR is achieved following metrological principles</w:t>
      </w:r>
    </w:p>
    <w:p>
      <w:r>
        <w:t>POSSIBLE 2023: Data for paper "Magnetohydrodynamic Equilibrium Reconstruction with Consistent Uncertainties" — https://doi.org/10.5281/zenodo.8063360</w:t>
      </w:r>
    </w:p>
    <w:p>
      <w:r>
        <w:t>Shared claim-specific concepts: data, uncertainty, low; EU scope visible. This is a provisional connection, not an outcome finding.</w:t>
      </w:r>
    </w:p>
    <w:p>
      <w:r>
        <w:t>Available abstract (not full text): Data and scripts for the conference paper "Magnetohydrodynamic Equilibrium Reconstruction with Consistent Uncertainties" for the 42nd International Workshop on Bayesian Inference and Maximum Entropy Methods in Science and Engineering. Abstract: We report on progress towards a probabilistic framework for consistent uncertainty quantification and propagation in analysis and numerical modeling of physics in magnetically confined plasmas with stellarator symmetry. A frequent starting point in this process is the calculation of a magnetohydrodynamic equilibrium from plasma profiles. Equilibrium and profiles are typically reconstructed from experimental data. What sets equilibrium reconstruction apart from usual inverse problems is that profiles are given as functions over a magnetic flux derived from the magnetic field, rather than spatial coordinates. This makes it a fixed-point problem that is traditionally left inconsistent or solved iteratively in a least-squares sense[1–3]. The aim here is towards a straightforward and transparent process to quantify and propagate uncertainties and their correlations for function-valued fields and profiles in this setting. We propose a framework that utilizes a low dimensional prior distribution of equilibria, constructed with principal component analysis. A surrogate of the forward model[4] is trained to enable faster sampling. Funding: The pr</w:t>
      </w:r>
    </w:p>
    <w:p>
      <w:r>
        <w:t>POSSIBLE 2022: Validation of ocean color remote sensing reflectance data: Analysis of results at European coastal sites — https://doi.org/10.1016/j.rse.2022.113153</w:t>
      </w:r>
    </w:p>
    <w:p>
      <w:r>
        <w:t>Shared claim-specific concepts: data, uncertainty, high, ocean; EU scope visible. This is a provisional connection, not an outcome finding.</w:t>
      </w:r>
    </w:p>
    <w:p>
      <w:r>
        <w:t>Available abstract (not full text): From its initial measurements 20 years ago, the Ocean Color component of the Aerosol Robotic Network (AERONET-OC) has produced large validation data sets to assess the ocean color satellite data records. This study, applied to the standard atmospheric correction algorithm l2gen of the National Aeronautics and Space Administration, analyses the populations of residuals (differences between matching satellite and field data) of remote sensing reflectance RRS and, secondarily, aerosol optical thickness τa, and their validation statistics associated with data collected at seven AERONET-OC sites located in European coastal regions for six satellite missions. Validation statistics do not appear particularly sensitive to observation conditions, represented by viewing and solar geometry, aerosol optical thickness τa, Ångström exponent or water properties indexed by RRS, the most obvious exceptions being a systematic increase of the residuals for high solar zenith angles for all missions and sites. Residuals of RRS and τa tend to be inversely correlated as deviations in aerosol radiance and water-leaving radiance compensate each other. The spectra of a RRS uncertainty estimate σ decrease in a monotonous manner from 0.7 to 1.5 10−3 sr−1 for wavelengths around 412 nm to 0.1–0.35 10−3 sr−1 around 667 nm, with σ usually relatively high for waters associated with high amplitudes of RRS. At 4</w:t>
      </w:r>
    </w:p>
    <w:p>
      <w:r>
        <w:t>POSSIBLE 2022: Climate Change and Renewable Energy Generation in Europe—Long-Term Impact Assessment on Solar and Wind Energy Using High-Resolution Future Climate Data and Considering Climate Uncertainties — https://doi.org/10.3390/en15010302</w:t>
      </w:r>
    </w:p>
    <w:p>
      <w:r>
        <w:t>Shared claim-specific concepts: data, uncertainty, three; EU scope visible. This is a provisional connection, not an outcome finding.</w:t>
      </w:r>
    </w:p>
    <w:p>
      <w:r>
        <w:t>Available abstract (not full text): Climate change can strongly affect renewable energy production. The state of the art in projecting future renewable energy generation has focused on using regional climate prediction. However, regional climate prediction is characterized by inherent uncertainty due to the complexity of climate models. This work provides a comprehensive study to quantify the impact of climate uncertainties in projecting future renewable energy potential over five climate zones of Europe. Thirteen future climate scenarios, including five global climate models (GCMs) and three representative concentration pathways (RCPs), are downscaled by the RCA4 regional climate model (RCM) over 90 years (2010–2099), divided into three 30-year periods. Solar and wind energy production is projected considering short-/long-term climate variations and uncertainties in seven representative cities (Narvik, Gothenburg, Munich, Antwerp, Salzburg, Valencia, and Athens). The results showed that the uncertainty caused by GCMs has the most substantial impact on projecting renewable energy generation. The variations due to GCM selection can become even larger than long-term climate change variations over time. Climate change uncertainties lead to over 23% and 45% projection differences for solar PV and wind energy potential, respectively. While the signal of climate change in solar radiation is weak between scenarios and o</w:t>
      </w:r>
    </w:p>
    <w:p>
      <w:r>
        <w:t>POSSIBLE 2021: Competitive balance measures and the uncertainty of outcome hypothesis in European football — https://doi.org/10.1093/imaman/dpab027</w:t>
      </w:r>
    </w:p>
    <w:p>
      <w:r>
        <w:t>Shared claim-specific concepts: data, uncertainty, different; EU scope visible. This is a provisional connection, not an outcome finding.</w:t>
      </w:r>
    </w:p>
    <w:p>
      <w:r>
        <w:t>Available abstract (not full text): Abstract Competitive balance is an important issue in professional sport in general and European football in particular. However, competitive balance is difficult to quantify because competitiveness is multi-dimensional and particular sports are distinctive. We aim to identify the most appropriate index for a holistic view of competitive balance in European football. We use data from eight domestic European football leagues over a time span of 60 years. The indices we consider are specifically designed to capture competitiveness at different levels of performance and in this way reflect the peculiarities of European football leagues. Our findings support the longstanding uncertainty of outcome hypothesis. A bivariate index that captures competitiveness in the top K places is shown to have the highest association with attendance. A seasonal index of champions’ domination is also found to have a large association with attendance. Finally, ranking mobility is found to have a slightly higher association with attendance than seasonal performance. These results imply that sports policy makers should use these indices to assess strategic decisions that may influence competitive balance.</w:t>
      </w:r>
    </w:p>
    <w:p>
      <w:r>
        <w:t>POSSIBLE 2021: Data-Uncertainty Guided Multi-Phase Learning for Semi-Supervised Object Detection — https://doi.org/10.1109/cvpr46437.2021.00454</w:t>
      </w:r>
    </w:p>
    <w:p>
      <w:r>
        <w:t>Shared claim-specific concepts: data, uncertainty, different; EU scope not established. This is a provisional connection, not an outcome finding.</w:t>
      </w:r>
    </w:p>
    <w:p>
      <w:r>
        <w:t>Available abstract (not full text): In this paper, we delve into semi-supervised object detection where unlabeled images are leveraged to break through the upper bound of fully-supervised object detection. Previous semi-supervised methods based on pseudo labels are severely degenerated by noise and prone to overfit to noisy labels, thus are deficient in learning different unlabeled knowledge well. To address this issue, we propose a data-uncertainty guided multi-phase learning method for semisupervised object detection. We comprehensively consider divergent types of unlabeled images according to their difficulty levels, utilize them in different phases, and ensemble models from different phases together to generate ultimate results. Image uncertainty guided easy data selection and region uncertainty guided RoI Re-weighting are involved in multi-phase learning and enable the detector to concentrate on more certain knowledge. Through extensive experiments on PASCAL VOC and MS COCO, we demonstrate that our method behaves extraordinarily compared to baseline approaches and outperforms them by a large margin, more than 3% on VOC and 2% on COCO.</w:t>
      </w:r>
    </w:p>
    <w:p>
      <w:r>
        <w:t>POSSIBLE 2021: An improved TROPOMI tropospheric NO 2 research product over Europe — https://doi.org/10.5194/amt-14-7297-2021</w:t>
      </w:r>
    </w:p>
    <w:p>
      <w:r>
        <w:t>Shared claim-specific concepts: data, uncertainty, three, high, low, average; EU scope visible. This is a provisional connection, not an outcome finding.</w:t>
      </w:r>
    </w:p>
    <w:p>
      <w:r>
        <w:t xml:space="preserve">Available abstract (not full text): Abstract. Launched in October 2017, the TROPOspheric Monitoring Instrument (TROPOMI) aboard Sentinel-5 Precursor provides the potential to monitor air quality over point sources across the globe with a spatial resolution as high as 5.5 km × 3.5 km (7 km × 3.5 km before 6 August 2019). The nitrogen dioxide (NO2) retrieval algorithm for the TROPOMI instrument consists of three steps: the spectral fitting of the slant column, the separation of stratospheric and tropospheric contributions, and the conversion of the slant column to a vertical column using an air mass factor (AMF) calculation. In this work, an improved tropospheric NO2 retrieval algorithm from TROPOMI measurements over Europe is presented. The stratospheric estimation is implemented using the STRatospheric Estimation Algorithm from Mainz (STREAM), which was developed as a verification algorithm for TROPOMI and does not require chemistry transport model data as input. A directionally dependent STREAM (DSTREAM) is developed to correct for the dependency of the stratospheric NO2 on the viewing geometry by up to 2 × 1014 molec/cm2. Applied to synthetic TROPOMI data, the uncertainty in the stratospheric column is 3.5 × 1014 molec/cm2 for polluted conditions. Applied to actual measurements, the smooth variation of stratospheric NO2 at low latitudes is conserved, and stronger stratospheric variation at higher latitudes are </w:t>
      </w:r>
    </w:p>
    <w:p>
      <w:pPr>
        <w:pStyle w:val="Heading2"/>
      </w:pPr>
      <w:r>
        <w:t>Renewables in the European power system and the impact on system rotational inertia</w:t>
      </w:r>
    </w:p>
    <w:p>
      <w:r>
        <w:t>Original source (2020): https://doi.org/10.1016/j.energy.2020.117776</w:t>
      </w:r>
    </w:p>
    <w:p>
      <w:r>
        <w:t>Original wording (abstract; indexed_source_text_not_full_document_verified): Two scenarios with divergent decarbonisation ambitions were simulated for the year 2030 using a unit commitment and economic dispatch model. The key findings show that an increasing inertia constraint elevates total generation costs, variable renewable energy curtailment and carbon dioxide emissions across Europe for an ambitious decarbonisation scenario.</w:t>
      </w:r>
    </w:p>
    <w:p>
      <w:r>
        <w:t>POSSIBLE 2026: ETS Price Signal in the Power Sector: Evidence on Decarbonisation and Policy Overlap — https://doi.org/10.32388/iogu7j</w:t>
      </w:r>
    </w:p>
    <w:p>
      <w:r>
        <w:t>Shared claim-specific concepts: divergent, decarbonisation, renewable, carbon; EU scope visible. This is a provisional connection, not an outcome finding.</w:t>
      </w:r>
    </w:p>
    <w:p>
      <w:r>
        <w:t xml:space="preserve">Available abstract (not full text): We examine whether the EU Emissions Trading System (EU ETS) carbon price has effectively operated as a direct driver of renewable-energy deployment in the European electricity sector over the period 2013-2024 and investigate the interaction between carbon pricing, renewable investment dynamics and wholesale electricity-price formation within marginal pricing systems. Combining panel econometric analysis on installed renewable capacity across European Member States, a cross-country survey of 180 firms in six EU ETS countries, and an hourly market-based estimation of inframarginal rents on a panel of eight Member States, the chapter finds that public support mechanisms emerge as the only consistently robust and statistically significant driver of renewable-capacity expansion. The EU Allowance (EUA) price does not exhibit a statistically significant direct effect on renewable deployment after controlling for structural and market variables. In electricity markets, the ETS primarily operates through mechanisms that shape wholesale electricity prices and carbon-cost pass-through, generating persistent inframarginal revenues for low-carbon technologies through marginal price formation. A comparison between regulatory CO₂ factors used for indirect ETS cost compensation and observed market-based pass-through indicators reveals materially divergent magnitudes across Member States, with </w:t>
      </w:r>
    </w:p>
    <w:p>
      <w:r>
        <w:t>POSSIBLE 2026: From pollution haven to decarbonisation supplier: the reversal of China's export function — https://doi.org/10.22541/essoar.15008255/v1</w:t>
      </w:r>
    </w:p>
    <w:p>
      <w:r>
        <w:t>Shared claim-specific concepts: two, decarbonisation, carbon; EU scope not established. This is a provisional connection, not an outcome finding.</w:t>
      </w:r>
    </w:p>
    <w:p>
      <w:r>
        <w:t>Available abstract (not full text): For two decades, China's export-driven growth made it the world's paradigmatic pollution haven: a substantialshare of itsairpollution and carbon emissions was embodied in goods consumed abroad. Yet nearly all evidence for this narrative predates 2017, missing China's clean-air actions and the rise of its clean-technology exports. Here we reconstruct emissions embodied in China's exports from 1990 to 2024 using the GLORIA multiregional supply-and-use tables together with the MEIC emission inventory. We find an asymmetric decoupling: embodied SO , NOx and primary PM2.5 have fallen by 58–89% 2 from their peaks, while embodied COremains near its maximum. Decomposition shows 2 thepollutiondeclinewasachievedinsituthroughintensityreductions,notthrough relocation of foreign demand. Meanwhile, exports of photovoltaics, batteries and electric vehiclesnowavoid,overtheirlifetimes,20–43timestheCOemittedintheir 2 manufacture (10–22 at half displacement, 12–36 with decarbonising grids). In 2024, the operatingstockoftheseproductsavoidedCOequalto27%ofexport-embodied 2 emissions (forecast-based); a functional reversal, not yet a net one. China's export sector hasnotmerelycleanedup;itsenvironmentalfunctionhasreversed,withdirect implications for carbon-border policy and for development pathways elsewhere.</w:t>
      </w:r>
    </w:p>
    <w:p>
      <w:r>
        <w:t>POSSIBLE 2026: Decarbonisation of Kazakhstan's Economy: From Climate Goals to Practical Outcomes — https://doi.org/10.52821/2789-4401-2026-3-7-27</w:t>
      </w:r>
    </w:p>
    <w:p>
      <w:r>
        <w:t>Shared claim-specific concepts: decarbonisation, findings, carbon; EU scope not established. This is a provisional connection, not an outcome finding.</w:t>
      </w:r>
    </w:p>
    <w:p>
      <w:r>
        <w:t xml:space="preserve">Available abstract (not full text): Purpose of the research This study examines the decarbonization implementation gap in resource-rich Kazakhstan, understood as the distance between formally stated climate ambition and observed emissions outcomes. Using the United Kingdom as a contrasting governance benchmark, it investigates how legal anchoring, policy-instrument coherence, Emissions Trading Scheme (ETS) credibility, and enforcement capacity shape the translation of climate pledges into measurable low-carbon outcomes. Methodology The paper employs comparative institutional analysis, combining policy document review, case-based evidence, and secondary statistical data. It compares Kazakhstan and the United Kingdom across a governance pathway linking climate targets, legal frameworks, policy instruments, monitoring, reporting and verification systems, enforcement mechanisms, and emissions trajectories. Originality/value of the research The study contributes to comparative climate-governance literature by shifting attention from climate ambition to implementation capacity. It extends the implementation-gap perspective to decarbonization as a governance challenge, particularly for resource-rich economies exposed to fossil-fuel dependence, carbon-intensive exports, and external climate-trade pressures such as Carbon Border Adjustment Mechanism (CBAM). Findings The analysis shows that Kazakhstan’s implementation gap </w:t>
      </w:r>
    </w:p>
    <w:p>
      <w:r>
        <w:t>POSSIBLE 2025: Decarbonisation efforts — https://doi.org/10.4337/9781035356249.00008</w:t>
      </w:r>
    </w:p>
    <w:p>
      <w:r>
        <w:t>Shared claim-specific concepts: decarbonisation, key, renewable, energy, carbon; EU scope not established. This is a provisional connection, not an outcome finding.</w:t>
      </w:r>
    </w:p>
    <w:p>
      <w:r>
        <w:t>Available abstract (not full text): This chapter explores the escalating global challenge of carbon emissions and highlights the urgent need for coordinated action. The chapter begins by examining the magnitude of global carbon emissions and the imperative for rapid decarbonisation to mitigate climate change. It highlights international efforts, showcasing progress and achievements made to date. A key focus is the critical role of decarbonisation in the energy sector and energy-intensive industries, emphasising sectors like cement, iron and steel, petroleum refining, glass production, and manufacturing, which are significant contributors to greenhouse gas emissions. The necessity of transitioning to clean energy alternatives is emphasised, comparing the benefits of renewable energy sources to the drawbacks of continued fossil fuel reliance. The chapter concludes by reinforcing the urgent need for innovative strategies and clean energy technologies to combat climate change and achieve a sustainable energy future.</w:t>
      </w:r>
    </w:p>
    <w:p>
      <w:r>
        <w:t>POSSIBLE 2025: Do Energy Security Crises Accelerate Decarbonisation? The Case of REPowerEU — https://doi.org/10.3390/en19010200</w:t>
      </w:r>
    </w:p>
    <w:p>
      <w:r>
        <w:t>Shared claim-specific concepts: decarbonisation, renewable, energy; EU scope visible. This is a provisional connection, not an outcome finding.</w:t>
      </w:r>
    </w:p>
    <w:p>
      <w:r>
        <w:t>Available abstract (not full text): Energy security crises have historically been turning points for energy systems, exposing vulnerabilities, reshaping policy priorities, and boosting technological change. However, whether—and to what extent—such crises accelerate low-carbon transitions remains contested. This paper examines the effects of the 2022 energy crisis on the European Union (EU)’s energy transition, using policy analysis combined with a quantitative assessment of renewable energy trends, forecasts, and targets. We analyse the ambition, implementation, and outcomes of the REPowerEU plan, the main response to the crisis. In an unprecedented move, REPowerEU securitised renewable energy as a means to reduce dependence on Russian energy imports. However, the plan only moderately increased earlier renewable energy targets and did not reverse declining subsidies despite more forceful implementation measures. Its effects have been uneven across technologies. Already accelerating solar may overshoot its targets, onshore wind might only slightly accelerate beyond its current steady growth, and offshore wind remains constrained by economic and institutional uncertainties. Despite increased subsidies for fossil fuels, coal continued declining, oil remained stable, and natural gas dropped. Overall, REPowerEU sustained rather than transformed the EU’s low-carbon transition, illustrating both the potential and limits</w:t>
      </w:r>
    </w:p>
    <w:p>
      <w:r>
        <w:t>POSSIBLE 2025: Decarbonisation and specialisation downgrading: The double harm of GVC integration — https://doi.org/10.1016/j.worlddev.2025.107047</w:t>
      </w:r>
    </w:p>
    <w:p>
      <w:r>
        <w:t>Shared claim-specific concepts: decarbonisation, findings; EU scope not established. This is a provisional connection, not an outcome finding.</w:t>
      </w:r>
    </w:p>
    <w:p>
      <w:r>
        <w:t>Available abstract (not full text): This study explores the double harm of Global Value Chain (GVC) integration by analysing the link between the international division of productive activities and emissions. Methodologically, we propose a framework to disentangle the developmental and sectoral origins of CO 2 emissions within GVCs. By providing a granular decomposition of domestic and foreign contributions, we identify foreign backward linkages as the primary carriers of CO 2 emissions along GVCs, surpassing domestic inputs in their CO 2 footprint. From a within-country perspective, we examine how a country’s internal production structure shapes CO 2 emission profiles across development stages, shedding light on the interplay between economic growth and environmental sustainability. At the cross-country level, we analyse how the changing geography of production, and the ensuing sectoral specialisation, impacts global emissions. The relocation of low-tech and natural resources-based productions to developing countries via GVCs has jointly amplified worldwide emissions and reinforced patterns of industrial and ecological downgrading for developing nations. Implications of our findings entail the coupling of environmental, trade and industrial policies.</w:t>
      </w:r>
    </w:p>
    <w:p>
      <w:r>
        <w:t>POSSIBLE 2025: The de-politicisation of decarbonisation through climate rent: a Marxist critique of the EU emissions trading system — https://doi.org/10.1017/elo.2024.41</w:t>
      </w:r>
    </w:p>
    <w:p>
      <w:r>
        <w:t>Shared claim-specific concepts: two, decarbonisation; EU scope visible. This is a provisional connection, not an outcome finding.</w:t>
      </w:r>
    </w:p>
    <w:p>
      <w:r>
        <w:t>Available abstract (not full text): Abstract The European Union (EU) Emissions Trading System (ETS) is the cornerstone of the EU’s attempt to decarbonise economic production in Europe. This paper questions the power and class relations that are built into the EU’s choice to address the climate crisis through the legal construction of emissions trading. Drawing on Marxist theory, the paper argues that the cost of emission allowances imposed by the ETS is a form of climate rent . In both the choice of this system and its implementation, the EU prioritises capital accumulation in order to protect the competitiveness of EU firms on the global market. This paper argues that the ETS thus jeopardises the progress of decarbonisation on two grounds. First, the EU’s implementation of the ETS has tended to increase the economic wealth of capital by redistributing economic value away from workers and towards the capitalist class. By raising the cost of essential goods, the ETS will likely damage the reputation of climate action and thus jeopardise public support for decarbonisation. Second, the ETS is part of the EU’s indirect approach to climate policy, which seeks to shape the actions of private capital in the direction of climate objectives. However, the severity of climate change calls instead for the use of law and public power to directly and consciously shape the rapid decarbonisation of society.</w:t>
      </w:r>
    </w:p>
    <w:p>
      <w:r>
        <w:t>POSSIBLE 2025: Discourse vs. Decarbonisation: Tracking the Alignment Between EU Climate Rhetoric and National Energy Patterns — https://doi.org/10.3390/en18195304</w:t>
      </w:r>
    </w:p>
    <w:p>
      <w:r>
        <w:t>Shared claim-specific concepts: decarbonisation, key, show, energy; EU scope visible. This is a provisional connection, not an outcome finding.</w:t>
      </w:r>
    </w:p>
    <w:p>
      <w:r>
        <w:t>Available abstract (not full text): This study examines the alignment between the European Union’s climate policy rhetoric and the actual fossil fuel consumption behaviours of its Member States. By combining long-term and short-term time-series data with machine learning classification techniques, the analysis captures dynamic national energy trends and decarbonisation signals. Key innovations include the use of slope acceleration metrics and the identification of label reversals to detect volatility, acceleration, or stagnation in transition trajectories. The results show that, while some countries such as France and Denmark demonstrate consistent structural progress, others show deceleration or reversal, particularly in the use of gas and liquid fuels. This indicates that the relationship between EU-level policy ambition and national implementation is asymmetric and conditionally aligned. This study concludes that ongoing empirical monitoring and targeted diagnostics are essential to prevent conflating symbolic commitments with material change, and provides practical insights for improving climate policy accountability and adaptability across the EU.</w:t>
      </w:r>
    </w:p>
    <w:p>
      <w:r>
        <w:t>POSSIBLE 2024: Decarbonisation scenarios for the European residential sector — https://doi.org/10.1016/j.buildenv.2024.112408</w:t>
      </w:r>
    </w:p>
    <w:p>
      <w:r>
        <w:t>Shared claim-specific concepts: decarbonisation, findings, energy; EU scope visible. This is a provisional connection, not an outcome finding.</w:t>
      </w:r>
    </w:p>
    <w:p>
      <w:r>
        <w:t>Available abstract (not full text): The urgency to combat global climate change has prompted the implementation of many regional and national policies, with the European Green Deal standing out as one of the most significant initiatives. We use the recently developed TIMES-Europe energy system model to study the pivotal role of the residential sector in achieving the ambitious energy savings goal formulated by the EU in the broad framework of its Fit-for-55 policy package. We observe improved energy efficiency in households across a set of scenarios that differ in terms of climate policy ambition and level of collaboration between European countries. We find that, by 2030, residential buildings can realize up to 3000 PJ in overall energy savings. Cross-country collaboration may yield an additional 11% reduction in residential energy consumption, which could increase to 18% when combined with dwelling retrofitting subsidies. Our analysis of the transformation of the residential fuel mix, particularly the interplay between biomass and natural gas usage, reveals a trade-off between short-term energy efficiency gains and long-term CO 2 reduction goals. In the short run, scenarios lacking stringent climate control measures exhibit higher energy savings in comparison to those embracing ambitious climate targets. This initial difference, however, diminishes over time: energy savings from climate-compliant scenarios near</w:t>
      </w:r>
    </w:p>
    <w:p>
      <w:r>
        <w:t>POSSIBLE 2024: Tourism territories: challenges for decarbonisation — https://doi.org/10.4067/s0718-235x2024000200192</w:t>
      </w:r>
    </w:p>
    <w:p>
      <w:r>
        <w:t>Shared claim-specific concepts: decarbonisation, commitment, show, energy; EU scope not established. This is a provisional connection, not an outcome finding.</w:t>
      </w:r>
    </w:p>
    <w:p>
      <w:r>
        <w:t>Available abstract (not full text): This paper aims to analyse the energy challenges faced by tourism territories in a critical climate scenario.The methodology is based on consulting secondary information sources from government reports, regulatory frameworks, and specialized bibliography.The results show that the main challenges for decarbonization are linked to the continued growth of tourism, the institutionalization of interests, policy formulation, difficulty in introducing improvements and radical changes, a focus on technologies, and the dissemination of scientific and institutional knowledge.Thus, it is concluded that current tourism appropriation is incompatible with global climate objectives, and to overcome the six challenges outlined above, a commitment from all stakeholders is needed.In addition, each territory presents different challenges to achieve this, as these transition processes involve different factors (economic, political, social, cultural, technological, and environmental) that affect each other and involve multiple actors with different interests, logics, and power capacities.</w:t>
      </w:r>
    </w:p>
    <w:p>
      <w:r>
        <w:t>POSSIBLE 2023: Decarbonisation strategies in industry: going beyond clusters — https://doi.org/10.1007/s11625-023-01313-4</w:t>
      </w:r>
    </w:p>
    <w:p>
      <w:r>
        <w:t>Shared claim-specific concepts: decarbonisation, findings, energy, carbon; EU scope not established. This is a provisional connection, not an outcome finding.</w:t>
      </w:r>
    </w:p>
    <w:p>
      <w:r>
        <w:t>Available abstract (not full text): Abstract An effective and just industrial transition is necessary both to mitigate climate change and protect jobs, and as a precursor to enable other sectors to decarbonise. Activity is at an early stage and examples of successful sector-wide interventions to decarbonise industry do not yet exist. Governments of industrialised countries are beginning to develop policy and provide funding to support deployment of carbon capture and low-carbon hydrogen infrastructures into high-emitting industrial clusters, but options for sites outside of clusters, denoted here as ‘dispersed sites’, are also required. This paper takes a mixed methods approach to provide the first analysis of the issues facing dispersed industrial sites on their route to decarbonisation and to suggest solutions to the challenges they face. Using the UK as a case study, it first characterises dispersed sites in terms of location, emissions released, sectors involved, and size of companies affected. It then shows how these features mean that simply expanding the geographical scope of the present UK decarbonisation strategy, which focuses on the provision of carbon capture and low-carbon hydrogen, would face a number of challenges and so will need to be broadened to include a wider range of abatement options and other considerations to meet the needs of dispersed sites. While the solutions for each place will be di</w:t>
      </w:r>
    </w:p>
    <w:p>
      <w:r>
        <w:t>POSSIBLE 2023: Reinforcing the Paris Agreement: Ambitious scenarios for the decarbonisation of the Central Asian and Caspian region — https://doi.org/10.1016/j.rset.2023.100048</w:t>
      </w:r>
    </w:p>
    <w:p>
      <w:r>
        <w:t>Shared claim-specific concepts: decarbonisation, show, energy, carbon; EU scope visible. This is a provisional connection, not an outcome finding.</w:t>
      </w:r>
    </w:p>
    <w:p>
      <w:r>
        <w:t>Available abstract (not full text): For its abundance of fossil resources, the Central Asia and Caspian region plays a crucial role in the energy security of major markets, such as Europe and China. However, this dependence on export added to a firm reliance on fossil fuels also for internal consumption represents a significant challenge for the decarbonisation of the region. In the frame of the Horizon 2020 “PARIS REINFORCE” project, in this paper Authors develop an energy scenario analysis of four major countries located in the region (Azerbaijan, Kazakhstan, Uzbekistan and Turkmenistan), aiming to investigate how ambitious the current regional decarbonisation targets are in the view of the Paris Agreement. A common net-zero emission pathway is also developed to reinforce the regional climate ambition in the long term. As a novelty in the literature, the scenario analysis is co-designed with regional stakeholders through an engagement process that the Authors have carried out from December 2020 to May 2021. The numerical analysis is performed with the support of the TIMES-CAC model, an energy system model dedicated to the Central Asian and Caspian regions and developed by E4SMA. Results show that current regional energy policies are insufficient for achieving ambitious climate targets in the long term. The region should start implementing a rigorous energy planning process today to undergo a radical and rapid e</w:t>
      </w:r>
    </w:p>
    <w:p>
      <w:pPr>
        <w:pStyle w:val="Heading2"/>
      </w:pPr>
      <w:r>
        <w:t>Scenarios for population health inequalities in 2030 in Europe</w:t>
      </w:r>
    </w:p>
    <w:p>
      <w:r>
        <w:t>Original source (2020): https://doi.org/10.1093/eurpub/ckaa165.1288</w:t>
      </w:r>
    </w:p>
    <w:p>
      <w:r>
        <w:t>Original wording (abstract; indexed_source_text_not_full_document_verified): In the EURO-HEALTHY project, funded by Horizon 2020, three 2030 time-horizon scenarios were developed, depicting the key factors that may affect the evolution of PH inequalities across European regions.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organised into coherent scenarios using the Extreme-World Method; and iii) validation of scenario structures and generation of scenario narratives.</w:t>
      </w:r>
    </w:p>
    <w:p>
      <w:r>
        <w:t>POSSIBLE 2026: Soil degradation in Europe is projected to accelerate under changing land use and climate — https://doi.org/10.1038/s44458-026-00064-4</w:t>
      </w:r>
    </w:p>
    <w:p>
      <w:r>
        <w:t>Shared claim-specific concepts: project, factors, across, regions; EU scope visible. This is a provisional connection, not an outcome finding.</w:t>
      </w:r>
    </w:p>
    <w:p>
      <w:r>
        <w:t>Available abstract (not full text):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r>
        <w:t>POSSIBLE 2024: A multi-level and multi-scale design approach supporting sustainable mobility and healthier living: AIR BREAK project in Ferrara, Italy — https://doi.org/10.1080/23748834.2024.2349862</w:t>
      </w:r>
    </w:p>
    <w:p>
      <w:r>
        <w:t>Shared claim-specific concepts: project, funded, key, affect, approach; EU scope visible. This is a provisional connection, not an outcome finding.</w:t>
      </w:r>
    </w:p>
    <w:p>
      <w:r>
        <w:t>Available abstract (not full text): The city of Ferrara, also known as the Italian city of bikes, records alarming levels of air pollutants, primarily from private motorized traffic, despite its cycling rates are amongst the highest in Europe. Local authority, in its commitment to driving improvements to air quality and taking care of citizens’ wellbeing, submitted an ambitious project proposal to European Union program Urban Innovative Actions, AIR BREAK - Co-producing healthy clean commuting air spots in town, which was selected amid hundreds submissions and funded with a total budget of 5 million euros. AIR BREAK tackles urban air pollution through several actions, very different from one another, encompassing multiple scales and domains: from sensor monitoring systems to greenery and street furniture design. The project described in this paper adopted a multi-level design approach acting on both physical and cultural environments, that greatly affect citizens’ behaviour and their everyday choices. Community involvement in mapping air quality as well as public spaces intervention that support sustainable mobility and extend the range of activities that can be carried out in the outdoors are here presented and discussed, as key points for successful implementation and replication in other cities, for a healthier and more attractive public realm.</w:t>
      </w:r>
    </w:p>
    <w:p>
      <w:r>
        <w:t>POSSIBLE 2023: Forty years of soil research funded by the European Commission: Trends and future. A systematic review of research projects — https://doi.org/10.1111/ejss.13423</w:t>
      </w:r>
    </w:p>
    <w:p>
      <w:r>
        <w:t>Shared claim-specific concepts: funded, horizon, three, key, affect; EU scope visible. This is a provisional connection, not an outcome finding.</w:t>
      </w:r>
    </w:p>
    <w:p>
      <w:r>
        <w:t>Available abstract (not full text): Abstract The European Green Deal with its high ambition has set the European Union (EU) on a promising path towards greater soil protection. The EU Soil Strategy 2030, the Biodiversity Strategy 2030, the Farm to Fork Strategy, the Zero Pollution, the Nature Restoration Law and the European Climate Law, among others, include actions to protect our soils. Research and Innovation (R&amp;I) will play a key role in developing new knowledge and tools enabling the transition to healthy soils. The main aim of this paper is to analyse past and near‐future trends in EU's funding for R&amp;I on soil‐related issues. For this purpose, a review of EU‐funded soil projects was conducted based on the data available in the Community Research and Development Information Service and the official portal for European data. Our analysis shows that over the past 40 years, the EU has invested significantly in developing integrated knowledge about the relationships between soil functions and ecosystem services and how human‐induced pressures affect soil health. Following the adoption of the EU Soil Thematic Strategy in 2006, there was an increase in research funding for soil‐related research. Furthermore, our analysis also illustrates an interesting interplay of permanent and changing soil themes. The Horizon Europe Mission ‘A Soil Deal for Europe’, which aims to establish a network of 100 living labs and light</w:t>
      </w:r>
    </w:p>
    <w:p>
      <w:r>
        <w:t>POSSIBLE 2022: The effectiveness of the sports management system in Europe: High achievements, public funding and a healthy lifestyle — https://doi.org/10.14254/2071-789x.2022/15-4/13</w:t>
      </w:r>
    </w:p>
    <w:p>
      <w:r>
        <w:t>Shared claim-specific concepts: three, approach, engaged; EU scope visible. This is a provisional connection, not an outcome finding.</w:t>
      </w:r>
    </w:p>
    <w:p>
      <w:r>
        <w:t>Available abstract (not full text): The article proposes an original approach to evaluating the effectiveness of the sports management system, which differs from the classical linear and non-linear optimization methods due to its use of quantile regression models. Three main indicators were chosen for creating the quantile regressions: (i) number of participants in the Olympic Games - as a feature of the effectiveness of the high-achievement sports; (ii) total number of people engaged in sports - as a feature of an effective mass sports system, which ensures a healthy lifestyle of the population; and (iii) state expenses on recreational and sports services. The quality of quantile regressions was validated by the Fisher test and the two-factor variance analysis. The research focused on the data of 30 European countries, which officially and publicly provide access to statistical reports on these issues. The countries were divided into two groups with above-average and below-average effectiveness of the sports management system. Two hypotheses were proposed and tested in the study. Hypothesis H1 was that the effectiveness of high-achievement sports depends on the amount of state funding for developing the sports industry. Research results confirmed this hypothesis for countries with an above-average level of sports management system effectiveness, but refuted it for the other group. Hypothesis H2 stated that the m</w:t>
      </w:r>
    </w:p>
    <w:p>
      <w:r>
        <w:t>POSSIBLE 2022: Collaborative development of composite indices from qualitative value judgements: The EURO-HEALTHY Population Health Index model — https://doi.org/10.1016/j.ejor.2022.05.037</w:t>
      </w:r>
    </w:p>
    <w:p>
      <w:r>
        <w:t>Shared claim-specific concepts: euro-healthy, project, developed, key, inequalities, across; EU scope visible. This is a provisional connection, not an outcome finding.</w:t>
      </w:r>
    </w:p>
    <w:p>
      <w:r>
        <w:t>Available abstract (not full text): Promoting participation and combining evidence with expert knowledge in constructing composite indices that can be meaningfully interpreted are key open challenges identified in performance measurement literature. To address them, this article proposes a sociotechnical decision-aid process, under a collaborative value-modelling framework, rooted in both process consultation and multicriteria value measurement principles. It consists of two phases (structuring and model building), each one developed in a sequence of non-face-to-face (Web-Delphi) and face-to-face (decision conferencing) group processes, designed to allow for increased participation. Performance indicators are selected and structured in a value-tree (phase one), upon which a group hierarchical additive value-function model is built (phase two), supported by the MACBETH multicriteria decision-support system. Collaborative questioning protocols allow to elicit and reconcile individual qualitative value judgements, in a Web-Delphi platform. The collective knowledge thus acquired is used in decision conferencing with a core group to define value functions and weights. Extensive sensitivity and robustness analyses serve to test the requisiteness of the model, giving rise to a shared structure of composite indices. The proposed approach was shaped within the EURO-HEALTHY project, to create a Population Health Index inte</w:t>
      </w:r>
    </w:p>
    <w:p>
      <w:r>
        <w:t>POSSIBLE 2022: (Healthy) Aging Patterns in Europe: A Multistate Health Transition Approach — https://doi.org/10.1007/s12062-022-09403-4</w:t>
      </w:r>
    </w:p>
    <w:p>
      <w:r>
        <w:t>Shared claim-specific concepts: factors, across, approach; EU scope visible. This is a provisional connection, not an outcome finding.</w:t>
      </w:r>
    </w:p>
    <w:p>
      <w:r>
        <w:t xml:space="preserve">Available abstract (not full text): We explore patterns and determinants of health transition probabilities by combining outcomes of morbidity and mortality to examine different aging patterns across Europe, and to ascertain how individual socio-demographic characteristics modify these patterns. We use panel data from the Survey of Health, Ageing and Retirement in Europe (2004- 2017) for 76,536 individuals aged 50 + in 20 European countries who participated in at least two waves. All transition probabilities were calculated applying a multistate analytical approach. Our findings show significant gender, education, and cohort differences in health transition probabilities and marked cross-country group differences. Central and Northern European countries present lower probabilities of health deterioration than Southern and, especially, Eastern European countries. Having a high level of education, living in Central Europe, and being younger are associated with lower probabilities of health deterioration and, if any, a higher probability of being restored to good health. We found less evidence of differences when transitions end in death. Our study contributes to this line of research by implementing a multistate approach using European harmonized panel dataset, to examine the effects of birth cohort, educational attainment and gender differences on health transitions. Our findings point to the need to consider the </w:t>
      </w:r>
    </w:p>
    <w:p>
      <w:r>
        <w:t>POSSIBLE 2021: PeRsOnalised nutriTion for hEalthy livINg: The PROTEIN project — https://doi.org/10.1111/nbu.12482</w:t>
      </w:r>
    </w:p>
    <w:p>
      <w:r>
        <w:t>Shared claim-specific concepts: project, funded, developed, approach; EU scope visible. This is a provisional connection, not an outcome finding.</w:t>
      </w:r>
    </w:p>
    <w:p>
      <w:r>
        <w:t>Available abstract (not full text): Abstract Personalised nutrition is a novel public health strategy aiming to promote positive diet and lifestyle changes. Tailored dietary and physical activity advice may be more appropriate than a generalised ‘one‐size‐fits‐all’ approach as it is more biologically relevant to the individual. Information and computing technology, smartphones and mobile applications have become an integral part of modern life and thereby present the opportunity for novel methods to encourage individuals to lead a healthier lifestyle. This article introduces the European Union‐funded PROTEIN project (PeRsOnalised nutriTion for hEalthy livINg) consortium and introduces the associated work packages. The primary objective of the PROTEIN project is to produce a novel adaptable mobile application suite based on sound nutrition and physical activity advice from experts in their field, accessible to all population groups, with differing health outcomes, whose behaviour can be tracked with a variety of sensors and health hazard perception. The mobile application ‘ecosystem’ that will be developed by the consortium includes a platform, mobile suite, cloud services, artificial intelligence advisor, game suite, modelling of expert’s knowledge, users’ behaviour data collection, data analysis and a dashboard for healthcare professionals. It is proposed that users will find the provision of personalised nutrit</w:t>
      </w:r>
    </w:p>
    <w:p>
      <w:r>
        <w:t>POSSIBLE 2021: Citizen preferences regarding the public funding of projects promoting a healthy body weight among people with a low income — https://doi.org/10.1016/j.socscimed.2021.114015</w:t>
      </w:r>
    </w:p>
    <w:p>
      <w:r>
        <w:t>Shared claim-specific concepts: project, funded, three; EU scope not established. This is a provisional connection, not an outcome finding.</w:t>
      </w:r>
    </w:p>
    <w:p>
      <w:r>
        <w:t>Available abstract (not full text): Overweight and obesity are a growing problem, especially among people with a low income. Policymakers aspire to alleviate this problem by implementing publicly funded projects. This study has three aims: 1) to explore citizen preferences regarding the public funding of projects promoting a healthy body weight among people with a low income, 2) to identify whether such preferences differ between citizens with a low income and those with a higher income, and 3) to identify the reasons underlying these preferences. We conducted a Participatory Value Evaluation (PVE) among 1053 Dutch citizens to achieve these aims. In an online choice experiment, respondents were asked to advise on the implementation of eight different projects that encourage a healthy body weight among citizens with a low income, with a total resource constraint of 100,000 euros. The projects were 1) lifestyle coaching including sports, 2) lifestyle coaching without sports, 3) local sports coach, 4) fruit and vegetable boxes, 5) bariatric surgery, 6) improving the living environment, 7) courses on healthy lifestyles, and 8) sports vouchers. We used the "Multiple Discrete-Continuous Extreme Value" model to estimate the preferences of respondents towards these eight projects. Fruit and vegetable boxes and sports vouchers were the most popular projects, while bariatric surgery was least popular. Respondents with a lo</w:t>
      </w:r>
    </w:p>
    <w:p>
      <w:pPr>
        <w:pStyle w:val="Heading2"/>
      </w:pPr>
      <w:r>
        <w:t>Scenarios for the Development of Multimodal Transport in the TRITIA Cross-Border Area</w:t>
      </w:r>
    </w:p>
    <w:p>
      <w:r>
        <w:t>Original source (2020): https://doi.org/10.3390/su12177021</w:t>
      </w:r>
    </w:p>
    <w:p>
      <w:r>
        <w:t>Original wording (abstract; indexed_source_text_not_full_document_verified): Therefore, the purpose of the paper is to identify a set of factors determining the development of multimodal transport within the cross-border area of TRITIA (The European Grouping of Territorial Cooperation of the four regional governments of Moravian-Silesian Region (CZ), Opole Voivodeship (PL), Silesian Voivodeship (PL) and Žilina Self-governing Region (SK)) and to develop four scenarios, the execution of which in the 2030 perspective depends on the implementation of cross-border infrastructure and organisational projects and the increasing level of cooperation in the field of multimodal transport. The future development of multimodal transport as provided for in the scenarios is not linearly correlated with the increase in cooperation and the number of implemented infrastructure and organisational projects.</w:t>
      </w:r>
    </w:p>
    <w:p>
      <w:r>
        <w:t>POSSIBLE 2023: The European health data space: Too big to succeed? — https://doi.org/10.1016/j.healthpol.2023.104861</w:t>
      </w:r>
    </w:p>
    <w:p>
      <w:r>
        <w:t>Shared claim-specific concepts: therefore, region; EU scope visible. This is a provisional connection, not an outcome finding.</w:t>
      </w:r>
    </w:p>
    <w:p>
      <w:r>
        <w:t>Available abstract (not full text): In May 2022, the European Commission issued the Proposal for a Regulation on the European Health Data Space (EHDS), with the aims of granting citizens increased access to and control of their (electronic) health data across the EU, and facilitating health data re-use for research, innovation, and policymaking. As the first in a series of European domain-specific "data spaces", the EHDS is a high-stakes development that will transform health data governance in the EU region. As an international consortium of experts from health policy, law, ethics and the social sciences, we are concerned that the EHDS Proposal will detract from, rather than lead to the achievement of, its stated aims. We are in no doubt on the benefits of using health data for secondary purposes, and we appreciate attempts to facilitate such uses across borders in a carefully curated manner. Based on the current draft Regulation, however, the EHDS risks undermining rather than enhancing patient control over data; hindering rather than facilitating the work of health professionals and researchers; and eroding rather than increasing the public value generated through health data sharing. Therefore, significant adjustments are needed if the EHDS is to realize its promised benefits. Besides analyzing the implications for key groups and European societies at large who will be affected by the implementation of the EH</w:t>
      </w:r>
    </w:p>
    <w:p>
      <w:r>
        <w:t>POSSIBLE 2022: The Regional Development Trap in Europe — https://doi.org/10.1080/00130095.2022.2080655</w:t>
      </w:r>
    </w:p>
    <w:p>
      <w:r>
        <w:t>Shared claim-specific concepts: identify, regional; EU scope visible. This is a provisional connection, not an outcome finding.</w:t>
      </w:r>
    </w:p>
    <w:p>
      <w:r>
        <w:t>Available abstract (not full text):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r>
        <w:t>POSSIBLE 2022: Nature-Based Solutions in Urban Areas: A European Analysis — https://doi.org/10.3390/app13010168</w:t>
      </w:r>
    </w:p>
    <w:p>
      <w:r>
        <w:t>Shared claim-specific concepts: therefore, purpose, identify, within; EU scope visible. This is a provisional connection, not an outcome finding.</w:t>
      </w:r>
    </w:p>
    <w:p>
      <w:r>
        <w:t>Available abstract (not full text): Currently, the world is facing resource scarcity as the environmental impacts of human intervention continue to intensify. To facilitate the conservation and recovery of ecosystems and to transform cities into more sustainable, intelligent, regenerative, and resilient environments, the concepts of circularity and nature-based solutions (NbS) are applied. The role of NbS within green infrastructure in urban resilience is recognised, and considerable efforts are being made by the European Commission (EC) to achieve the European sustainability goals. However, it is not fully evidenced, in an integrated way, which are the main NbS implemented in the urban environment and their effects. This article aims to identify the main and most recent NbS applied in urban environments at the European level and to analyse the integration of different measures as an innovative analysis based on real cases. For this purpose, this work presents a literature review of 69 projects implemented in 24 European cities, as well as 8 urban actions and 3 spatial scales of implementation at the district level. Therefore, there is great potential for NbS adoption in buildings and their surroundings, which are still not prioritized, given the lack of effective monitoring of the effects of NbS.</w:t>
      </w:r>
    </w:p>
    <w:p>
      <w:r>
        <w:t>POSSIBLE 2022: Soil Governance in current European Union Law and in the European Green Deal — https://doi.org/10.1016/j.soisec.2022.100053</w:t>
      </w:r>
    </w:p>
    <w:p>
      <w:r>
        <w:t>Shared claim-specific concepts: therefore, purpose, set; EU scope visible. This is a provisional connection, not an outcome finding.</w:t>
      </w:r>
    </w:p>
    <w:p>
      <w:r>
        <w:t>Available abstract (not full text): The chapter deals with the system of soil governance in the European Union and focuses on legal instruments for the protection and sustainable use of soil. In addition, other aspects of soil governance, like the policies, strategies, and the processes of decision-making, are addressed. Reference points for this assessment are the identified soil threats in the EU and the need for soil protection, based on the results of scientific studies, especially of the Intergovernmental Platform on Climate Change ( IPCC 2019 ) and the Intergovernmental Science-Policy Platform on Biodiversity and Ecosystem Services ( IP-BES 2018 ). Currently, there is no comprehensive directive to address soil threats and soil-related issues in a coherent way in the European Union, although several legal instruments refer to certain soil threats, mainly in the field of soil pollution. The European Union has the competence for soil legislation and, on the basis of the principle of subsidiarity, would be legally able to enact it. Therefore, the current mosaic of approaches can be overcome and replaced by an overall harmonised and comprehensive EU soil protection framework. This is all the more true as the United Nations' 2030 Agenda has set in motion a process that will have far-reaching implications for connected thinking: Sustainable Development Goal 15 and its target 15.3 stipulate that land degradation ne</w:t>
      </w:r>
    </w:p>
    <w:p>
      <w:r>
        <w:t>POSSIBLE 2021: The Reinvention of Development Banking in the European Union — https://doi.org/10.1093/oso/9780198859703.001.0001</w:t>
      </w:r>
    </w:p>
    <w:p>
      <w:r>
        <w:t>Shared claim-specific concepts: therefore, identify, within; EU scope visible. This is a provisional connection, not an outcome finding.</w:t>
      </w:r>
    </w:p>
    <w:p>
      <w:r>
        <w:t>Available abstract (not full text): National development banks (NDBs) have transformed from outdated relics of national industrial policy to central pillars of the European Union’s economic project. This trend, which accelerated after the Financial Crisis of 2007, has led to a proliferation of NDBs with an expanded size and scope. However, it is surprising that the EU—which has championed market-oriented governance and strict competition policy—has actually advocated an expansion of NDBs. This book therefore asks, why has the EU supported an increased role for NDBs, and how can we understand the dynamics between NDBs and European incentives and constraints? In order to answer these questions, this book analyzes the formation and evolution of a field of development banking within the EU. We identify a new field around an innovative conceptualization of state-backed financing for the purposes of policy implementation. However, rather than focusing solely on national development banks, we instead broaden the focus to the entire ecosystem of the field of development banking, which includes political institutions (both in Brussels and in the Member States), financing vehicles (such as the Juncker Plan), regulatory bodies (DG Competition, DG ECFIN), and commercial actors. Seven in-depth case studies on European NDBs, along with three chapters on European-level actors, detail this field of development banking, and answe</w:t>
      </w:r>
    </w:p>
    <w:p>
      <w:r>
        <w:t>POSSIBLE 2021: Implication of multi drought definitions to identify streamflow drought across Europe — https://doi.org/10.5194/egusphere-egu21-4063</w:t>
      </w:r>
    </w:p>
    <w:p>
      <w:r>
        <w:t>Shared claim-specific concepts: therefore, identify, within, region; EU scope visible. This is a provisional connection, not an outcome finding.</w:t>
      </w:r>
    </w:p>
    <w:p>
      <w:r>
        <w:t>Available abstract (not full text): Several approaches to identify hydrological drought exist, which result in differences in drought frequency, timing, duration, and deficit volume (drought characteristics) using the same hydrometeorological data as input. This has created confusion within the hydro-meteorological community, as well as in operational water management services on the difference in drought characteristics obtained with the different approaches. The aim of this study, therefore, is to provide a comprehensive overview of the differences of hydrological drought, i.e. streamflow drought, using different identification approaches for the pan-European river network (&gt;10,000 river grid cells). Time series of daily streamflow data were obtained from the LISFLOOD hydrological model forced with gridded meteorological observations from 1990 to 2018. Streamflow droughts were detected using the daily and monthly Variable Threshold methods (VTD and VTM), daily and monthly Fixed Threshold methods (FTD and FTM), and the Standardized Streamflow Index with 1-month accumulation period (SSI-1). For the threshold methods the Q80 (flow that is equaled or exceeded 80 percent of the time) is applied, whereas for the SSI a threshold of about -1 is used. We applied a centered 30-day moving average (30DMA) smoothing technique to the daily flow data to reduce the number of minor droughts. This is the first study that compare</w:t>
      </w:r>
    </w:p>
    <w:p>
      <w:pPr>
        <w:pStyle w:val="Heading2"/>
      </w:pPr>
      <w:r>
        <w:t>Shared Socio-economic Pathways for European agriculture and food systems: The Eur-Agri-SSPs</w:t>
      </w:r>
    </w:p>
    <w:p>
      <w:r>
        <w:t>Original source (2020): https://doi.org/10.1016/j.gloenvcha.2020.102159</w:t>
      </w:r>
    </w:p>
    <w:p>
      <w:r>
        <w:t>Original wording (abstract; indexed_source_text_not_full_document_verified): We followed a nine-step protocol to extend and enrich a set of global scenarios - the Shared Socio-economic Pathways (SSPs) - providing regional and sectoral detail for European agriculture and food systems using a one-to-one nesting participatory approach.</w:t>
      </w:r>
    </w:p>
    <w:p>
      <w:r>
        <w:t>POSSIBLE 2024: SMaRT M-Seq: an optimized step-by-step protocol for M protein sequencing in monoclonal gammopathies — https://doi.org/10.1093/biomethods/bpae074</w:t>
      </w:r>
    </w:p>
    <w:p>
      <w:r>
        <w:t>Shared claim-specific concepts: followed, protocol, approach; EU scope not established. This is a provisional connection, not an outcome finding.</w:t>
      </w:r>
    </w:p>
    <w:p>
      <w:r>
        <w:t>Available abstract (not full text): In patients with monoclonal gammopathies, tumor B cells or plasma cells secrete a monoclonal antibody (M protein) that not only serves as a biomarker for tumor tracking but can also cause potentially life-threatening organ damage. This damage is driven by the patient-specific sequence of the M protein. Methods for sequencing M proteins have been limited by their high cost and time-consuming nature, and while recent approaches using next-generation sequencing or mass spectrometry offer advancements, they may require tumor cell sorting, are limited to subsets of immunoglobulin genes or patients, and/or lack extensive validation. To address these limitations, we have recently developed a novel method, termed Single Molecule Real-Time Sequencing of the M protein (SMaRT M-Seq), which combines the unbiased amplification of expressed immunoglobulin genes via inverse PCR from circularized cDNA with long-read DNA sequencing, followed by bioinformatic and immunogenetic analyses. This approach enables the unambiguous identification of full-length variable sequences of M protein genes across diverse patient cohorts, including those with low tumor burden. Our protocol has undergone technical validation and has been successfully applied to large patient cohorts with monoclonal gammopathies. Here we present the step-by-step protocol for SMaRT M-Seq. By enabling the parallel sequencing of M pr</w:t>
      </w:r>
    </w:p>
    <w:p>
      <w:r>
        <w:t>POSSIBLE 2022: Multicentre evaluation of a selective isolation protocol for detection of mcr-positive E. coli and Salmonella spp. in food-producing animals and meat — https://doi.org/10.1111/lam.13717</w:t>
      </w:r>
    </w:p>
    <w:p>
      <w:r>
        <w:t>Shared claim-specific concepts: followed, protocol, food, approach; EU scope visible. This is a provisional connection, not an outcome finding.</w:t>
      </w:r>
    </w:p>
    <w:p>
      <w:r>
        <w:t>Available abstract (not full text): Abstract This study was conducted to evaluate the performance of a screening protocol to detect and isolate mcr-positive Escherichia coli and Salmonella spp. from animal caecal content and meat samples. We used a multicentre approach involving 12 laboratories from nine European countries. All participants applied the same methodology combining a multiplex PCR performed on DNA extracted from a pre-enrichment step, followed by a selective culture step on three commercially available chromogenic agar plates. The test panel was composed of two negative samples and four samples artificially contaminated with E. coli and Salmonella spp. respectively harbouring mcr-1 or mcr-3 and mcr-4 or mcr-5 genes. PCR screening resulted in a specificity of 100% and a sensitivity of 83%. Sensitivity of each agar medium to detect mcr-positive colistin-resistant E. coli or Salmonella spp. strains was 86% for CHROMID® Colistin R, 75% for CHROMagarTM COL-APSE and 70% for COLISTIGRAM. This combined method was effective to detect and isolate most of the E. coli or Salmonella spp. strains harbouring different mcr genes from food-producing animals and food products and might thus be used as a harmonized protocol for the screening of mcr genes in food-producing animals and food products in Europe.</w:t>
      </w:r>
    </w:p>
    <w:p>
      <w:r>
        <w:t>POSSIBLE 2022: Implementation of a pan-European ecosystem and an interoperable platform for Smart and Healthy Ageing in Europe: An Innovation Action research protocol — https://doi.org/10.12688/openreseurope.14827.1</w:t>
      </w:r>
    </w:p>
    <w:p>
      <w:r>
        <w:t>Shared claim-specific concepts: protocol, set, systems, approach; EU scope visible. This is a provisional connection, not an outcome finding.</w:t>
      </w:r>
    </w:p>
    <w:p>
      <w:r>
        <w:t>Available abstract (not full text): As life expectancy continues to increase in most EU Member States, smart technologies can help enable older people to continue living at home, despite the challenges accompanying the ageing process. The Innovation Action (IA) SHAPES 'Smart and Healthy Ageing through People Engaging in Supportive Systems' funded by the EU under the Horizon 2020 Research and Innovation Programme (grant agreement number 857159) attends to these topics to support active and healthy ageing and the wellbeing of older adults. This protocol article outlines the SHAPES project's objectives and aims, methods, structure, and expected outcomes. SHAPES seeks to build, pilot, and deploy a large-scale, EU-standardised interoperable, and scalable open platform. The platform will facilitate the integration of a broad range of technological, organisational, clinical, educational, and social solutions. SHAPES emphasises that the home is much more than a house-space; it entails a sense of belonging, a place and a purpose in the community. SHAPES creates an ecosystem - a network of relevant users and stakeholders - who will work together to scale-up smart solutions. Furthermore, SHAPES will create a marketplace seeking to connect demand and supply across the home, health and care services. Finally, SHAPES will produce a set of recommendations to support key stakeholders seeking to integrate smart technologies in th</w:t>
      </w:r>
    </w:p>
    <w:p>
      <w:r>
        <w:t>POSSIBLE 2022: Stepped care management of insomnia co-occurring with sleep apnea: the AIR study protocol — https://doi.org/10.1186/s13063-022-06753-4</w:t>
      </w:r>
    </w:p>
    <w:p>
      <w:r>
        <w:t>Shared claim-specific concepts: protocol, providing, approach; EU scope not established. This is a provisional connection, not an outcome finding.</w:t>
      </w:r>
    </w:p>
    <w:p>
      <w:r>
        <w:t>Available abstract (not full text): BACKGROUND: Obstructive sleep apnea (OSA) and insomnia are commonly co-occurring conditions that amplify morbidity and complicates the management of affected patients. Unfortunately, previous research provides limited guidance as to what constitutes the best and most practical management approach for this comorbid patient group. Some preliminary studies show that when cognitive behavioral insomnia therapy (CBT-I) is combined with standard OSA therapies for these patients, outcomes are improved. However, the dearth of trained providers capable of delivering CBT-I has long served as a pragmatic barrier to the widespread use of this therapy in clinical practice. The emergence of sophisticated online CBT-I (OCBT-I) programs could improve access, showing promising reductions in insomnia severity. Given its putative scalability and apparent efficacy, some have argued OCBT-I should represent a 1st-stage intervention in a broader stepped care model that allocates more intensive and less assessable therapist-delivered CBT-I (TCBT-I) only to those who show an inadequate response to lower intensity OCBT-I. However, the efficacy of OCBT-I as a 1st-stage therapy within a broader stepped care management strategy for insomnia comorbid with OSA has yet to be tested with comorbid OSA/insomnia patients. METHODS/DESIGN: This dual-site randomized clinical trial will use a Sequential Multiple Assig</w:t>
      </w:r>
    </w:p>
    <w:p>
      <w:pPr>
        <w:pStyle w:val="Heading2"/>
      </w:pPr>
      <w:r>
        <w:t>Socio-technical transitions in UK electricity: part 1 – history, actors and pathways</w:t>
      </w:r>
    </w:p>
    <w:p>
      <w:r>
        <w:t>Original source (2020): https://doi.org/10.1680/jener.19.00051</w:t>
      </w:r>
    </w:p>
    <w:p>
      <w:r>
        <w:t>Original wording (abstract; indexed_source_text_not_full_document_verified): The pathways to 2050 focus on the power sector, including the potential for increasing the use of low-emissions electricity for heating and transport. All three pathways are appraised in terms of their environmental performance using complementary life-cycle assessment and footprinting methods.</w:t>
      </w:r>
    </w:p>
    <w:p>
      <w:r>
        <w:t>POSSIBLE 2026: Gender Norms and Leadership Exclusion with a Focus on Women’s Pathways to Power in Southern Nigeria — https://openalex.org/W7216889169</w:t>
      </w:r>
    </w:p>
    <w:p>
      <w:r>
        <w:t>Shared claim-specific concepts: pathways, focus, power; EU scope not established. This is a provisional connection, not an outcome finding.</w:t>
      </w:r>
    </w:p>
    <w:p>
      <w:r>
        <w:t>Available abstract (not full text): Women’s participation in leadership in Southern Nigeria remains severely constrained despite gains in education, economic engagement, and civic involvement. This study examines how social norms and patriarchal structures limit women’s access to leadership across family, community, religious, and workplace contexts in Ebonyi and Cross River States. Using qualitative data from 20 Key Informant Interviews, the study explores both men’s and women’s perceptions of female leadership, with particular attention to how women themselves reinforce restrictive gender norms. Findings reveal that leadership is widely coded as masculine, and women frequently act as gatekeepers, policing the ambitions of other women and discouraging leadership aspirations to maintain social conformity and uphold patriarchal hierarchies. The Women-Against-Women Theory of Harmful Cultural Practices (WAW-HCP) is applied as a supporting lens to interpret these intra-gender dynamics. The study highlights the relational and normative barriers that perpetuate women’s exclusion from leadership and underscores the need for interventions that address women’s role as enforcers of restrictive norms.</w:t>
      </w:r>
    </w:p>
    <w:p>
      <w:r>
        <w:t>POSSIBLE 2026: The G20 in Focus: An Anthology of African Analyses, Priorities, and Pathways — https://doi.org/10.36615/9781997468950</w:t>
      </w:r>
    </w:p>
    <w:p>
      <w:r>
        <w:t>Shared claim-specific concepts: pathways, focus, power; EU scope not established. This is a provisional connection, not an outcome finding.</w:t>
      </w:r>
    </w:p>
    <w:p>
      <w:r>
        <w:t>Available abstract (not full text): It gives me great pleasure to write the foreword to this timely and thought-provoking anthology, The G20 in Focus: An Anthology of African Analyses, Priorities, and Pathways. This publication, undertaken through the Democracy Development Program (DDP), comes at a critical moment in global history, one marked by uncertainty, transformation, and the redefinition of power relations in international governance. As South Africa assumes the chairship of the Group of Twenty (G20) and the African Union secures a permanent seat within this influential forum, the need for Africa to articulate its voice, vision, and values on the global stage has never been more urgent.</w:t>
      </w:r>
    </w:p>
    <w:p>
      <w:r>
        <w:t>POSSIBLE 2025: Pathways to Power — https://doi.org/10.4324/9781003413820-25</w:t>
      </w:r>
    </w:p>
    <w:p>
      <w:r>
        <w:t>Shared claim-specific concepts: pathways, power, potential, increasing; EU scope not established. This is a provisional connection, not an outcome finding.</w:t>
      </w:r>
    </w:p>
    <w:p>
      <w:r>
        <w:t>Available abstract (not full text): This chapter presents a comprehensive analysis of the transformations taking place within the Kilosa Ilparakuyo Maasai community in Tanzania, focusing on the progress made by Maasai women. The Maasai, who traditionally lived in a male-dominated society, are presently undergoing a significant cultural change driven by the complex interaction between increasing religious devotion and economic prospects. The chapter emphasises the positive influence of Pentecostalism on Ilparakuyo Maasai women. It explores the significance of religion in interrogating traditional norms, fostering women’s empowerment and enabling them to exercise their rights and pursue alternative livelihoods. To examine the complexities between religion and empowerment, the chapter utilises Naila Kabeer’s framework, which encompasses the notions of agency, resources, and accomplishments. It argues that the increasing agency and resource accessibility of Maasai women not only aligns with Kabeer’s theory but also expands its relevance. This chapter presents unique perspectives on the dynamics between genders, their acquisition of power, and their implications for society in pastoral communities. It highlights the potential of religious beliefs and infrastructure projects to drive substantial progress towards an equitable future.</w:t>
      </w:r>
    </w:p>
    <w:p>
      <w:r>
        <w:t>POSSIBLE 2025: Wide-bandgap semiconductors and power electronics as pathways to carbon neutrality — https://doi.org/10.1038/s44287-024-00135-5</w:t>
      </w:r>
    </w:p>
    <w:p>
      <w:r>
        <w:t>Shared claim-specific concepts: pathways, power; EU scope not established. This is a provisional connection, not an outcome finding.</w:t>
      </w:r>
    </w:p>
    <w:p>
      <w:r>
        <w:t>Available abstract (not full text): Unavailable</w:t>
      </w:r>
    </w:p>
    <w:p>
      <w:r>
        <w:t>POSSIBLE 2024: Biomass power generation: A pathway to carbon neutrality — https://doi.org/10.1016/j.scitotenv.2024.173080</w:t>
      </w:r>
    </w:p>
    <w:p>
      <w:r>
        <w:t>Shared claim-specific concepts: power; EU scope not established. This is a provisional connection, not an outcome finding.</w:t>
      </w:r>
    </w:p>
    <w:p>
      <w:r>
        <w:t>Available abstract (not full text): Unavailable</w:t>
      </w:r>
    </w:p>
    <w:p>
      <w:r>
        <w:t>POSSIBLE 2023: Carbon Peaking and Neutrality Pathways for Beijing’s Power Sector — https://doi.org/10.54097/hset.v50i.8464</w:t>
      </w:r>
    </w:p>
    <w:p>
      <w:r>
        <w:t>Shared claim-specific concepts: pathways, power, sector, potential, electricity, transport; EU scope not established. This is a provisional connection, not an outcome finding.</w:t>
      </w:r>
    </w:p>
    <w:p>
      <w:r>
        <w:t>Available abstract (not full text): The power sector is an important area for achieving the 'double carbon' target.To achieve the "double carbon target" in Beijing as early as possible, this thesis is based on the LEAP model, which is a bottom-up study of the carbon peaking and carbon neutral pathways in the power sector from the perspective of the whole chain of source, grid, load and storage. It also combines scenario analysis, taking into account emission reduction targets, electricity demand and resource deployment, to design four comparison scenarios. These are the basic scenario, the energy efficiency improvement scenario, the transport electrification scenario and the renewable energy development scenario. The study focuses on the potential for emission reduction and feasible paths for the energy transition in Beijing's power sector. Finally, policy recommendations are made to promote the energy transition in Beijing.</w:t>
      </w:r>
    </w:p>
    <w:p>
      <w:r>
        <w:t>POSSIBLE 2022: Volumetric treatment of uterine fibroids using ultrasound-guided, power- and pathway-controlled, pulsed-type high-intensity focused ultrasound — https://doi.org/10.25289/ml.2022.11.3.148</w:t>
      </w:r>
    </w:p>
    <w:p>
      <w:r>
        <w:t>Shared claim-specific concepts: pathways, power, including; EU scope not established. This is a provisional connection, not an outcome finding.</w:t>
      </w:r>
    </w:p>
    <w:p>
      <w:r>
        <w:t>Available abstract (not full text): Lasers 148Volumetric treatment of uterine fibroids using ultrasound-guided, power-and pathway-controlled, pulsed-type high-intensity focused ultrasound Background and Objectives Non-invasive high-intensity focused ultrasound (HIFU) treatments are used widely to relieve uterine fibroid (UF)-related symptoms without general anesthesia and long hospitalization.This study evaluated the effectiveness and safety of power, pathway-controlled, cumulative, pulsed-type HIFU treatments for symptomatic UF lesions. Materials and MethodsA total of 633 UF lesions in 300 patients were treated with a single HIFU session.Reductions in the UF size and volume were evaluated at 1, 3, 6, and 12 months after the HIFU treatments. ResultsHypoenhancing ultrasonographic findings were obtained by treating UF lesions with HIFU at an average HIFU power of 389.1 ± 81.6 W, an energy/ therapeutic point of 49.5 ± 2.6 J/pulse, a total of 2.8 ± 1.1 therapeutic pathways, and a total sonication energy of 28,016.4± 10,622.2J.The volume of the overall UFs decreased significantly to 72.1% of their original volume during the 12-month follow-up.Among four different UF size groups, significant differences were found in the final HIFU settings, including power, total number of therapeutic pathways, total sonication energy, and sonication time, but not energy/therapeutic point.Linear mixed model analysis revealed significa</w:t>
      </w:r>
    </w:p>
    <w:p>
      <w:r>
        <w:t>POSSIBLE 2022: Incentive structures for power-to-X and e-fuel pathways for transport in EU and member states — https://doi.org/10.1016/j.enpol.2022.113121</w:t>
      </w:r>
    </w:p>
    <w:p>
      <w:r>
        <w:t>Shared claim-specific concepts: pathways, sector, potential, increasing, transport; EU scope visible. This is a provisional connection, not an outcome finding.</w:t>
      </w:r>
    </w:p>
    <w:p>
      <w:r>
        <w:t>Available abstract (not full text): Though Power-to-X pathways, primarily Power-to-Liquids, attract interest as solutions for decarbonising parts of the transport sector that are not suitable for electrification, the regulatory framework until recently slowed down their implementation. This paper examines the updates in the main aspects of the legal framework in the European Union from 2019 to the beginning of 2022 related to Power-to-X: support schemes, specific targets, and potential barriers. The results show increasing interest and market entrance of electrolysis and push from the different actors and regulatory parties to establish solutions that will enable faster upscaling. However, it is visible from the National Energy and Climate Plans and hydrogen strategies that the most emphasis is still on hydrogen as an end fuel for personal vehicles or power-to-gas. On the other hand, few countries have implemented legal frameworks facilitating diverse PtX pathways without focusing solely on hydrogen. Nevertheless, revisions of RED II have finally set up specific targets for electrofuels and Fit for 55 has introduced new actions supporting electrofuels in aviation and marine transport.</w:t>
      </w:r>
    </w:p>
    <w:p>
      <w:r>
        <w:t>POSSIBLE 2022: PaLM: Scaling Language Modeling with Pathways — https://doi.org/10.48550/arxiv.2204.02311</w:t>
      </w:r>
    </w:p>
    <w:p>
      <w:r>
        <w:t>Shared claim-specific concepts: pathways, potential, performance; EU scope not established. This is a provisional connection, not an outcome finding.</w:t>
      </w:r>
    </w:p>
    <w:p>
      <w:r>
        <w:t xml:space="preserve">Available abstract (not full text):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r>
        <w:t>POSSIBLE 2022: Pathways to net zero emissions for the Indian power sector — https://doi.org/10.1016/j.esr.2022.101042</w:t>
      </w:r>
    </w:p>
    <w:p>
      <w:r>
        <w:t>Shared claim-specific concepts: pathways, power, sector, electricity, three; EU scope not established. This is a provisional connection, not an outcome finding.</w:t>
      </w:r>
    </w:p>
    <w:p>
      <w:r>
        <w:t>Available abstract (not full text): At COP26, India has committed to achieve net zero emissions by 2070. For economy wide net zero, the power system should be first to attain it. This paper explores the role of different technologies, CO2 capture and storage (CCS), nuclear, solar PV and thermal, battery storage, pumped storage, hydro etc. along with energy efficiency in doing so by different target years, 2050 and 2060 and their economic implications. With more intermittent renewables, the issue of balancing hourly demand-supply of both energy and power becomes critical for ensuring the feasibility of a pathway. Hourly availability of different renewable technologies is considered along with hourly variations in electricity demand. Three scenarios are analysed, Business-as-Usual (BAU) scenario assumes current policies to continue, and two Net Zero (NZ) scenarios to achieve net zero emissions by 2050 and 2060. Solar PV, wind onshore and offshore, battery storage are the dominant technologies in achieving net zero emissions. Solar and wind together contribute 85% and 90% of the total generation capacity in 2050 and 2060, respectively. Dispatchable technologies like Coal plant with CCS and nuclear are also important. Results specify Battery with storage hour specifications (1 h, 2 h etc.), so one can plan storage in details. Decarbonisation has significant additional cost and investment requirement over the Business</w:t>
      </w:r>
    </w:p>
    <w:p>
      <w:r>
        <w:t>POSSIBLE 2022: Power generation expansion pathways: A policy analysis of the Cameroon power system — https://doi.org/10.1016/j.esr.2022.101004</w:t>
      </w:r>
    </w:p>
    <w:p>
      <w:r>
        <w:t>Shared claim-specific concepts: pathways, power, sector, potential, electricity, three; EU scope not established. This is a provisional connection, not an outcome finding.</w:t>
      </w:r>
    </w:p>
    <w:p>
      <w:r>
        <w:t>Available abstract (not full text): The Cameroon electricity sector is currently plagued by inadequate generation capacity. The electricity supply deficit has had dire consequences on attaining the country's industrialization, socioeconomic and developmental objectives enshrined in her Vision 2035. However, there are sustainable solutions that minimizes the required new capacity planned by the government. This paper analyses the implications of these sustainable policies on the electricity generation system of Cameroon. An adaptation of the Schwartz's methodology and the Low Emissions Analysis Platform (LEAP), integrated with the Next Energy Modelling system for Optimization (NEMO) was used to develop least-costs scenarios of Cameroon from 2016 to 2045. These scenarios are based on the key factors that would influence the electricity supply/demand of Cameroon. In addition to the business-as-usual scenario which defines the least-cost pathway with no policy interventions, the three alternative scenario categories are: power losses, demand side energy efficiency measures and carbon dioxide emission targets. Results show the alternative scenarios have significant benefits in avoided installed capacity, financial savings and avoided greenhouse gas emissions. This is emphasized by capacity savings of up to 44%, translating to possible economic benefits of up to 25% depending on government's commitment to reducing powe</w:t>
      </w:r>
    </w:p>
    <w:p>
      <w:r>
        <w:t>POSSIBLE 2021: Decarbonization pathways for the power sector in Sumatra, Indonesia — https://doi.org/10.1016/j.rser.2021.111507</w:t>
      </w:r>
    </w:p>
    <w:p>
      <w:r>
        <w:t>Shared claim-specific concepts: pathways, focus, power, sector, use, electricity; EU scope not established. This is a provisional connection, not an outcome finding.</w:t>
      </w:r>
    </w:p>
    <w:p>
      <w:r>
        <w:t>Available abstract (not full text): The Indonesian power sector faces the combined challenge to (i) satisfy growing electricity demand at an affordable cost and (ii) comply with the decarbonization targets committed under the Paris Agreement. In this study, we investigate cost-optimal pathways for the development of the power sector in line with climate targets. We used the Low Emissions Analysis Platform (LEAP) software tool to build a power-system expansion model for Sumatra and simulated four scenarios representing a business as usual development, the current development plans, and two mitigation pathways in line with the national climate targets. Particular focus is put on bioenergy, an energy source that has been often overlooked in previous studies and plans. The results show that, although the national plans consider mitigation actions, they do not reduce coal dependency. Besides, current development plans are not cost-effective and have high marginal abatement costs for emissions reduction. The two mitigation scenarios achieve better environmental results at lower system costs. Our results show that bioenergy deployment can contribute significantly to achieving the greenhouse gas (GHG) targets of 19% and 24% pledged by the Indonesian government. More efficient use of modern renewables and natural gas can reduce Sumatra's dependence on coal resources.</w:t>
      </w:r>
    </w:p>
    <w:p>
      <w:pPr>
        <w:pStyle w:val="Heading2"/>
      </w:pPr>
      <w:r>
        <w:t>Spatial Simulation of Codesigned Land Cover Change Scenarios in New England: Alternative Futures and Their Consequences for Conservation Priorities</w:t>
      </w:r>
    </w:p>
    <w:p>
      <w:r>
        <w:t>Original source (2020): https://doi.org/10.1029/2019ef001348</w:t>
      </w:r>
    </w:p>
    <w:p>
      <w:r>
        <w:t>Original wording (abstract; indexed_source_text_not_full_document_verified): ABSTRACT To help prepare for an uncertain future, planners and scientists often engage with stakeholders to co-design alternative scenarios of land-use change. The four alternative scenarios populate a quadrant of future conditions that crosses high to low natural resource planning and innovation with local to global socio-economic connectedness.</w:t>
      </w:r>
    </w:p>
    <w:p>
      <w:r>
        <w:t>POSSIBLE 2026: Preparing to Prepare a Manuscript — https://doi.org/10.1097/nur.0000000000000973</w:t>
      </w:r>
    </w:p>
    <w:p>
      <w:r>
        <w:t>Shared claim-specific concepts: help, prepare, often; EU scope not established. This is a provisional connection, not an outcome finding.</w:t>
      </w:r>
    </w:p>
    <w:p>
      <w:r>
        <w:t>Available abstract (not full text): Manuscripts have their origins in scholarly initiatives such as clinical improvement projects, protocol development, research studies, policy initiatives, and school-based assignments. Colleagues, administrators, and faculty members are among the voices encouraging advanced practice nurses to publish their clinical work outcomes. Dissemination of clinically focused works adds to a body of knowledge about nursing practice; encouraging publication is a positive overture. However, many clinically focused manuscripts are developed by new authors who lack a mentor, that is, someone with experience in preparing, submitting, and publishing scholarly works, which places the novice author at a decided disadvantage. The work itself may have merit, but finding the right perspective, audience, tone, and emphasis takes finesse. In 2025, this journal published an article by Leslie Nicoll1 in which she discussed considerations in publishing an academic paper. Many of the same considerations addressed in that article apply to publishing clinical initiatives. Like a school assignment is designed to meet specific learning objectives, clinical initiatives are conducted to address a defined problem in the context of a practice setting. The purpose and process of a clinical initiative may differ from the requirements of a journal article. And too often clinical initiatives begin without a written p</w:t>
      </w:r>
    </w:p>
    <w:p>
      <w:r>
        <w:t>POSSIBLE 2025: When Disaster Strikes, Area Agencies on Aging Help Older Adults Prepare and Respond — https://doi.org/10.1093/geroni/igaf122.4324</w:t>
      </w:r>
    </w:p>
    <w:p>
      <w:r>
        <w:t>Shared claim-specific concepts: abstract, help, prepare, natural, planning; EU scope not established. This is a provisional connection, not an outcome finding.</w:t>
      </w:r>
    </w:p>
    <w:p>
      <w:r>
        <w:t>Available abstract (not full text): Abstract Global climate change has increased the frequency and intensity of natural disasters, which can have a disproportionate impact on older adults. According to data from a new module in the 2025 National Survey of Area Agencies on Aging (72% response rate) 65% of AAAs reported that a community within their service area has experienced a significant emergency or disaster within the past five years. This presentation will share nationally-representative data about the ways in which AAAs support older adults to prepare for emergencies, help the community prepare to respond to consumers, and ensure consumer safety. AAAs support individual emergency preparedness through providing educational resources (67%), addressing emergency preparedness as a standard part of the care planning process (45%), and maintaining a prioritized consumer registry (44%). AAAs also helps the community prepare to respond to consumer needs during disasters: 63% are involved in emergency planning collaboratives, 47% require providers to have emergency response plans in place, 45% are in regular two-way communication with EMS. The data will be supported by case examples describing how AAA emergency preparedness and response plays out before, during and after a natural disaster, including lessons learned.</w:t>
      </w:r>
    </w:p>
    <w:p>
      <w:r>
        <w:t>POSSIBLE 2025: Prepare Your Lessons — https://doi.org/10.1093/oso/9780197631430.003.0005</w:t>
      </w:r>
    </w:p>
    <w:p>
      <w:r>
        <w:t>Shared claim-specific concepts: abstract, help, prepare, planning; EU scope not established. This is a provisional connection, not an outcome finding.</w:t>
      </w:r>
    </w:p>
    <w:p>
      <w:r>
        <w:t>Available abstract (not full text): Abstract In elementary music class, students learn musical skills, not just facts. Teachers build these skills by modeling, communicating clearly, and assessing student progress. This chapter explores how to organize lesson plans, prepare lessons for different age groups, and ensure smooth delivery. It emphasizes the importance of practicing lessons before teaching and reflecting on what worked afterward. The chapter introduces a structured approach to lesson planning, balancing engaging activities with clear learning objectives. Strategies for effective transitions, classroom management, and student engagement are discussed, helping teachers create lessons that flow smoothly. The importance of using concise instruction, modeling rather than overexplaining, and listening more than speaking is also highlighted. By focusing on well-prepared and thoughtful instruction, teachers can maximize student learning and create a positive, productive classroom environment. Checklists and practical suggestions help teachers refine their approach and continuously improve their teaching.</w:t>
      </w:r>
    </w:p>
    <w:p>
      <w:r>
        <w:t>POSSIBLE 2025: Can AI help authors prepare better risk science manuscripts? — https://doi.org/10.1111/risa.70055</w:t>
      </w:r>
    </w:p>
    <w:p>
      <w:r>
        <w:t>Shared claim-specific concepts: abstract, help, prepare, scientists, four; EU scope not established. This is a provisional connection, not an outcome finding.</w:t>
      </w:r>
    </w:p>
    <w:p>
      <w:r>
        <w:t>Available abstract (not full text): Scientists, publishers, and journal editors are wondering how, whether, and to what extent artificial intelligence (AI) tools might soon help to advance the rigor, efficiency, and value of scientific peer review. Will AI provide timely, useful feedback that helps authors improve their manuscripts while avoiding the biases and inconsistencies of human reviewers? Or might it instead generate low-quality verbiage, add noise and errors, reinforce flawed reasoning, and erode trust in the review process? This perspective reports on evaluations of two experimental AI systems: (i) a "Screener" available at http://screener.riskanalysis.cloud/ that gives authors feedback on whether a draft paper (or abstract, proposal, etc.) appears to be a fit for the journal Risk Analysis, based on the guidance to authors provided by the journal (https://www.sra.org/journal/what-makes-a-good-risk-analysis-article/); and (ii) a more ambitious "Reviewer" (http://aia1.moirai-solutions.com/) that gives substantive technical feedback and recommends how to improve the clarity of methodology and the interpretation of results. The evaluations were conducted by a convenience sample of Risk Analysis Area Editors (AEs) and authors, including two authors of manuscripts in progress and four authors of papers that had already been published. The Screener was generally rated as useful. It has been deployed at Risk An</w:t>
      </w:r>
    </w:p>
    <w:p>
      <w:r>
        <w:t>POSSIBLE 2024: Preparing conservatoire students for the music education workforce: conversations with alumni — https://doi.org/10.1017/s0265051724000111</w:t>
      </w:r>
    </w:p>
    <w:p>
      <w:r>
        <w:t>Shared claim-specific concepts: abstract, help, prepare; EU scope not established. This is a provisional connection, not an outcome finding.</w:t>
      </w:r>
    </w:p>
    <w:p>
      <w:r>
        <w:t>Available abstract (not full text): Abstract Higher music education institutions should continually review their curricula to ensure that their graduates are best equipped to support musical learning for children and young people. Perspectives on early careers in instrumental teaching were obtained via an alumni-led workshop and focus group at a UK conservatoire. Findings revealed that whilst extensive pedagogical training was offered, its value was not fully acknowledged across the institution and that more could be done to alleviate students’ anxieties about their developing musician identities and future stability. As new teachers, alumni are well placed to help prepare students for the professional realities of joining the music education workforce.</w:t>
      </w:r>
    </w:p>
    <w:p>
      <w:r>
        <w:t>POSSIBLE 2023: Preparing for Our Futures — https://doi.org/10.1093/med-psych/9780197609286.003.0015</w:t>
      </w:r>
    </w:p>
    <w:p>
      <w:r>
        <w:t>Shared claim-specific concepts: abstract, help, prepare; EU scope not established. This is a provisional connection, not an outcome finding.</w:t>
      </w:r>
    </w:p>
    <w:p>
      <w:r>
        <w:t>Available abstract (not full text): Abstract This chapter covers Session 14 of the Juvenile Justice Anger Management (JJAM) Treatment for Girls. In this session the participants learn how they can prepare for their future after treatment. The session focuses on synthesizing the various skills and tools that the girls have learned during the program. The facilitators encourage the girls to practice applying these skills to real-life situations and to enlist others to help them use these skills in the future. The participants will identify their goals beyond the treatment. An activity is provided to help the girls feel more comfortable using the support systems that they have previously identified.</w:t>
      </w:r>
    </w:p>
    <w:p>
      <w:r>
        <w:t>POSSIBLE 2023: Preparing for Our Futures — https://doi.org/10.1093/med-psych/9780197609286.003.0047</w:t>
      </w:r>
    </w:p>
    <w:p>
      <w:r>
        <w:t>Shared claim-specific concepts: abstract, help, prepare, planning; EU scope not established. This is a provisional connection, not an outcome finding.</w:t>
      </w:r>
    </w:p>
    <w:p>
      <w:r>
        <w:t>Available abstract (not full text): Abstract This chapter provides the participant materials for Session 14 of the Juvenile Justice Anger Management (JJAM) Treatment for Girls. In this session the girls learn how to prepare plans for the future. This includes the process of figuring out how to tell important people about the anger management tools they learned and how to ask for help. Planning ahead means thinking about one’s goals and writing them down. An example of a goal is to get better grades in school by the end of the year. When a participant is angry and needs help remembering these tools, it is useful for her to talk to her building block support people.</w:t>
      </w:r>
    </w:p>
    <w:p>
      <w:r>
        <w:t>POSSIBLE 2023: Big data can help prepare nurses and improve patient outcomes by improving quality, safety, and outcomes — https://doi.org/10.2478/fon-2023-0026</w:t>
      </w:r>
    </w:p>
    <w:p>
      <w:r>
        <w:t>Shared claim-specific concepts: abstract, help, prepare; EU scope not established. This is a provisional connection, not an outcome finding.</w:t>
      </w:r>
    </w:p>
    <w:p>
      <w:r>
        <w:t>Available abstract (not full text): Abstract Objectives Big data has revolutionized nursing and health care and raised concerns. This research aims to help nurses understand big data sets to provide better patient care. Methods This study used big data in nursing to improve patient care. Big data in nursing has sparked a global revolution and raised concerns, but few studies have focused on helping nurses understand big data to provide the best patient care. This systematic review was conducted based on PRISMA guidelines. PubMed, MEDLINE, CINAHL, Google Scholar, and ResearchGate were used for 2010–2020 studies. Results The most common use of big data in nursing was investigated in eight papers between 2015 and 2018. All research showed improvements in patient outcomes and healthcare delivery when big data was used in the medical-surgical, emergency department, critical care unit, community, systems biology, and leadership applications. Big data is not taught to nurses. Conclusions Big data applications in nursing and health care improve early intervention and decision-making. Big data provides a comprehensive view of a patient’s status and social determinants of health, allowing treatment using all metaparadigms and avoiding a singular focus. Big data can help prepare nurses and improve patient outcomes by improving quality, safety, and outcomes.</w:t>
      </w:r>
    </w:p>
    <w:p>
      <w:r>
        <w:t>POSSIBLE 2023: Comparing scientific abstracts generated by ChatGPT to real abstracts with detectors and blinded human reviewers — https://doi.org/10.1038/s41746-023-00819-6</w:t>
      </w:r>
    </w:p>
    <w:p>
      <w:r>
        <w:t>Shared claim-specific concepts: abstract, help, often, high, low; EU scope not established. This is a provisional connection, not an outcome finding.</w:t>
      </w:r>
    </w:p>
    <w:p>
      <w:r>
        <w:t>Available abstract (not full text): Abstract Background Large language models such as ChatGPT can produce increasingly realistic text, with unknown information on the accuracy and integrity of using these models in scientific writing. Methods We gathered ten research abstracts from five high impact factor medical journals (n=50) and asked ChatGPT to generate research abstracts based on their titles and journals. We evaluated the abstracts using an artificial intelligence (AI) output detector, plagiarism detector, and had blinded human reviewers try to distinguish whether abstracts were original or generated. Results All ChatGPT-generated abstracts were written clearly but only 8% correctly followed the specific journal’s formatting requirements. Most generated abstracts were detected using the AI output detector, with scores (higher meaning more likely to be generated) of median [interquartile range] of 99.98% [12.73, 99.98] compared with very low probability of AI-generated output in the original abstracts of 0.02% [0.02, 0.09]. The AUROC of the AI output detector was 0.94. Generated abstracts scored very high on originality using the plagiarism detector (100% [100, 100] originality). Generated abstracts had a similar patient cohort size as original abstracts, though the exact numbers were fabricated. When given a mixture of original and general abstracts, blinded human reviewers correctly identified 68% of gene</w:t>
      </w:r>
    </w:p>
    <w:p>
      <w:r>
        <w:t>POSSIBLE 2023: Deciding for resilience: Utilizing water infrastructure investments to prepare for the future — https://doi.org/10.1002/wat2.1661</w:t>
      </w:r>
    </w:p>
    <w:p>
      <w:r>
        <w:t>Shared claim-specific concepts: abstract, help, prepare, planning; EU scope not established. This is a provisional connection, not an outcome finding.</w:t>
      </w:r>
    </w:p>
    <w:p>
      <w:r>
        <w:t>Available abstract (not full text): Abstract Governments are increasingly faced with climate change realities and have also committed themselves to international agreements with objectives to tackle long‐term problems such as becoming climate neutral by 2050. Governments, therefore, will need to carefully consider how to contribute to combatting climate change, when investing in their water infrastructure that is reaching an end‐of‐lifetime due to technical aging or changing functional requirements. Such investments offer crucial windows of opportunity to create more resilient water systems, because large budgets are involved and lifespans of infrastructure are long and co‐determine possible futures. Based on a literature review, this article develops key ways of how infrastructure operators could adopt a long‐term perspective and choose water management strategies that increase absorptive, adaptive, and transformative capacities. With these perspectives and strategies, this article sets out a basis to help governments prepare for the future when they invest in water infrastructure. This article is categorized under: Human Water &gt; Water Governance Science of Water &gt; Water and Environmental Change Engineering Water &gt; Planning Water</w:t>
      </w:r>
    </w:p>
    <w:p>
      <w:r>
        <w:t>POSSIBLE 2021: 12 A qualitative study of factors that helped prepare athletes for Special Olympics sport programs — https://doi.org/10.1093/pch/pxab061.008</w:t>
      </w:r>
    </w:p>
    <w:p>
      <w:r>
        <w:t>Shared claim-specific concepts: abstract, help, prepare, four; EU scope not established. This is a provisional connection, not an outcome finding.</w:t>
      </w:r>
    </w:p>
    <w:p>
      <w:r>
        <w:t>Available abstract (not full text): Abstract Primary Subject area Developmental Paediatrics Background Special Olympics (SO) is working to introduce more child and youth programs provincially and improve currently available programs. To date, there is little research published surrounding the experiences of SO athletes. Given the aim of SO to improve and grow the experience and health of youth, the present study explores the experiences of SO athletes and caregivers to understand what prepares athletes for SO programs and competition. Objectives 1. To describe the experience of SO athletes and caregivers and understand what best prepared them for their involvement in organized sport and physical activity. 2. To offer evidence-based strategies for creating an inclusive and encouraging environment for sports and physical activity for healthy active living and/or preparation for SO involvement. Design/Methods Both athletes and caregivers participated in semi-structured, conversation-based interviews. Eight English-speaking athletes involved in a variety of sports from around the province were interviewed, and four of these interviews included caregivers. Interviews were transcribed and coded using thematic analysis. Results Five themes were identified throughout these interviews. The importance of a supportive environment emerged as a strong theme. Athletes valued the support of caregivers, coaches, and other player</w:t>
      </w:r>
    </w:p>
    <w:p>
      <w:r>
        <w:t>POSSIBLE 2021: Preparing Indonesia for The Ocean Decade 2021-2030 — https://doi.org/10.1088/1755-1315/744/1/012025</w:t>
      </w:r>
    </w:p>
    <w:p>
      <w:r>
        <w:t>Shared claim-specific concepts: abstract, help, prepare, scientists, stakeholders, natural; EU scope not established. This is a provisional connection, not an outcome finding.</w:t>
      </w:r>
    </w:p>
    <w:p>
      <w:r>
        <w:t>Available abstract (not full text): Abstract The Ocean Decade 2021-2030 was declared at the end of 2017. The Decade Declaration is aimed at accelerating the resolution of various social-ecological issues facing the oceans collectively and holistically by involving multi-stakeholders: natural and social scientists, governments, NGOs, private parties, and local communities. Indonesia as a large maritime country must play an important role in this Decade, both as a provider and as a beneficiary. The aims of this paper are to (1) convey important things about the Ocean Decade and (2) provide recommendations for carrying out three types of research to prepare for the Ocean Decade. This exploratory study is conducted qualitatively, using a literature review of UNESCO official documents as well as various other literature, such as scientific journal articles. An interview with a key informant was conducted for initial stakeholder analysis. The results of the analysis and the recommendations are expected to be used to help various stakeholders in Indonesia prepare to take part in the implementation of ‘The Ocean Decade’.</w:t>
      </w:r>
    </w:p>
    <w:p>
      <w:pPr>
        <w:pStyle w:val="Heading2"/>
      </w:pPr>
      <w:r>
        <w:t>Systemic Design for Policy-Making: Towards the Next Circular Regions</w:t>
      </w:r>
    </w:p>
    <w:p>
      <w:r>
        <w:t>Original source (2020): https://doi.org/10.3390/su12114494</w:t>
      </w:r>
    </w:p>
    <w:p>
      <w:r>
        <w:t>Original wording (abstract; indexed_source_text_not_full_document_verified): The vast transformation the circular economy that will occur in the upcoming years inevitably will change the EU panorama, designing new scenarios from an economical-social-environmental perspective. This paper explores the impacts of circular economy policy design processes driven by a systemic design and how this expertise could ease innovative and effective paths for policy-planning on a circular transition in EU regions.</w:t>
      </w:r>
    </w:p>
    <w:p>
      <w:r>
        <w:t>POSSIBLE 2026: Business Model Innovation for Circular Transformation in the Built Environment — https://doi.org/10.1007/978-3-032-35104-3_109</w:t>
      </w:r>
    </w:p>
    <w:p>
      <w:r>
        <w:t>Shared claim-specific concepts: transformation, circular, design, systemic, paths; EU scope visible. This is a provisional connection, not an outcome finding.</w:t>
      </w:r>
    </w:p>
    <w:p>
      <w:r>
        <w:t>Available abstract (not full text): The construction sector is one of the most resource-intensive industries in Europe, accounting for approximately 50% of all extracted materials and generating close to 35% of the EU’s total waste output. Despite this scale, Europe’s circular material use rate remains low at 11.8%, reflecting the systemic linearity of current production and consumption patterns. Construction and demolition waste records a high nominal recovery rate of around 89% across the EU; however, recent studies show that most recovered material is downcycled into lower-grade applications, rather than reused at high value. This paper investigates how business model innovation can accelerate the change toward a circular built environment by aligning economic incentives with material reuse, long-life design, and digital traceability. Through a structured review of empirical studies and policy analyses, we identify enabling mechanisms such as circular procurement, digital material passports, market platforms for secondary materials, and performance-based contracting. Main barriers include fragmented value chains, limited standardization for reusable components, and insufficient financial drivers for high-value recovery. Policy instruments, including green public procurement, life-cycle costing provisions, digital product information requirements, and construction and demolition waste regulation, are examined a</w:t>
      </w:r>
    </w:p>
    <w:p>
      <w:r>
        <w:t>POSSIBLE 2025: Impact of digital transformation for sustainable circular economic environments — https://doi.org/10.1007/s44438-025-00001-3</w:t>
      </w:r>
    </w:p>
    <w:p>
      <w:r>
        <w:t>Shared claim-specific concepts: transformation, circular, economy, occur, perspective, design; EU scope not established. This is a provisional connection, not an outcome finding.</w:t>
      </w:r>
    </w:p>
    <w:p>
      <w:r>
        <w:t>Available abstract (not full text): Abstract Digital Transformation is a global phenomenon, capturing the attention in every industry and spurring major investment. However, digital transformation is not a single objective, but a multi-faceted approach depending on specific industrial goals and their digital maturity. Digital transformation is the way of change from a monolithic business approach to fully digitalized business strategies, resulting in digital transformation a key economic objective and a major success factor of a comprehensive corporate transformation. In addition to digital technologies, processes, and procedures, and aside from that also skilled employees required keeping pace in reacting quickly to changes in order to adapt to necessary needs and opportunities in the markets, to drive growth and innovation. In the first of the four industrial evolutions, steam power was a disruptive technology that has changed the working capabilities. In the second it was the assembly line and in the third the computer. Today, in the fourth industrial evolution, everything is digital. Intelligent digital technologies such as Artificial Intelligence (AI), Machine Learning (ML), Internet of Things (IoT), Big Data and Analytics, Automated Robots, and others are accelerating a profound transformation in the way industries work and do business. However, beside digital transformation a second transformation narrativ</w:t>
      </w:r>
    </w:p>
    <w:p>
      <w:r>
        <w:t>POSSIBLE 2024: Circular economy in the manufacturing sector: Digital transformation and sustainable practices — https://doi.org/10.30574/ijsra.2024.12.2.1217</w:t>
      </w:r>
    </w:p>
    <w:p>
      <w:r>
        <w:t>Shared claim-specific concepts: transformation, circular, economy, explores; EU scope not established. This is a provisional connection, not an outcome finding.</w:t>
      </w:r>
    </w:p>
    <w:p>
      <w:r>
        <w:t>Available abstract (not full text): The transition from a linear economy to a circular economy (CE) represents a profound shift in resource management practices, emphasizing sustainability and waste reduction as core principles. This review paper explores how digital transformation technologies, including Internet of Things (IoT), artificial intelligence (AI), blockchain, and big data, are integrated with circular economy principles within the manufacturing sector. It examines their roles in promoting sustainable manufacturing practices by optimizing resource use, improving efficiency, and reducing environmental impact. Through a comprehensive review of current literature and case studies, this paper elucidates the benefits, challenges, and future directions of adopting a circular economy approach in manufacturing, highlighting opportunities for innovation and sustainable growth.</w:t>
      </w:r>
    </w:p>
    <w:p>
      <w:r>
        <w:t>POSSIBLE 2024: ECONOMIC MONITORING OF THE CIRCULAR TRANSFORMATION AS A CHALLENGE FOR MECHANICAL ENGINEERING — https://openalex.org/W7215135237</w:t>
      </w:r>
    </w:p>
    <w:p>
      <w:r>
        <w:t>Shared claim-specific concepts: transformation, circular, economy; EU scope visible. This is a provisional connection, not an outcome finding.</w:t>
      </w:r>
    </w:p>
    <w:p>
      <w:r>
        <w:t>Available abstract (not full text): This paper critically evaluates the role of mechanical engineering in the economic monitoring of the circular economy transformation. The transition from a linear "take-make-dispose" model to a circular one is imperative for sustainability, requiring significant adaptation in mechanical engineering practices. The research investigates the methodologies and institutional frameworks that underpin this transformation, assessing their efficacy and identifying areas for enhancement. By examining the latest scientific literature and employing various indicators and evaluation methods, the study outlines the practical and strategic benefits of embracing circular economy principles. It underscores the necessity of robust monitoring mechanisms and the crucial role of institutions in fostering the transition, with a particular focus on the European Union's regulatory approach. This paper provides a comprehensive understanding of the state of circular economy implementation in mechanical engineering and suggests future directions for its development, monitoring, and integration into policy and educational frameworks.</w:t>
      </w:r>
    </w:p>
    <w:p>
      <w:r>
        <w:t>POSSIBLE 2023: Income inequality and circular materials use: an analysis of European Union economies and implications for circular economy development — https://doi.org/10.1108/md-11-2022-1620</w:t>
      </w:r>
    </w:p>
    <w:p>
      <w:r>
        <w:t>Shared claim-specific concepts: vast, circular, economy, occur, design, processes; EU scope visible. This is a provisional connection, not an outcome finding.</w:t>
      </w:r>
    </w:p>
    <w:p>
      <w:r>
        <w:t xml:space="preserve">Available abstract (not full text): Purpose The purpose of the research was to evaluate the relationship between income and the recycled materials used in order to rate the business related to circular repair services under the burden of economic development in the countries of the European Union. Design/methodology/approach The analytical processes explore data from 2010 to 2020. The countries were divided into clusters according to economic maturity (Human Development Index (HDI), real Gross domestic product (GDP) per capita). Subsequently, the relationships were evaluated through the income indicators (for the 13 population groups), and the circular materials use rate indicator. The three indicators decomposed into five specific metrics were employed. The commonly applied characteristics of the descriptive analysis, Pearson's correlation coefficient and the panel regression analysis were engaged in the investigation. Findings The results demonstrated the vast disparities between income and circular materials use. In the more economically developed countries, their levels were twice higher as the less-developed countries. However, there is a meaningful positive relationship between them. The greatest attention was paid to the panel regression analysis applied to the relationship between income and circular economy (CE) use. The results showed that in a majority of the cases (different income categories), there </w:t>
      </w:r>
    </w:p>
    <w:p>
      <w:r>
        <w:t>POSSIBLE 2023: The Circular Economy Transformation of Airports: An Alternative Model for Retail Waste Management — https://doi.org/10.3390/su15043860</w:t>
      </w:r>
    </w:p>
    <w:p>
      <w:r>
        <w:t>Shared claim-specific concepts: transformation, circular, economy, design, processes; EU scope not established. This is a provisional connection, not an outcome finding.</w:t>
      </w:r>
    </w:p>
    <w:p>
      <w:r>
        <w:t xml:space="preserve">Available abstract (not full text): Airport terminals worldwide generate approximately 6 million tons of passenger waste annually. Increased awareness of climate change and global interventions for environmental sustainability requires a reassessment of airports’ current methods of waste management. This paper proposes a new design concept solution called circular airport retail waste management (CAWM) for airport terminal retail waste processing, which aims to reduce and ideally eliminate airport waste ending up in landfill or incineration. Given the need for novelty and challenging the status-quo, the double diamond design process was adopted as the research method. The research began by collating the current practices of retail waste processing in airports via a literature review and field observations. Secondly, a critical analysis of the current processes was conducted to identify the intervention points. Thirdly, a concept solution was developed based on the circular economy (CE) 9R framework. Finally, the CAWM concept was delivered to airport waste management personnel for review. CAWM offers a structured way of airport retail waste management practices, including the segregation of nonrecyclable and recyclable waste (i.e., different bin designs, color coding, harmonization of waste colors, improved instructions and signage, various bin locations, training, and installing more liquid disposal and donation </w:t>
      </w:r>
    </w:p>
    <w:p>
      <w:r>
        <w:t>POSSIBLE 2023: Institutional theory and circular economy business models: The case of the European Union and the role of consumption policies — https://doi.org/10.1016/j.jenvman.2023.117906</w:t>
      </w:r>
    </w:p>
    <w:p>
      <w:r>
        <w:t>Shared claim-specific concepts: circular, economy; EU scope visible. This is a provisional connection, not an outcome finding.</w:t>
      </w:r>
    </w:p>
    <w:p>
      <w:r>
        <w:t>Available abstract (not full text): The circular economy (CE) has been gaining traction in recent years as it promises a change for good, in terms of environmental, social, and economic benefits. The major changes required to implement circular economy business models (CEBMs), can prove to be especially difficult for organisations. This study provides a holistic analysis of the effect of CE institutional policies on the development of CEBMs in organisations, by exploring not only production-oriented policies, which have been the focus of previous research, but also consumption policies. Consumption policies, in the form of regulatory and information policies, are oriented towards consumers and have the potential to affect the demand for CE products, which in turn affects the development of CEBMs in organisations. The paper is framed within the institutional theory and the context of the European Union. Our results reveal that consumption policies have a positive, albeit diminishing, effect on the CEBMs. Our paper finds that regulation is the most impactful policy, having a larger impact than production policies. Our results highlight the important role of institutional policies in fostering consumers' demand for CE products and of consumption policies as tools to be employed by governments in fostering CEBMs and achieving sustainability.</w:t>
      </w:r>
    </w:p>
    <w:p>
      <w:r>
        <w:t>POSSIBLE 2022: Circular cities: planning for circular development in European cities — https://doi.org/10.1080/09654313.2022.2060707</w:t>
      </w:r>
    </w:p>
    <w:p>
      <w:r>
        <w:t>Shared claim-specific concepts: transformation, circular; EU scope visible. This is a provisional connection, not an outcome finding.</w:t>
      </w:r>
    </w:p>
    <w:p>
      <w:r>
        <w:t>Available abstract (not full text): Circular development could produce more resource efficient, ecologically regenerative and resilient cities. This development pathway offers many ecological, social and economic benefits. However, there are also many challenges to implementation, not least a heavy reliance on the market to transform urban systems of provision. A regulatory and policy framework is essential for a circular transformation, until circular activities become competitive within existing markets. Spatial and land-use planning can offer this framework. This paper provides insight into the circular development process. It discusses the role of planning in delivering circular development, using examples from four European cities. It identifies the tools for delivery and discusses the inherent limitations of using planning tools to deliver a circular transformation.</w:t>
      </w:r>
    </w:p>
    <w:p>
      <w:r>
        <w:t>POSSIBLE 2022: The sustainable transformation of the Colombian cattle sector: Assessing its circularity — https://doi.org/10.1371/journal.pclm.0000074</w:t>
      </w:r>
    </w:p>
    <w:p>
      <w:r>
        <w:t>Shared claim-specific concepts: transformation, circular; EU scope not established. This is a provisional connection, not an outcome finding.</w:t>
      </w:r>
    </w:p>
    <w:p>
      <w:r>
        <w:t xml:space="preserve">Available abstract (not full text): Circular food systems are increasingly acknowledged for their potential to contribute to the transition towards sustainable futures. In a circular food system, the use of finite and limited resources is minimized, and nutrients in residual streams and inedible biomass for humans are reused as inputs in the bioeconomy. Livestock has become relevant in this narrative for upcycling nutrients contained in food by-products and grass resources into nutritious food for humans without using human-edible resources. Evaluating on-going national sustainability initiatives in the livestock sector is key to determine if circularity elements are already represented and to identify new opportunities and pathways for the future. In this paper we synthetize the environmental actions promoted by different initiatives driving the sustainable transformation of Colombian cattle production systems and assess the inclusion of circularity elements in these actions. The proposed environmental actions were concentrated in the conservation of remaining natural ecosystems, zero-deforestation and the sustainable intensification of cattle production through silvopastoral and paddock rotational systems. Circularity was addressed by some initiatives via the use organic fertilizers and the use of manure as fertilizers or feedstock for bioenergy generation. However, given that cattle farming is often practiced </w:t>
      </w:r>
    </w:p>
    <w:p>
      <w:r>
        <w:t>POSSIBLE 2022: Understanding circular economy transitions: The case of circular textiles — https://doi.org/10.1002/bse.3114</w:t>
      </w:r>
    </w:p>
    <w:p>
      <w:r>
        <w:t>Shared claim-specific concepts: transformation, circular, economy, processes; EU scope visible. This is a provisional connection, not an outcome finding.</w:t>
      </w:r>
    </w:p>
    <w:p>
      <w:r>
        <w:t>Available abstract (not full text): Abstract The circular economy has been proposed to transform global textile supply chains which are currently challenged by a complex nexus of sustainability issues related to the dominant fast fashion trend. Research on circular economy in the textile sector often focuses on businesses or consumers as key enablers in circular transitions , yet it treats them as independent entities and thereby neglects the study of interactions that can provide insight at the systems level. The proclaimed “circular textile mission” in the Netherlands setting a national target for 100% circularity by 2050 is used as case study to address this research gap. We explore the circular textile transition processes found in the context of the Dutch mission and compare the development and interactions among various technical and non‐technological solutions produced by engaged actor constellations for assessing key factors driving and blocking the overall mission fulfilment. To these ends, we derive a theoretical framework based on innovation system theory and conceptualize the Dutch circular textile transition as a Mission‐oriented Innovation System ( MIS ). Analyzing the structure and functioning of the Dutch mission‐oriented innovation system, we show that (1) there is a good match between the formal Dutch circular textile mission and system actor perceptions; (2) system actors have formed structures</w:t>
      </w:r>
    </w:p>
    <w:p>
      <w:r>
        <w:t>POSSIBLE 2022: Food system transformation for sustainable city-regions: exploring the potential of circular economies — https://doi.org/10.1080/00343404.2021.2021168</w:t>
      </w:r>
    </w:p>
    <w:p>
      <w:r>
        <w:t>Shared claim-specific concepts: transformation, circular; EU scope not established. This is a provisional connection, not an outcome finding.</w:t>
      </w:r>
    </w:p>
    <w:p>
      <w:r>
        <w:t>Available abstract (not full text): Calls for food system transformation to strengthen synergies between socio-economic and environmental goals have been growing in recent years. As yet, however, insights from theoretical debates have not been tested against the actions and perceptions of food system actors. To add empirical weight to this debate, we focus on a region in the north of England where the Covid-19 crisis has challenged the embeddedness of linear thinking and siloed policy approaches. Based on an exploration of the potential of ‘circular food economies’, the analysis provides insights into the capacity of ‘city-regions’ to reorientate food system dynamics towards sustainability objectives.</w:t>
      </w:r>
    </w:p>
    <w:p>
      <w:r>
        <w:t>POSSIBLE 2022: Circular Economy in the European Construction Sector: A Review of Strategies for Implementation in Building Renovation — https://doi.org/10.3390/en15134747</w:t>
      </w:r>
    </w:p>
    <w:p>
      <w:r>
        <w:t>Shared claim-specific concepts: circular, economy, design; EU scope visible. This is a provisional connection, not an outcome finding.</w:t>
      </w:r>
    </w:p>
    <w:p>
      <w:r>
        <w:t>Available abstract (not full text): Building renovation was declared a key point for sustainable development, however, the renovation rate of residential buildings in the European Union is insufficient to meet the climate and energy targets set. This paper analyses the main circular economy models used in the construction sector, as well as the situation of the building renovation market, to set a framework for circular economy models in building renovation. Of all the existing strategies in this sector, design, material recovery, building renovation and end-of-life actions would be the best, respectively. It also includes a market analysis consisting of a literature review covering PEST perspectives (political, economic, social and technical) and a SWOT analysis (strengths, weaknesses, opportunities and threats), concluding with a market gap analysis. The results of these analyses allow the development of a series of suggestions and strategies to be followed in order to solve the main barriers that hinder the implementation of the circular economy in the building´s renovation sector.</w:t>
      </w:r>
    </w:p>
    <w:p>
      <w:pPr>
        <w:pStyle w:val="Heading2"/>
      </w:pPr>
      <w:r>
        <w:t>The Impact of Decarbonization Scenarios on Air Quality and Human Health in Poland—Analysis of Scenarios up to 2050</w:t>
      </w:r>
    </w:p>
    <w:p>
      <w:r>
        <w:t>Original source (2020): https://doi.org/10.3390/atmos11111222</w:t>
      </w:r>
    </w:p>
    <w:p>
      <w:r>
        <w:t>Original wording (abstract; indexed_source_text_not_full_document_verified): The results also showed that the decrease in PM2.5 emissions envisaged in the analyzed scenarios in 2050 will lead to a reduction in the number of lost years of life by about 35 thousand and an avoidance of external costs by EUR 2.4 billion. The three scenarios of the REFLEX Project focused on the reduction of CO2 emissions up to 2050 from various sectors, mainly by the means of fuel and technological switches.</w:t>
      </w:r>
    </w:p>
    <w:p>
      <w:r>
        <w:t>POSSIBLE 2026: Pro-environmental behaviour in Europe — https://openalex.org/W7213476392</w:t>
      </w:r>
    </w:p>
    <w:p>
      <w:r>
        <w:t>Shared claim-specific concepts: also, decrease, emissions, lead, about, co2; EU scope visible. This is a provisional connection, not an outcome finding.</w:t>
      </w:r>
    </w:p>
    <w:p>
      <w:r>
        <w:t>Available abstract (not full text): This policy briefs examines the determinants of five pro-environmental behaviours (whether individuals reduce and separate waste, use fewer disposable items, buy more efficient appliances, use alternatives to car and install solar panels) across individuals, countries and time. Raising Europea's engagement in pro-environmental behaviour can decrease Co2 emissions by 6 to 16% and cut costs by 14 to 30 percent given current estimates, making the targeting of European's behaviour important. Results show that Europeans have on average increased their efforts living more environmentally friendly between 2013 and 2023. The youngest generations have adopted pro-environmental behaviour fastest. Pro-environmental behaviour varies considerably between European countries. Some of this variation can be explained by GDP, income inequality and country level concern about climate change. Individual characteristics like financial situation, feeling personally responsible for climate action and believing in climage change however appear to be most important for explaining pro-environmental behaviour holding country specific factors constant. The results suggest, that in order to widen pro-environmental behaviour across Europe, education remains an important tool to increase environmental concern as well as feelings of responsibilty to the climate, factors highly correlated with positive behavio</w:t>
      </w:r>
    </w:p>
    <w:p>
      <w:r>
        <w:t>POSSIBLE 2025: A Europe-wide characterization of the external exposome: A spatio-temporal analysis — https://doi.org/10.1016/j.envint.2025.109542</w:t>
      </w:r>
    </w:p>
    <w:p>
      <w:r>
        <w:t>Shared claim-specific concepts: also, showed, external; EU scope visible. This is a provisional connection, not an outcome finding.</w:t>
      </w:r>
    </w:p>
    <w:p>
      <w:r>
        <w:t>Available abstract (not full text): Background Harmonised data on external environmental exposures are essential for multi-cohort exposome studies. This paper describes the development of fine-spatial resolution models and resulting exposure maps for 33 major exposome factors —including physical–chemical, built, social, and food environments—across Europe from 2000 to 2020, and examines their spatial and temporal interrelations. Methods New fine spatial resolution Europe-wide models were developed for annual/monthly average air pollution, daily temperature, and annual-average road-traffic noise, combined with post-processing of existing data on green, blue, and grey spaces (imperviousness), walkability, light-at-night, and urbanicity. Exposure metrics relevant for epidemiological studies were developed for all exposome factors, with correlations calculated at European and country levels. Stability and trends over time were assessed for 18 factors. Results At the European level, most environmental factors showed weak correlations (R &lt; 0.4), except NO 2 , which showed moderate to strong correlations with built environment factors. Country-level correlations varied. Annual average exposure surfaces were stable over time, with strong correlations between early and late time points for all factors except O 3 ​ (R = 0.66). Trends indicated decreases in air pollution and increases in temperature, green space, and imperv</w:t>
      </w:r>
    </w:p>
    <w:p>
      <w:r>
        <w:t>POSSIBLE 2025: Dementia-free life expectancy in Europe — https://openalex.org/W7135476202</w:t>
      </w:r>
    </w:p>
    <w:p>
      <w:r>
        <w:t>Shared claim-specific concepts: also, number, life; EU scope visible. This is a provisional connection, not an outcome finding.</w:t>
      </w:r>
    </w:p>
    <w:p>
      <w:r>
        <w:t>Available abstract (not full text): Dementia-free life expectancy in Europe Abstract Population ageing is associated with a growing number of people living with dementia. Although improvements in healthcare have led to increases in life expectancy at birth, it remains unclear to what extent this also means longer healthy lives. This bachelor's thesis aims to analyze dementia- free life expectancy in older age in European countries, with a focus on sex, age, and regional disparities. The analysis is based primarily on data from the Dementia in Europe Yearbook 2019 and the Human Mortality Database. Dementia-free life expectancy is calculated using Sullivan's method, based on prevalence rates of dementia and constructed life tables. The results show that standardized dementia prevalence rates are relatively homogeneous across Europe but increase sharply with age and are higher among women. The share of life spent without dementia decreases with age and is consistently higher among men in all age groups. Western European countries report higher absolute dementia-free life expectancy, whereas Eastern European countries reach higher relative shares of life spent without dementia. At age 85, men in many countries exhibit not only higher relative, but also higher absolute dementia-free life expectancy than women. The findings highlight the growing...</w:t>
      </w:r>
    </w:p>
    <w:p>
      <w:r>
        <w:t>POSSIBLE 2023: Is the flood occurrence rate decreasing in Southeast Europe? — https://doi.org/10.5194/egusphere-egu23-6031</w:t>
      </w:r>
    </w:p>
    <w:p>
      <w:r>
        <w:t>Shared claim-specific concepts: also, decrease, reduction, three, project; EU scope visible. This is a provisional connection, not an outcome finding.</w:t>
      </w:r>
    </w:p>
    <w:p>
      <w:r>
        <w:t xml:space="preserve">Available abstract (not full text): Floods are natural phenomena, which can turn into disasters and cause widespread damage, health problems and deaths. This is particularly the case where rivers have been denied from their natural floodplains and are limited by embankments, and where housing and industrial buildings have been constructed in areas that are naturally liable to flooding. However, during the last few decades, flood observations from different parts of Europe do not show a clear increase in flood occurrence rate (Blöschl et al., 2019). In the present paper we present longer-term records of winter and summer floods in one of the largest river of Southeast Europe, the Sava River for the 1926-2021 period. We analysed three group of events that were based on three flood protection levels in Republic of Serbia defined for Sremska Mitrovica station. Regular protection level is set at 4120 m3/s and emergency flood defense level which is set at 5120 m3/s, that is, minor events are up to the regular protection level, strong events are up to the emergency level and extreme events are above emergency flood defense level. For the past 95 years, we find a decrease in both summer and winter flood occurrence rates. The reduction in winter flood occurrence can partly be attributed to reduced amount of precipitation during this period of the year. Further, on the basis of these data and methods, we find that for the </w:t>
      </w:r>
    </w:p>
    <w:p>
      <w:r>
        <w:t>POSSIBLE 2023: Decreasing trends of ammonia emissions over Europe seen from remote sensing and inverse modelling — https://doi.org/10.5194/acp-23-15235-2023</w:t>
      </w:r>
    </w:p>
    <w:p>
      <w:r>
        <w:t>Shared claim-specific concepts: also, showed, emissions; EU scope visible. This is a provisional connection, not an outcome finding.</w:t>
      </w:r>
    </w:p>
    <w:p>
      <w:r>
        <w:t>Available abstract (not full text): Abstract. Ammonia (NH3), a significant precursor of particulate matter, affects not only biodiversity, ecosystems, and soil acidification but also climate and human health. In addition, its concentrations are constantly rising due to increasing feeding needs and the large use of fertilization and animal farming. Despite the significance of ammonia, its emissions are associated with large uncertainties, while its atmospheric abundance is difficult to measure. Nowadays, satellite products can effectively measure ammonia with low uncertainty and a global coverage. Here, we use satellite observations of column ammonia in combination with an inversion algorithm to derive ammonia emissions with a high resolution over Europe for the period 2013–2020. Ammonia emissions peak in northern Europe due to agricultural application and livestock management, in western Europe (industrial activity), and over Spain (pig farming). Emissions have decreased by −26 % since 2013 (from 5431 Gg in 2013 to 3994 Gg in 2020), showing that the abatement strategies adopted by the European Union have been very efficient. The slight increase (+4.4 %) in 2015 is also reproduced here and is attributed to some European countries exceeding annual emission targets. Ammonia emissions are low in winter (286 Gg) and peak in summer (563 Gg) and are dominated by the temperature-dependent volatilization of ammonia from t</w:t>
      </w:r>
    </w:p>
    <w:p>
      <w:r>
        <w:t>POSSIBLE 2022: Permanent grasslands in Europe: Land use change and intensification decrease their multifunctionality — https://doi.org/10.1016/j.agee.2022.107891</w:t>
      </w:r>
    </w:p>
    <w:p>
      <w:r>
        <w:t>Shared claim-specific concepts: also, decrease, number; EU scope visible. This is a provisional connection, not an outcome finding.</w:t>
      </w:r>
    </w:p>
    <w:p>
      <w:r>
        <w:t>Available abstract (not full text): Permanent grasslands cover 34% of the European Union’s agricultural area and are vital for a wide variety of ecosystem services essential for our society. Over recent decades, the permanent grassland area has declined and land use change continues to threaten its extent. Simultaneously, the management intensity of permanent grasslands increased. We performed a systematic literature review on the multifunctionality of permanent grasslands in Europe, examining the effects of land use and management on 19 grassland ecosystem service indicators. Based on the evidence in 696 out of 70,456 screened papers, published since 1980, we found that both land use change and intensification of management decreased multifunctionality. In particular, preventing conversion of permanent grasslands to croplands secured the delivery of multiple ecosystem services. A lower management intensity was associated with benefits for biodiversity, climate regulation and water purification, but impacted the provision of high-quality animal feed. Increasing the number of species in the sward enhanced multifunctionality of permanent grassland without significant trade-offs such as losses in production. Our review covered many aspects of land use, management and ecosystem services, but we also identified areas with no or only few studies. The most prominent gaps were related to comparisons between permanent and</w:t>
      </w:r>
    </w:p>
    <w:p>
      <w:r>
        <w:t>POSSIBLE 2022: Market Reaction As An Impact Of The Fed Interest Rate Decrease Announcement In Asian And European Areas — https://doi.org/10.24843/matrik:jmbk.2022.v16.i01.p03</w:t>
      </w:r>
    </w:p>
    <w:p>
      <w:r>
        <w:t>Shared claim-specific concepts: also, decrease, reduction; EU scope visible. This is a provisional connection, not an outcome finding.</w:t>
      </w:r>
    </w:p>
    <w:p>
      <w:r>
        <w:t>Available abstract (not full text): Market Reaction As An Impact Of The Fed Interest Rate Decrease Announcement In Asian And European Areas ABSTRACT The announcement of the reduction in the Fed's interest rate on July 31, 2019 is a rare event since 2008. The Fed's rate cut will have a major impact on the global economy and conditions in the capital market.The purpose of this study is to determine whether there is a difference in the average abnormal return around the date of the announcement of the Fed's interest rate hike in Asia and the European region. The sample of this study was 18 emerging market countries' index indices in Asia and Europe with sample collection techniques using purposive sampling. This study uses One Way Anova analysis techniques and One Sample T-test. The results found that there was no difference in the average abnormal return before and after the announcement of the Fed's interest rate increase. This condition shows that markets in the two regions do not react significantly because markets in Asia and the European region are in an efficient condition in the form of half strong, where the market absorbs information quickly and is reflected in stock prices so there is no difference in the average abnormal return in both regions. The absence of a difference in the average abnormal return is also caused by the uncertainty of the global economy making investors more careful in making investm</w:t>
      </w:r>
    </w:p>
    <w:p>
      <w:r>
        <w:t>POSSIBLE 2022: Flash drought drives rapid vegetation stress in arid regions in Europe — https://doi.org/10.1088/1748-9326/acae3a</w:t>
      </w:r>
    </w:p>
    <w:p>
      <w:r>
        <w:t>Shared claim-specific concepts: also, decrease, about; EU scope visible. This is a provisional connection, not an outcome finding.</w:t>
      </w:r>
    </w:p>
    <w:p>
      <w:r>
        <w:t>Available abstract (not full text): Abstract Flash droughts are characterised by rapid onset, combined with the potential to severely impact agriculture and ecosystems. However, assessments of the ecological impacts of flash droughts, especially in Europe, are largely lacking. Here we investigate ecosystem responses to flash droughts in Europe between 2001 and 2019 using diverse observational data, including gross primary production (GPP) and leaf area index (LAI). We find that in arid regions an abrupt transition to water-stressed conditions occurs within a few weeks, which negatively affects vegetation status and reduces carbon uptake in the initial stages of drought; normalised anomalies of LAI and GPP decrease to about −0.5. By contrast, vegetation in humid regions is not as severely affected, given that soil moisture recovers relatively quickly. We also show that soil moisture status before the onset of drought significantly impacts the timing (1–5 pentads) and degree (−0.33 to −0.71 of normalised LAI and GPP anomalies) of drought-induced vegetation stress, particularly in arid regions. Our results highlight the regional characteristics of flash drought impacts for more informative monitoring and early warning systems.</w:t>
      </w:r>
    </w:p>
    <w:p>
      <w:r>
        <w:t>POSSIBLE 2022: Decreasing trend of monkeypox cases in Europe and America shows hope for the world: Evidence from the latest epidemiological data — https://doi.org/10.1002/hsr2.1030</w:t>
      </w:r>
    </w:p>
    <w:p>
      <w:r>
        <w:t>Shared claim-specific concepts: also, showed, decrease, number, three; EU scope visible. This is a provisional connection, not an outcome finding.</w:t>
      </w:r>
    </w:p>
    <w:p>
      <w:r>
        <w:t>Available abstract (not full text): Monkeypox (MPOX) is a zoonotic viral disease caused by an Orthopox DNA virus named mpox virus (MPOXV). Scientists first discovered MPOXV in a monkey transported from Singapore to Denmark for research purposes. However, at first, the virus's primary animal reservoir was rodents. In 1970, a 9-year-old child from the Democratic Republic of the Congo was first diagnosed with MPOX. Since then, 11 African nations have recorded human instances of MPOX.1 Between 1970 and 1979, six African countries reported only 48 confirmed human MPOX cases. However, African nations reported more than 400 human MPOX cases at a death rate close to 10% by 1986. Several minor MPOX outbreaks between 1991 and 1999 reported 500 MPOX cases in tropical Central and Western Africa.2 However, isolated cases have been discovered in countries outside of Africa since 2003. The United States of America (USA) had the first outbreak of MPOX outside of Africa in 2003.3 The multicountry MPOX outbreaks have been reported in nonendemic nations starting in early May 2022.4 Belgium, Sweden, and Italy detected their first confirmed MPOX cases on May 19, 2022. Australia reported the first case on May 20, 2022, in Sydney and Melbourne in persons who had visited Europe just before their detection. On May 20, 2022, France, Germany, and the Netherlands reported their first cases. In contrast, the United Arab Emirates announced th</w:t>
      </w:r>
    </w:p>
    <w:p>
      <w:r>
        <w:t>POSSIBLE 2022: Osteoporosis in Europe: a compendium of country-specific reports — https://doi.org/10.1007/s11657-021-00969-8</w:t>
      </w:r>
    </w:p>
    <w:p>
      <w:r>
        <w:t>Shared claim-specific concepts: also, number; EU scope visible. This is a provisional connection, not an outcome finding.</w:t>
      </w:r>
    </w:p>
    <w:p>
      <w:r>
        <w:t>Available abstract (not full text): This report describes epidemiology, burden, and treatment of osteoporosis in each of the 27 countries of the European Union plus Switzerland and the UK (EU 27+2). INTRODUCTION: The aim of this report was to characterize the burden of osteoporosis in each of the countries of the European Union plus Switzerland and the UK in 2019 and beyond. METHODS: The data on fracture incidence and costs of fractures in the EU27+2 was taken from a concurrent publication in this journal (SCOPE 2021: a new scorecard for osteoporosis in Europe) and country-specific information extracted. The information extracted covered four domains: burden of osteoporosis and fractures; policy framework; service provision; and service uptake. RESULTS: The clinical and economic burden of osteoporotic fractures in 2019 is given for each of the 27 countries of the EU plus Switzerland and the UK. Each domain was ranked and the country performance set against the scorecard for all nations studied. Data were also compared with the first SCOPE undertaken in 2010. Fifteen of the 16 score card metrics on healthcare provision were used in the two surveys. Scores had improved or markedly improved in 15 countries, remained constant in 8 countries and worsened in 3 countries. The average treatment gap increased from 55% in 2010 to 71% in 2019. Overall, 10.6 million women who were eligible for treatment were untreated in 201</w:t>
      </w:r>
    </w:p>
    <w:p>
      <w:r>
        <w:t>POSSIBLE 2021: A 41‐year bioclimatology of thermal stress in Europe — https://doi.org/10.1002/joc.7051</w:t>
      </w:r>
    </w:p>
    <w:p>
      <w:r>
        <w:t>Shared claim-specific concepts: also, showed, number; EU scope visible. This is a provisional connection, not an outcome finding.</w:t>
      </w:r>
    </w:p>
    <w:p>
      <w:r>
        <w:t>Available abstract (not full text): Abstract The bioclimatology of thermal stress over Europe between 1979 and 2019 was analysed using the Universal Thermal Climate Index (UTCI) derived from ERA5‐HEAT reanalysis. The bioclimatology of different European regions was assessed using Köppen–Geiger climate classification. The annual number of hours with heat stress (UTCI &gt; 32°C) increased significantly during the study period for all the analysed Köppen–Geiger climate subclasses, showing also a clear increase towards southern Europe. The highest percentage of hours (20% of all hours) with cold stress (UTCI &lt; −13°C) occur over northern Europe. A significant increasing trend (&gt;0.05 hr·year−1) in the number of hours with heat stress was observed for 23 out of 32 analysed European cities representative for the Köppen–Geiger climate subclasses. For these cities not only the number of hours with heat stress has increased but also the heat stress is more persistent, while the number of cases and the persistence of the periods with cold stress have decreased over the last four decades. The UTCI values showed a statistically significant increase between 0.6 and 3.2°C for all the analysed cities over the study period reflecting the rising of global mean temperatures.</w:t>
      </w:r>
    </w:p>
    <w:p>
      <w:r>
        <w:t>POSSIBLE 2021: Time-resolved emission reductions for atmospheric chemistry modelling in Europe during the COVID-19 lockdowns — https://doi.org/10.5194/acp-21-773-2021</w:t>
      </w:r>
    </w:p>
    <w:p>
      <w:r>
        <w:t>Shared claim-specific concepts: also, pm2, emissions, reduction; EU scope visible. This is a provisional connection, not an outcome finding.</w:t>
      </w:r>
    </w:p>
    <w:p>
      <w:r>
        <w:t>Available abstract (not full text): Abstract. We quantify the reductions in primary emissions due to the COVID-19 lockdowns in Europe. Our estimates are provided in the form of a dataset of reduction factors varying per country and day that will allow modelling and identifying the associated impacts upon air quality. The country- and daily-resolved reduction factors are provided for each of the following source categories: energy industry (power plants), manufacturing industry, road traffic and aviation (landing and take-off cycle). We computed the reduction factors based on open access and near-real time measured activity data from a wide range of information sources. We also trained a machine learning model with meteorological data to derive weather-normalised electricity consumption reductions. The time period covered is from 21 February, when the first European localised lockdown was implemented in the region of Lombardy (Italy), until 26 April 2020. This period includes five weeks (23 March until 26 April) with the most severe and relatively unchanged restrictions upon mobility and socio-economic activities across Europe. The computed reduction factors were combined with the Copernicus Atmosphere Monitoring Service's European emission inventory using adjusted emission temporal profiles in order to derive time-resolved emission reductions per country and pollutant sector. During the most severe lockdown perio</w:t>
      </w:r>
    </w:p>
    <w:p>
      <w:pPr>
        <w:pStyle w:val="Heading2"/>
      </w:pPr>
      <w:r>
        <w:t>The convergence or divergence of labour resources in Poland?</w:t>
      </w:r>
    </w:p>
    <w:p>
      <w:r>
        <w:t>Original source (2020): https://doi.org/10.15611/pn.2020.4.07</w:t>
      </w:r>
    </w:p>
    <w:p>
      <w:r>
        <w:t>Original wording (abstract; indexed_source_text_not_full_document_verified): Eurostat’s projections indicate that by 2050 Poland will see a significant reduction in and ageing of its labour resources.</w:t>
      </w:r>
    </w:p>
    <w:p>
      <w:r>
        <w:t>POSSIBLE 2026: Beyond the IRENA baseline: Mapping end-of-life photovoltaic waste flows across EU-27 using Weibull lifetime distributions screened against Eurostat data and updated efficiency scenarios — https://doi.org/10.1016/j.renene.2026.126404</w:t>
      </w:r>
    </w:p>
    <w:p>
      <w:r>
        <w:t>Shared claim-specific concepts: eurostat, projections, indicate, significant; EU scope visible. This is a provisional connection, not an outcome finding.</w:t>
      </w:r>
    </w:p>
    <w:p>
      <w:r>
        <w:t>Available abstract (not full text): As the European Union accelerates photovoltaic deployment to achieve the milestones outlined in the 2025 National Energy and Climate Plans, accurate waste forecasting emerges as a significant challenge for the circular economy. This study re-evaluates EU-27 PV waste projections through 2050, comparing theoretical models with available empirical Eurostat collection data. Findings indicate that the standard IRENA Regular Loss model systematically underestimates waste generation, resulting in collection rates that exceed 200%. A new scenario, RL NEW , is proposed, featuring a revised Weibull parameterization and an updated time-variable mass-to-capacity transformation function. This alternative baseline scenario, screened for consistency against Eurostat aggregate data, forecasts cumulative 2025 waste volumes that are 214% higher than previous estimates. For the first time, projections are disaggregated by application, revealing a rooftop-dominated market in which 60% of waste necessitates decentralized logistics. The analysis identifies a bifurcated challenge: established operators should expand capacity to manage 65% of the European Union’s waste, while rapidly growing markets encounter surges up to 12,000-fold. Additionally, the Collection Difficulty Index is introduced to quantify the logistical impact of waste stream fragmentation, identifying a "Logistical Pivot" around 2030</w:t>
      </w:r>
    </w:p>
    <w:p>
      <w:r>
        <w:t>POSSIBLE 2022: Convergence of Population Structures of the European Union Member States—The Past and the Future — https://doi.org/10.3390/su14021024</w:t>
      </w:r>
    </w:p>
    <w:p>
      <w:r>
        <w:t>Shared claim-specific concepts: eurostat, projections, indicate, see, significant, ageing; EU scope visible. This is a provisional connection, not an outcome finding.</w:t>
      </w:r>
    </w:p>
    <w:p>
      <w:r>
        <w:t>Available abstract (not full text): The Eurostat projections indicate that, by 2050, most of the European Union member states will see a fall in their population size, a drop in the share of young people, and a simultaneous rise in the share of elderly persons. There exist visible disproportions in the population structures between the EU countries, and the ageing of the population has two dimensions: it is occurring from the top down and from the bottom up. The goal of the study was to assess the stage of advancement and diversity of the ageing of population in the past and in the year 2050. Convergence models were designed for ten variables (indicators for structures by age, demographic dependency, median age) and a synthetic variable characterising the stage of advancement of the ageing of the structures. The occurrence of beta- and sigma-convergence of population structures in EU-27 in the years 2004–2020 and 2020–2050 were verified. The results indicate that absolute beta-convergence of the variables characterising the population structures in the EU countries happened in the past and will happen in around 2050. No unambiguous proof has been found for sigma-convergence, i.e., for any significant decrease over time in the diversity between the countries in terms of the studied variables that characterise the ageing process. In the past, the bottom-up ageing has occurred faster than the top-down ageing, while,</w:t>
      </w:r>
    </w:p>
    <w:p>
      <w:r>
        <w:t>POSSIBLE 2021: Current and projected regional economic impacts of heatwaves in Europe — https://doi.org/10.1038/s41467-021-26050-z</w:t>
      </w:r>
    </w:p>
    <w:p>
      <w:r>
        <w:t>Shared claim-specific concepts: projections, indicate, labour; EU scope visible. This is a provisional connection, not an outcome finding.</w:t>
      </w:r>
    </w:p>
    <w:p>
      <w:r>
        <w:t>Available abstract (not full text):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pPr>
        <w:pStyle w:val="Heading2"/>
      </w:pPr>
      <w:r>
        <w:t>The development of a system of «green» skills in the strategizing of labor resources of industrial enterprises</w:t>
      </w:r>
    </w:p>
    <w:p>
      <w:r>
        <w:t>Original source (2020): https://doi.org/10.17073/2072-1633-2019-4-484-493</w:t>
      </w:r>
    </w:p>
    <w:p>
      <w:r>
        <w:t>Original wording (abstract; indexed_source_text_not_full_document_verified): The article presents the forecasts of the International Labor Organization until 2030 of a change in the need for professions, professional fields and related skills of subordinates and managers.</w:t>
      </w:r>
    </w:p>
    <w:p>
      <w:r>
        <w:t>POSSIBLE 2026: FORECASTS OF THE NUMBER OF CATTLE GRAZED ON PASTURES IN THE REPUBLIC OF KARAKALPAKSTAN — https://doi.org/10.5281/zenodo.21772231</w:t>
      </w:r>
    </w:p>
    <w:p>
      <w:r>
        <w:t>Shared claim-specific concepts: article, presents, forecasts; EU scope not established. This is a provisional connection, not an outcome finding.</w:t>
      </w:r>
    </w:p>
    <w:p>
      <w:r>
        <w:t>Available abstract (not full text):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r>
        <w:t>POSSIBLE 2026: FORECASTS OF THE NUMBER OF CATTLE GRAZED ON PASTURES IN THE REPUBLIC OF KARAKALPAKSTAN — https://openalex.org/W7220162741</w:t>
      </w:r>
    </w:p>
    <w:p>
      <w:r>
        <w:t>Shared claim-specific concepts: article, presents, forecasts; EU scope not established. This is a provisional connection, not an outcome finding.</w:t>
      </w:r>
    </w:p>
    <w:p>
      <w:r>
        <w:t>Available abstract (not full text): This article presents forecasts for 2027–2031 of the total cattle population and the number of cattle grazedon pastures in the Republic of Karakalpakstan. The analysis is based on annual time-series data for 2010–2026 andemploys the Augmented Dickey–Fuller test, correlogram analysis and ARMAX models. A trend ARMAX (0,0,1) specificationwas selected for the total cattle population, while a quadratic-trend ARMAX(2,0,1) model was selected for pasture-grazedcattle. The forecast suggests that by 2031 the total cattle population may reach 1,483,420 heads and the pasture-grazedcattle population may reach 73,734 heads. The findings can be used to plan pasture load and support evidence-basedlivestock-management decisions.</w:t>
      </w:r>
    </w:p>
    <w:p>
      <w:r>
        <w:t>POSSIBLE 2026: Forecasting flight delays in Poland using the Holt-Winters method — https://doi.org/10.5604/01.3001.0055.9300</w:t>
      </w:r>
    </w:p>
    <w:p>
      <w:r>
        <w:t>Shared claim-specific concepts: article, presents, forecasts, need; EU scope visible. This is a provisional connection, not an outcome finding.</w:t>
      </w:r>
    </w:p>
    <w:p>
      <w:r>
        <w:t>Available abstract (not full text): This article presents forecasts of flight delays in the Polish airspace developed using the Holt-Winters model. The analysis covers monthly time series data from 2016 to 2025 for major airports, taking into account nine categories of delays, including reactionary, operational and weather-related delays. Using exponential smoothing models with trend and seasonality, optimized based on MAE and MAPE errors, the study demonstrated strong seasonality and upward trends in reactionary delays and capacity constraints. Forecasts for 2027–2035 predict an increase in the overall level of delays, accompanied by a decrease in delays generated directly by airlines. The results highlight the key role of the domino effect (reactionary delays) and emphasize the need to optimize air traffic management.</w:t>
      </w:r>
    </w:p>
    <w:p>
      <w:r>
        <w:t>POSSIBLE 2026: Theory and Practice of Gas Consumption Forecasting in Planning the Development of Regional Gas Supply Systems — https://doi.org/10.1134/s1075700725700935</w:t>
      </w:r>
    </w:p>
    <w:p>
      <w:r>
        <w:t>Shared claim-specific concepts: article, presents, forecasts; EU scope not established. This is a provisional connection, not an outcome finding.</w:t>
      </w:r>
    </w:p>
    <w:p>
      <w:r>
        <w:t>Available abstract (not full text): Abstract— Gas consumption forecasting is essential for decision-making regarding the operation and development of the gas industry, a key sector within the nation’s fuel and energy complex. This article focuses specifically on medium-term consumption forecasts for a region—a federal subject of the Russian Federation. Such forecasts are required for developing and adjusting regional gas supply schemes. A forecast must account for the sequence of prior decisions and their actual implementation, as well as requests from potential consumers for natural gas service connection. The primary recommended methodology for medium-term forecasting is based on factor analysis approaches. The article presents forecasting results for nine Russian regions. These case studies convincingly demonstrate the advisability of segmenting regional consumption into three to four sectors; incorporating three climatic factors, rather than one, into models; and reducing the number of a priori selected socio-economic factors based on the analysis results.</w:t>
      </w:r>
    </w:p>
    <w:p>
      <w:r>
        <w:t>POSSIBLE 2026: Density forecasting: A survey — https://doi.org/10.82444/warw.33523213</w:t>
      </w:r>
    </w:p>
    <w:p>
      <w:r>
        <w:t>Shared claim-specific concepts: article, presents, forecasts; EU scope not established. This is a provisional connection, not an outcome finding.</w:t>
      </w:r>
    </w:p>
    <w:p>
      <w:r>
        <w:t>Available abstract (not full text): A density forecast of the realization of a random variable at some future time is an estimate of the probability distribution of the possible future values of that variable. This article presents a selective survey of applications of density forecasting in macroeconomics and finance, and discusses some issues concerning the production, presentation, and evaluation of density forecasts. Copyright (C) 2000 John Wiley &amp; Sons, Ltd.</w:t>
      </w:r>
    </w:p>
    <w:p>
      <w:r>
        <w:t>POSSIBLE 2025: Review of Methods and Models for Forecasting Electricity Consumption — https://doi.org/10.3390/en18154032</w:t>
      </w:r>
    </w:p>
    <w:p>
      <w:r>
        <w:t>Shared claim-specific concepts: article, presents, forecasts, need; EU scope not established. This is a provisional connection, not an outcome finding.</w:t>
      </w:r>
    </w:p>
    <w:p>
      <w:r>
        <w:t xml:space="preserve">Available abstract (not full text): This article presents a comprehensive review of methods used for forecasting electricity consumption. The studies analyzed by the authors encompass both classical statistical models and modern approaches based on artificial intelligence, including machine-learning and deep-learning techniques. Electricity load forecasting is categorized into four time horizons: very short term, short term, medium term, and long term. The authors conducted a comparative analysis of various models, such as autoregressive models, neural networks, fuzzy logic systems, hybrid models, and evolutionary algorithms. Particular attention was paid to the effectiveness of these methods in the context of variable input data, such as weather conditions, seasonal fluctuations, and changes in energy consumption patterns. The article emphasizes the growing importance of accurate forecasts in the context of the energy transition, integration of renewable energy sources, and the management of the evolving electricity system, shaped by decentralization, renewable integration, and data-intensive forecasting demands. In conclusion, the authors highlight the lack of a universal forecasting approach and the need for further research on hybrid models that combine interpretability with high predictive accuracy. This review can serve as a valuable resource for decision-makers, grid operators, and researchers involved in </w:t>
      </w:r>
    </w:p>
    <w:p>
      <w:r>
        <w:t>POSSIBLE 2024: Development of the international transportation projects in Russia – forecast until 2030 year — https://doi.org/10.64457/ru-science-2024-i03-a02</w:t>
      </w:r>
    </w:p>
    <w:p>
      <w:r>
        <w:t>Shared claim-specific concepts: article, presents, forecasts, international, until; EU scope not established. This is a provisional connection, not an outcome finding.</w:t>
      </w:r>
    </w:p>
    <w:p>
      <w:r>
        <w:t>Available abstract (not full text): This article presents forecasts of the development of international infrastructure projects for the next decade. The author examines the transport infrastructure of Russia, sea and rail international transport corridors, highlighting the most promising areas for development. The article presents a retrospective of the formation of transport infrastructure from the beginning of the twentieth century to the present, and also examines promising areas for the development of transport logistics in modern realities. The historically established pattern is currently changing under the pressure of sanctions, and the political situation on the world stage is pushing to explore new directions and develop new international relations. In the article, the author tried to identify current trends in the development of the Russian transport network until 2030, considering examples of sea and rail transport routes.</w:t>
      </w:r>
    </w:p>
    <w:p>
      <w:r>
        <w:t>POSSIBLE 2024: Machine Learning-Based Forecasting of Temperature and Solar Irradiance for Photovoltaic Systems — https://doi.org/10.3390/en17051124</w:t>
      </w:r>
    </w:p>
    <w:p>
      <w:r>
        <w:t>Shared claim-specific concepts: article, presents, forecasts; EU scope not established. This is a provisional connection, not an outcome finding.</w:t>
      </w:r>
    </w:p>
    <w:p>
      <w:r>
        <w:t>Available abstract (not full text): The integration of photovoltaic (PV) systems into the global energy landscape has been boosted in recent years, driven by environmental concerns and research into renewable energy sources. The accurate prediction of temperature and solar irradiance is essential for optimizing the performance and grid integration of PV systems. Machine learning (ML) has become an effective tool for improving the accuracy of these predictions. This comprehensive review explores the pioneer techniques and methodologies employed in the field of ML-based forecasting of temperature and solar irradiance for PV systems. This article presents a comparative study between various algorithms and techniques commonly used for temperature and solar radiation forecasting. These include regression models such as decision trees, random forest, XGBoost, and support vector machines (SVM). The beginning of this article highlights the importance of accurate weather forecasts for the operation of PV systems and the challenges associated with traditional meteorological models. Next, fundamental concepts of machine learning are explored, highlighting the benefits of improved accuracy in estimating the PV power generation for grid integration.</w:t>
      </w:r>
    </w:p>
    <w:p>
      <w:r>
        <w:t>POSSIBLE 2023: PLANNING AND FORECASTING — https://doi.org/10.5281/zenodo.7818282</w:t>
      </w:r>
    </w:p>
    <w:p>
      <w:r>
        <w:t>Shared claim-specific concepts: article, presents, need, related; EU scope not established. This is a provisional connection, not an outcome finding.</w:t>
      </w:r>
    </w:p>
    <w:p>
      <w:r>
        <w:t>Available abstract (not full text): The article presents scientific analyzes of the economic essence and the objective need for planning and forecasting in a market economy. In the article, in modern literature and manuals on economic planning, the scientific essence of theories and concepts related to the optimization and forecasting of data is explained.</w:t>
      </w:r>
    </w:p>
    <w:p>
      <w:r>
        <w:t>POSSIBLE 2023: Improving the quality of the forecast through methods of combining forecasts — https://doi.org/10.18822/byusu20230346-51</w:t>
      </w:r>
    </w:p>
    <w:p>
      <w:r>
        <w:t>Shared claim-specific concepts: article, presents, forecasts; EU scope not established. This is a provisional connection, not an outcome finding.</w:t>
      </w:r>
    </w:p>
    <w:p>
      <w:r>
        <w:t>Available abstract (not full text): Subject of research: The article is devoted to the comparison of forecasting methods and methods of combining forecasts when forecasting average monthly wages for some regions of the Russian Federation for the period from January 2013 to July 2022. Purpose of the study: To test the hypothesis of improving forecast quality through forecast pooling methods. Methods and objects of research: Time series of average monthly wages in the Khanty-Mansi Autonomous Okrug Yugra, Yamal-Nenets Autonomous Okrug and Sverdlovsk region are used to compare forecasting methods and methods of combining forecasts. The paper considers forecasting methods: TBATS, ARIMA, exponential smoothing, ETS, Theta, STL, polynomial regression and the approach in combining forecasts by the Granger-Ramanathan method. Main results of research: The paper presents the results of comparison of forecasting methods and approach in combining forecasts by Granger-Ramanathan method. Time series of average monthly wages were taken from statistical collections of Rosstat. The forecast horizon was set at 12, 18 and 24 points. The Granger-Ramanathan method showed that in most cases it is possible to improve the quality of the forecast by combining private forecasts.</w:t>
      </w:r>
    </w:p>
    <w:p>
      <w:r>
        <w:t>POSSIBLE 2023: ENVIRONMENTAL SAFETY IN THE CONTEXT OF FORECASTS FOR THE DEVELOPMENT OF TRADITIONAL AND ALTERNATIVE ENERGY — https://doi.org/10.61260/2307-7476-2023-3-6-21</w:t>
      </w:r>
    </w:p>
    <w:p>
      <w:r>
        <w:t>Shared claim-specific concepts: article, presents, forecasts, need, related; EU scope not established. This is a provisional connection, not an outcome finding.</w:t>
      </w:r>
    </w:p>
    <w:p>
      <w:r>
        <w:t>Available abstract (not full text): In the article, in connection with the problem of ensuring environmental safety and, in particular, in connection with the need to overcome the low level of environmental education and environmental culture of the population, the results of research on the development of energy, the use of renewable energy sources on a planetary scale and in Russia are considered. The research in the framework of this article was carried out, among other things, with the aim of further using the results obtained in the development of an educational and methodological manual at the department of security service of the Saint-Petersburg university of State fire service of EMERCOM of Russia, the content of which is related to the theoretical and practical study in classes on the disciplines of environmental orientation and life safety of the impact on ensuring environmental safety of alternative energy, separate renewable energy sources. This article presents forecast data in the field of energy development in the world, in individual countries and in Russia by 2050, published on the EES EAEC website. The prospects for the development of the electric power industry for the foreseeable future, up to 2050 in the whole world and Russia, are shown, according to which a significant increase in the use of renewable energy sources is expected and, consequently, a reduction in the negative impact on the e</w:t>
      </w:r>
    </w:p>
    <w:p>
      <w:r>
        <w:t>POSSIBLE 2023: IMPORTANCE OF BUDGETING AND FORECASTING IN MANAGEMENT — https://openalex.org/W7216813823</w:t>
      </w:r>
    </w:p>
    <w:p>
      <w:r>
        <w:t>Shared claim-specific concepts: article, presents, forecasts, related; EU scope not established. This is a provisional connection, not an outcome finding.</w:t>
      </w:r>
    </w:p>
    <w:p>
      <w:r>
        <w:t>Available abstract (not full text): This article discusses the importance of budgeting and forecasting in management. It explains what budgeting and forecasting are, how to organize them, allocate resources, set goals, monitor progress, identify risks, and determine opportunities. The article also highlights some challenges and issues related to budgeting and forecasting, such as accuracy, uncertainty, and inconsistency, and proposes several solutions, including accepting variability and dynamic processes. It suggests using information sources and regularly reviewing and analyzing budgets and forecasts, leveraging technology, and improving accountability. Finally, the article presents literature reviews and comments on the budgeting and forecasting process in financial management.</w:t>
      </w:r>
    </w:p>
    <w:p>
      <w:pPr>
        <w:pStyle w:val="Heading2"/>
      </w:pPr>
      <w:r>
        <w:t>The implications of demographic and economic projections on public pension spending in the European Union</w:t>
      </w:r>
    </w:p>
    <w:p>
      <w:r>
        <w:t>Original source (2020): https://doi.org/10.1080/21699763.2017.1411288</w:t>
      </w:r>
    </w:p>
    <w:p>
      <w:r>
        <w:t>Original wording (abstract; indexed_source_text_not_full_document_verified): Abstract This paper analyses the implications that demographic and economic projections have on public pension spending in the European Union (EU). Using some stylised facts, we study the aging trends of the population, as well as labour force and employment projections.</w:t>
      </w:r>
    </w:p>
    <w:p>
      <w:r>
        <w:t>POSSIBLE 2026: Australia-European Union Free Trade Agreement negotiations conclude: implications for Australian and EU geographical indications — https://doi.org/10.1093/jiplp/jpag079</w:t>
      </w:r>
    </w:p>
    <w:p>
      <w:r>
        <w:t>Shared claim-specific concepts: abstract, analyses, implications, union; EU scope visible. This is a provisional connection, not an outcome finding.</w:t>
      </w:r>
    </w:p>
    <w:p>
      <w:r>
        <w:t>Available abstract (not full text): Abstract This article analyses the recent conclusion of the Australia-European Union Free Trade Agreement and its significance for the future of geographical indications protection in Australia and the European Union. It examines how the Agreement may shape the development and harmonisation of intellectual property frameworks, particularly in relation to geographical indications regimes. It evaluates the implications of the Agreement for future intellectual policy, regulatory cooperation, and geographical indications protection strategies across both jurisdictions.</w:t>
      </w:r>
    </w:p>
    <w:p>
      <w:r>
        <w:t>POSSIBLE 2025: Deprivations Rarely Come Alone. Multidimensional Poverty Dynamics in Europe — https://doi.org/10.1111/roiw.70031</w:t>
      </w:r>
    </w:p>
    <w:p>
      <w:r>
        <w:t>Shared claim-specific concepts: abstract, implications, union; EU scope visible. This is a provisional connection, not an outcome finding.</w:t>
      </w:r>
    </w:p>
    <w:p>
      <w:r>
        <w:t>Available abstract (not full text): ABSTRACT This article proposes a framework to analyse micro‐level dynamics inherent to multidimensional poverty measures. Specifically, I use differences in deprivation transition probabilities between multidimensionally poor and nonpoor people, to analyse how deprivations couple over time. Advantages of this approach include that it (i) summarises relevant mechanisms, (ii) requires only short‐run panel data and (iii) is suitable for monitoring purposes. Using the European Union Statistics on Income and Living Conditions (EU‐SILC) for 20+ countries over 2016–2020, I find that deprivations tend to couple over time. Implications include that coordinated policy programmes seem critical to overcome entrenched and prevent future deprivations.</w:t>
      </w:r>
    </w:p>
    <w:p>
      <w:r>
        <w:t>POSSIBLE 2024: Cross‐border dimensions of Arctic climate change impacts and implications for Europe — https://doi.org/10.1002/wcc.905</w:t>
      </w:r>
    </w:p>
    <w:p>
      <w:r>
        <w:t>Shared claim-specific concepts: abstract, implications, well; EU scope visible. This is a provisional connection, not an outcome finding.</w:t>
      </w:r>
    </w:p>
    <w:p>
      <w:r>
        <w:t>Available abstract (not full text): Abstract The Arctic has warmed almost four times faster than the rest of the globe during the past four decades. This has led to multiple impacts in the Arctic such as the melting of glaciers and the Greenland ice sheet, sea ice retreat, permafrost thaw, altered species distribution and abundance, changes in hydrology and snow conditions, and altered wildfire regimes. These documented and projected impacts in the region can also propagate across borders, creating risks and opportunities requiring adaptation responses well beyond the Arctic. By undertaking a systematic literature review that uses a conceptual framework for cross‐border climate change impacts, we demonstrate how local impacts of the type described above, which are often analyzed separately in the literature, may initiate knock‐on effects that can be transmitted and transformed across borders. We illustrate examples of six categories of cross‐border risks resulting from this impact transmission and potentially requiring adaptation. These concern biophysical impacts, trade, infrastructure, finance, geopolitical relationships and human security and social justice. We examine potential adaptation options for responding to such cross‐border risks that are of relevance for Europe. The systemic approach taken in this paper promotes improved understanding of trade‐offs between potential benefits and risks, assists priori</w:t>
      </w:r>
    </w:p>
    <w:p>
      <w:r>
        <w:t>POSSIBLE 2024: China’s Trade Surplus – Implications for the World and for Europe — https://doi.org/10.2478/ie-2024-0022</w:t>
      </w:r>
    </w:p>
    <w:p>
      <w:r>
        <w:t>Shared claim-specific concepts: abstract, analyses, implications, employment; EU scope visible. This is a provisional connection, not an outcome finding.</w:t>
      </w:r>
    </w:p>
    <w:p>
      <w:r>
        <w:t>Available abstract (not full text): Abstract China’s merchandise trade surplus has reached an all-time high and is likely to rise further. A key driver appears to be a policy push to further bolster Chinese domestic manufacturing production, implying the danger of significant overcapacities. China’s imbalance between domestic production and consumption implies that China draws on the domestic demand of other countries to sustain its economic growth. It does so at the potential expense of production and employment of those trading partners with high trade deficits with China. As this constellation could be the source of growing trade conflicts, this article analyses China’s growing trade surplus in several dimensions with a focus on Chinas trade relation to the EU.</w:t>
      </w:r>
    </w:p>
    <w:p>
      <w:r>
        <w:t>POSSIBLE 2024: Diet Impact Assessment model: an interactive tool for analysing the health, environmental and affordability implications of diets — https://doi.org/10.1093/eurpub/ckae144.032</w:t>
      </w:r>
    </w:p>
    <w:p>
      <w:r>
        <w:t>Shared claim-specific concepts: abstract, implications; EU scope visible. This is a provisional connection, not an outcome finding.</w:t>
      </w:r>
    </w:p>
    <w:p>
      <w:r>
        <w:t>Available abstract (not full text): Abstract Global diets, environmental factors, and health require a holistic approach in public health discourse that takes into account the well-being of both humans and planetary health. Modeling tools have demonstrated being useful to estimate priorities and differences between countries and gain insight into future paths that depend on predetermined priorities. Modeling efforts that include environmental goals indicate the possibility of reducing environmental impacts while both improving food quality and overall health outcomes, especially in high-income settings. The aforementioned forecasts highlight the effectiveness of giving priority to dietary recommendations that lead to better, balanced patterns as the most effective approach to reducing mortality risks and environmental implications. The presentation will introduce the Diet Impact Assessment (DIA) model - a new interactive modelling tool for analysing the health, environmental and affordability implications of diets and dietary change. The tool enables countries to analyse user-specific scenarios of dietary change, and to estimate the health, environmental and cost burden of each scenario in terms of diet costs, avoidable deaths, changes in resource use and compatibility with global environmental targets, including those associated with food-related greenhouse gas emissions, land use, water use and fertilizer appli</w:t>
      </w:r>
    </w:p>
    <w:p>
      <w:r>
        <w:t>POSSIBLE 2023: The new seismic hazard model ESHM20 of Europe: Investigating the implications to the seismic design and risk assessment of major industrial facilities across Europe — https://doi.org/10.1007/s10518-023-01661-7</w:t>
      </w:r>
    </w:p>
    <w:p>
      <w:r>
        <w:t>Shared claim-specific concepts: abstract, analyses, implications, well; EU scope visible. This is a provisional connection, not an outcome finding.</w:t>
      </w:r>
    </w:p>
    <w:p>
      <w:r>
        <w:t>Available abstract (not full text): Abstract The seismic performance and safety of major European industrial facilities have a global interest for the whole of Europe and its citizens. However, the seismic design of these facilities is based on national, sometimes outdated seismic hazard analyses. The results of the commonly developed, fully harmonized newly released European Seismic Hazard Model ESHM20 provide a pertinent reference for seismic hazard at European scale and have been officially adopted as an “acceptable representation of the seismic hazard in Europe” in the ongoing revision of Eurocode 8. This study presents a large-scale investigation of the impact of the potential adoption of ESHM20 on the design of new industrial facilities as well as on the potential seismic risk of existing facilities at European level with respect to the current seismic codes. The horizontal elastic response spectra using ESHM20 in combination with the revised Eurocode 8 for selected industrial sites are compared with the respective response spectra of the national regulations for return periods of 475, 2500 and 5000 years. In addition, a single containment LNG tank is analysed for an industrial site in Germany using the design approach for liquid filled tanks according to the revised Eurocode 8. Furthermore, a deterministic and probabilistic seismic risk assessment of a vessel installed in a five-storey frame is performed f</w:t>
      </w:r>
    </w:p>
    <w:p>
      <w:r>
        <w:t>POSSIBLE 2022: The Accession of European Union to the European Convention on Human Rights — https://openalex.org/W7135539752</w:t>
      </w:r>
    </w:p>
    <w:p>
      <w:r>
        <w:t>Shared claim-specific concepts: abstract, analyses, implications, union; EU scope visible. This is a provisional connection, not an outcome finding.</w:t>
      </w:r>
    </w:p>
    <w:p>
      <w:r>
        <w:t>Available abstract (not full text): 1 The Accession of the European Union to the European Convention on Human Rights 1. Abstract in English This diploma thesis focuses on the relationship between the European Union (EU) and the European Convention on Human Rights (Convention). Especially in the light of the renewed attempt of the EU's accession to the Convention. Introduction (First Chapter) explains in brief the current situation, motivation of the author and the goals of the thesis. Also, the sources and methods used are introduced. Second Chapter describes the rich history of both European Union and European Convention of Human rights, with respect to their interlocking nature in the area of human rights. Analyses instruments such as Lisbon Treaty and the Charter of fundamental rights of the European Union. Third Chapter analyses the Opinion 2/13 of the CJEU and its impact on the accession of the EU to the Convention. Situation before and after the adoption of the Opinion, with its implications for the future relationship between the EU and the Convention. The next major section of this Chapter are the most recent meetings between the EU and the Council of Europe and evaluation of the hitherto progress. Fourth Chapter compares level of protection procedurally. Fifth Chapter compares level of protection substantively, in relevant case-law...</w:t>
      </w:r>
    </w:p>
    <w:p>
      <w:r>
        <w:t>POSSIBLE 2021: Paranoid styles and innumeracy: implications of a conspiracy mindset on Europeans' misperceptions about immigrants — https://doi.org/10.1017/ipo.2021.26</w:t>
      </w:r>
    </w:p>
    <w:p>
      <w:r>
        <w:t>Shared claim-specific concepts: abstract, implications, facts, population; EU scope visible. This is a provisional connection, not an outcome finding.</w:t>
      </w:r>
    </w:p>
    <w:p>
      <w:r>
        <w:t>Available abstract (not full text): Abstract Innumeracy, that is, the inability to deal with numbers and provide correct estimates about political issues, is reported to be widespread among the public. Yet, despite the recognition that a conspiracy mindset is an increasingly common phenomenon in Western democracies, this has not been considered as a potential correlate of innumeracy. Using data from an online sample of respondents across 10 European countries, we show that those with a higher propensity to hold a conspiracy worldview tend to overestimate the actual share of the immigrant population living in their own country. This association holds true when accounting for country heterogeneity and other cognitive, affective and socio-demographic factors. Employing a comparative design and refined measurements, the article contributes to our understanding of how a conspiracy mentality may influence perceptions of relevant political facts, questioning basic processes of democratic accountability.</w:t>
      </w:r>
    </w:p>
    <w:p>
      <w:r>
        <w:t>POSSIBLE 2021: Assessment and Valorization of Non-Wood Forest Products in Europe: A Quantitative Literature Review — https://doi.org/10.3390/su13063533</w:t>
      </w:r>
    </w:p>
    <w:p>
      <w:r>
        <w:t>Shared claim-specific concepts: analyses, implications, trends; EU scope visible. This is a provisional connection, not an outcome finding.</w:t>
      </w:r>
    </w:p>
    <w:p>
      <w:r>
        <w:t>Available abstract (not full text): This article presents a quantitative review of non-wood forest products (NWFPs) at the regional scale in Europe. A text mining approach was applied to titles, abstracts, and keywords extracted from articles in the Scopus database. Different investigations, such as concept mapping and specificity analyses of textual corpus, were performed. Our search yielded a massive number of NWFP-related papers. Specifically, research was distributed in different countries, being more prevalent in the Mediterranean and Scandinavian contexts. Several NWFPs were analyzed, with mushrooms, resin, cork, and other forest fruit being the most common ones. Local socioeconomic improvement was one of the major aspects investigated in scientific literature. The proposed methodology applies specific scripts that can be updated, and the output of the present research can be compared with that of the future works. For instance, interest trends of products and methods can be investigated, and gap analyses performed. Finally, the potential implications of this review for researchers and stakeholders are discussed.</w:t>
      </w:r>
    </w:p>
    <w:p>
      <w:pPr>
        <w:pStyle w:val="Heading2"/>
      </w:pPr>
      <w:r>
        <w:t>The role of gases in the European energy transition</w:t>
      </w:r>
    </w:p>
    <w:p>
      <w:r>
        <w:t>Original source (2020): https://doi.org/10.32609/j.ruje.6.55105</w:t>
      </w:r>
    </w:p>
    <w:p>
      <w:r>
        <w:t>Original wording (abstract; indexed_source_text_not_full_document_verified): Net zero targets for 2050 mean that in order to retain the gas market and the extensive network infrastructure which has been developed, zero carbon gases will need to be developed, and natural gas (methane) will need to be decarbonized. Maximum availability of biomethane and hydrogen from power to gas is estimated at 100–150 billion cubic meters by 2050 (or around 25–30% of gas demand in the late 2010s.</w:t>
      </w:r>
    </w:p>
    <w:p>
      <w:r>
        <w:t>POSSIBLE 2026: Net Zero Emissions and Positive Energy Districts: A Potential Solution to Achieve the European Climate Targets — https://doi.org/10.1109/tia.2026.3661957</w:t>
      </w:r>
    </w:p>
    <w:p>
      <w:r>
        <w:t>Shared claim-specific concepts: net, zero, targets; EU scope visible. This is a provisional connection, not an outcome finding.</w:t>
      </w:r>
    </w:p>
    <w:p>
      <w:r>
        <w:t>Available abstract (not full text): Unavailable</w:t>
      </w:r>
    </w:p>
    <w:p>
      <w:r>
        <w:t>POSSIBLE 2025: An empirical analysis of net-zero emission targets of Canada and the European Union — https://doi.org/10.21622/maci.2025.02.1.1252</w:t>
      </w:r>
    </w:p>
    <w:p>
      <w:r>
        <w:t>Shared claim-specific concepts: net, zero, targets, gas, gases; EU scope visible. This is a provisional connection, not an outcome finding.</w:t>
      </w:r>
    </w:p>
    <w:p>
      <w:r>
        <w:t>Available abstract (not full text): This analysis examines the emission trajectories of Canada and the EU27 that purportedly lead to a point of net zero emissions of greenhouse gases in 2050. It is shown that a country’s emission intensities are limited by a lower bound which effectively restricts the reduction to greenhouse gas emissions to a level moderated by a country’s GDP per capita. For Canada, the proposed path to net zero emissions is shown to be technically feasible, but dependent on the deployment of a suite of engineered negative emission technologies none of which have been demonstrated at scale. In the case of the EU27, it is shown that the proposed path to a condition of net zero emissions in 2050 is not a plausible scenario and that emissions of greenhouse gases in that year are likely to be more than three times higher than the level projected by the European Commission. Received on, 07 March 2025 Accepted on, 10 April 2025 Published on, 27 April 2025</w:t>
      </w:r>
    </w:p>
    <w:p>
      <w:r>
        <w:t>POSSIBLE 2025: UPAYA UNI EROPA MELALUI EUROPEAN GREEN DEAL DALAM MENCAPAI TARGET NET ZERO EMISSION — https://openalex.org/W7125889081</w:t>
      </w:r>
    </w:p>
    <w:p>
      <w:r>
        <w:t>Shared claim-specific concepts: net, zero, gas; EU scope visible. This is a provisional connection, not an outcome finding.</w:t>
      </w:r>
    </w:p>
    <w:p>
      <w:r>
        <w:t xml:space="preserve">Available abstract (not full text): Perubahan iklim menjadi salah satu tantangan global yang mendesak, mendorong negara-negara untuk mengambil langkah konkret dalam mengurangi emisi gas rumah kaca. Uni Eropa, sebagai pemimpin dalam kebijakan iklim global, berupaya untuk mencapai Net Zero Emission 2050 melalui inisiatif European Green Deal. Kebijakan ini dirancang untuk mempercepat transisi menuju net zero emission dengan menerapkan langkah-langkah strategis di berbagai sektor, seperti energi, transportasi, ekonomi sirkular, pertanian, dan keanekaragaman hayati. Penelitian ini menganalisis European Green Deal dalam mencapai target Net Zero Emission serta mengidentifikasi tantangan yang dihadapi dalam prosesnya. Penelitian ini menggunakan metode kualitatif deskriptif dengan pendekatan studi kepustakaan. Data diperoleh melalui analisis kebijakan Uni Eropa, dokumen resmi, jurnal akademik, serta laporan dari organisasi internasional dengan meninjau permasalahan tersebut menggunakan International Regimes Theory menjelaskan bagaimana Uni Eropa membentuk dan menerapkan kebijakan lingkungan European Green Deal terbentuk karena Norma internasional dalam tata kelola global serta pengaruh dari ratifikasi Paris Agreement, sementara Environmental Security mengkaji bagaimana upaya yang dibuat oleh Uni Eropa dalam European Green Deal dalam mencapai target net zero emission dan mengetahui tantangan-tantangan dalam European Green </w:t>
      </w:r>
    </w:p>
    <w:p>
      <w:r>
        <w:t>POSSIBLE 2025: The role of energy storage towards net-zero emissions in the European electricity system — https://doi.org/10.1016/j.enconman.2025.119887</w:t>
      </w:r>
    </w:p>
    <w:p>
      <w:r>
        <w:t>Shared claim-specific concepts: net, carbon, need, hydrogen; EU scope visible. This is a provisional connection, not an outcome finding.</w:t>
      </w:r>
    </w:p>
    <w:p>
      <w:r>
        <w:t>Available abstract (not full text): This study investigates the role of different energy storage technologies in a European electricity sector that complies with the target of net-zero carbon emissions in 2050. We consider three energy storage technologies, namely battery, pumped hydro, and hydrogen storage. We find that the cost-minimal energy storage mix in a country depends on the generation mix, and we identify three country archetypes in Europe based on the prevailing energy storage technology. When available, pumped hydro dominates the storage mix, reducing the need for new battery and hydrogen storage installations. Overall, short-term battery storage best captures solar fluctuations and is optimally combined with solar generation, while long-term hydrogen storage compensates for both solar and wind peak generation. Moreover, we quantify the impact of modeling the European system with different spatial resolutions and net self-sufficiency scales, from regional to continental, on the optimal energy storage mix. The comparative assessment of different spatial resolutions shows that the amount of energy storage installed, and especially the amount of hydrogen storage, increases significantly for higher spatial resolutions.</w:t>
      </w:r>
    </w:p>
    <w:p>
      <w:r>
        <w:t>POSSIBLE 2024: Managing CO2 under global and country-specific net-zero emissions targets in Europe — https://doi.org/10.48550/arxiv.2407.18653</w:t>
      </w:r>
    </w:p>
    <w:p>
      <w:r>
        <w:t>Shared claim-specific concepts: targets, gas, network, carbon, methane; EU scope visible. This is a provisional connection, not an outcome finding.</w:t>
      </w:r>
    </w:p>
    <w:p>
      <w:r>
        <w:t>Available abstract (not full text): The European Union (EU) aims to reach carbon neutrality by 2050. This requires capturing CO2, eventually transporting it to different regions, and either converting it into valuable products or sequestering it underground. Although the target is set for the entire EU, in practice, most of the governance and strategy to attain it remains in the individual member states. Previous literature modelling how Europe can achieve carbon neutrality has either considered only a global CO2 limit or used coarse spatial and temporal representation without proper network modelling. Here, we use a highly-resolved open model of the European sector-coupled energy system, PyPSA-Eur, to explore the impacts of imposing net-zero emissions globally for the entire EU versus imposing carbon neutrality for each country. Forcing net-zero emissions in every country increases system cost by 1.4%, demands varied CO2 prices, and triggers higher investment in direct air capture and renewable capacities. Furthermore, in both scenarios, a significant portion of the captured CO2 is transported across Europe, either directly via CO2 pipelines or indirectly via solid biomass or synthetic methane gas, methanol, and oil. Our research enables quantifying the impact of following a collaborative or self-sufficient carbon management strategy to attain carbon neutrality.</w:t>
      </w:r>
    </w:p>
    <w:p>
      <w:r>
        <w:t>POSSIBLE 2024: Net Zero Emissions and Positive Energy Districts: A Potential Solution to Achieve the European Climate Targets — https://doi.org/10.1109/eeeic/icpseurope61470.2024.10751307</w:t>
      </w:r>
    </w:p>
    <w:p>
      <w:r>
        <w:t>Shared claim-specific concepts: net, zero, targets, network, developed, carbon; EU scope visible. This is a provisional connection, not an outcome finding.</w:t>
      </w:r>
    </w:p>
    <w:p>
      <w:r>
        <w:t>Available abstract (not full text): Net-zero emissions and positive energy districts are innovative urban planning solutions for reaching the decarbonization targets defined by the European Commission. Districts are gaining wide attention representing communities where different elements and energy systems are interconnected, leading to potential opportunities for achieving climate neutrality that may not be achievable at the level of individual buildings. In addition, the evaluation of the performances has shifted from a nearly zero-energy approach to more demanding and rigorous concepts of positive energy and zero climate emissions. To this end, the authors show and describe a case study related to a new district that will be built in Bologna (41 400 m2 of heated/cooled floor surface area). The theoretical energy demand plus the 5th generation district heating and cooling network supplying the buildings and the electricity produced by the on-site photovoltaic plant (and the associated climate profiles) are evaluated by a Fortran App specifically developed. The net balance approach (used for reaching carbon neutrality) was calculated using the process-based life cycle assessment method. The authors show the outcomes obtained and potential solutions for decarbonization.</w:t>
      </w:r>
    </w:p>
    <w:p>
      <w:r>
        <w:t>POSSIBLE 2023: Impact of Circular Economy Measures in the European Union Built Environment on a Net-Zero Target — https://doi.org/10.1007/s43615-023-00257-2</w:t>
      </w:r>
    </w:p>
    <w:p>
      <w:r>
        <w:t>Shared claim-specific concepts: zero, targets, mean, carbon, need; EU scope visible. This is a provisional connection, not an outcome finding.</w:t>
      </w:r>
    </w:p>
    <w:p>
      <w:r>
        <w:t>Available abstract (not full text): Abstract Environmental benefits of circular economy (CE) measures, such as waste reduction, need to be weighed against the urgent need to reduce CO2 emissions to zero, in line with the Paris Agreement climate goals of 1.5–2 °C. Several studies have quantified CO2 emissions associated with CE measures in the construction sector in different EU countries, with the literature’s focus ranging from bricks and insulation products, to individual buildings, to the entire construction sector. We find that there is a lack of synthesis and comparison of such studies to each other and to the EU CO2 emission reduction targets, showing a need for estimating the EU-wide mitigation potential of CE strategies. To evaluate the contribution that CE strategies can make to reducing the EU’s emissions, we scale up the CO2 emission estimates from the existing studies to the EU level and compare them to each other, from both construction-element and sector-wide perspectives. Our analysis shows that average CO2 savings from sector-wide estimates (mean 39.28 Mt CO2 eq./year) slightly exceeded construction-element savings (mean 25.06 Mt CO2 eq./year). We also find that a conservative estimate of 234 Mt CO2 eq./year in combined emission savings from CE strategies targeting construction elements can significantly contribute towards managing the EU’s remaining carbon budget. While this is a significant miti</w:t>
      </w:r>
    </w:p>
    <w:p>
      <w:r>
        <w:t>POSSIBLE 2023: Business as Usual: Bank Net Zero Targets, Lending, and Engagement — https://doi.org/10.2139/ssrn.4663933</w:t>
      </w:r>
    </w:p>
    <w:p>
      <w:r>
        <w:t>Shared claim-specific concepts: net, zero, targets; EU scope not established. This is a provisional connection, not an outcome finding.</w:t>
      </w:r>
    </w:p>
    <w:p>
      <w:r>
        <w:t>Available abstract (not full text): Unavailable</w:t>
      </w:r>
    </w:p>
    <w:p>
      <w:r>
        <w:t>POSSIBLE 2023: Net Zero Policy Performance Measurement of European Countries — https://doi.org/10.37394/232033.2023.1.12</w:t>
      </w:r>
    </w:p>
    <w:p>
      <w:r>
        <w:t>Shared claim-specific concepts: net, zero, order, gas, carbon; EU scope visible. This is a provisional connection, not an outcome finding.</w:t>
      </w:r>
    </w:p>
    <w:p>
      <w:r>
        <w:t>Available abstract (not full text): Net zero goal lays the foundation for a sustainable future. It is in question to keep global warming under control since at least carbon dioxide emissions are balanced with the net zero target. In order to avoid severe climate impacts, global greenhouse gas emissions should decrease by half by 2030 and reach zero by 2050. Thus, this study aims to measure the performance of European Countries based on carbon emissions. To measure performance, Data Envelopment Analysis (DEA) method is used. To use this method, decision-making units (DMUs), inputs, and outputs are determined. Input is identified as Primary Energy Consumption. Outputs are selected as Gross Domestic Product (GDP), Carbon dioxide (CO2) emission, and Nitrous Oxide (N2O) emission.</w:t>
      </w:r>
    </w:p>
    <w:p>
      <w:r>
        <w:t>POSSIBLE 2022: Perspective on the hydrogen economy as a pathway to reach net-zero CO 2 emissions in Europe — https://doi.org/10.1039/d1ee02118d</w:t>
      </w:r>
    </w:p>
    <w:p>
      <w:r>
        <w:t>Shared claim-specific concepts: hydrogen; EU scope visible. This is a provisional connection, not an outcome finding.</w:t>
      </w:r>
    </w:p>
    <w:p>
      <w:r>
        <w:t>Available abstract (not full text): The envisioned role of hydrogen in the energy transition – or the concept of a hydrogen economy – has varied through the years.</w:t>
      </w:r>
    </w:p>
    <w:p>
      <w:r>
        <w:t>POSSIBLE 2022: Net Zero: Science, Origins, and Implications — https://doi.org/10.1146/annurev-environ-112320-105050</w:t>
      </w:r>
    </w:p>
    <w:p>
      <w:r>
        <w:t>Shared claim-specific concepts: net, zero, targets, gas, carbon; EU scope not established. This is a provisional connection, not an outcome finding.</w:t>
      </w:r>
    </w:p>
    <w:p>
      <w:r>
        <w:t>Available abstract (not full text): This review explains the science behind the drive for global net zero emissions and why this is needed to halt the ongoing rise in global temperatures. We document how the concept of net zero carbon dioxide (CO 2 ) emissions emerged from an earlier focus on stabilization of atmospheric greenhouse gas concentrations. Using simple conceptual models of the coupled climate–carbon cycle system, we explain why approximately net zero CO 2 emissions and declining net energy imbalance due to other climate drivers are required to halt global warming on multidecadal timescales, introducing important concepts, including the rate of adjustment to constant forcing and the rate of adjustment to zero emissions. The concept of net zero was taken up through the 5th Assessment Report of the Intergovernmental Panel on Climate Change and the United Nations Framework Convention on Climate Change (UNFCCC) Structured Expert Dialogue, culminating in Article 4of the 2015 Paris Agreement. Increasing numbers of net zero targets have since been adopted by countries, cities, corporations, and investors. The degree to which any entity can claim to have achieved net zero while continuing to rely on distinct removals to compensate for ongoing emissions is at the heart of current debates over carbon markets and offsetting both inside and outside the UNFCCC. We argue that what matters here is not the precise mak</w:t>
      </w:r>
    </w:p>
    <w:p>
      <w:r>
        <w:t>POSSIBLE 2021: Can European electric utilities manage asset impairments arising from net zero carbon targets? — https://doi.org/10.1016/j.jcorpfin.2021.102075</w:t>
      </w:r>
    </w:p>
    <w:p>
      <w:r>
        <w:t>Shared claim-specific concepts: net, zero, targets, carbon; EU scope visible. This is a provisional connection, not an outcome finding.</w:t>
      </w:r>
    </w:p>
    <w:p>
      <w:r>
        <w:t>Available abstract (not full text): Unavailable</w:t>
      </w:r>
    </w:p>
    <w:p>
      <w:pPr>
        <w:pStyle w:val="Heading2"/>
      </w:pPr>
      <w:r>
        <w:t>Toward a Diagnostic Tool for Organizational Ethical Culture With Futures Thinking and Scenario Planning</w:t>
      </w:r>
    </w:p>
    <w:p>
      <w:r>
        <w:t>Original source (2020): https://doi.org/10.1109/tem.2020.3018309</w:t>
      </w:r>
    </w:p>
    <w:p>
      <w:r>
        <w:t>Original wording (abstract; indexed_source_text_not_full_document_verified): By gathering and analyzing diverse macro (contextual) and micro (transactional) points of view, here called “partial truths,” this article investigates how scenario planning could be used as a complementary tool to diagnose disruptions that may impact an organization's ethical culture. The combined study led to a framework of pragmatic ethics and systems thinking that broadens our understanding of the main themes that lead to disruptions that managers believed would impact ethical culture.</w:t>
      </w:r>
    </w:p>
    <w:p>
      <w:r>
        <w:t>POSSIBLE 2026: Mapping the Evidence on Antimicrobial Resistance Transmission in Mass Gatherings: A Scoping Review — https://doi.org/10.17605/osf.io/9hq5t</w:t>
      </w:r>
    </w:p>
    <w:p>
      <w:r>
        <w:t>Shared claim-specific concepts: gathering, analyzing, diverse, contextual; EU scope not established. This is a provisional connection, not an outcome finding.</w:t>
      </w:r>
    </w:p>
    <w:p>
      <w:r>
        <w:t>Available abstract (not full text): This project outlines a scoping review protocol designed to systematically map the global evidence base on antimicrobial resistance (AMR) dynamics within mass gathering contexts, such as religious pilgrimages and secular festivals. Mass gatherings present a critical public health vulnerability where diverse populations and shared infrastructure facilitate the acquisition, amplification, and international dissemination of resistant pathogens. Despite this clear epidemiological risk, the literature has not yet been comprehensively characterized. This review aims to identify the specific types of gatherings, organisms, and phenotypic or genotypic resistance mechanisms represented in published studies, while analyzing the study designs, sampling strategies, and analytical methodologies employed. Ultimately, this work will expose critical geographic, contextual, and methodological gaps in the current literature, establishing a mapped evidence base to inform future primary research priorities, rational surveillance design, and evidence-based One Health policy interventions.</w:t>
      </w:r>
    </w:p>
    <w:p>
      <w:r>
        <w:t>POSSIBLE 2026: Dialogic Feminist Gatherings: Intergenerational Impact on Preventive Socialization of Gender Violence — https://doi.org/10.3390/socsci15020075</w:t>
      </w:r>
    </w:p>
    <w:p>
      <w:r>
        <w:t>Shared claim-specific concepts: analyzing, diverse; EU scope not established. This is a provisional connection, not an outcome finding.</w:t>
      </w:r>
    </w:p>
    <w:p>
      <w:r>
        <w:t>Available abstract (not full text): Background: Dialogic Feminist Gatherings (DFGs) fostered gender violence prevention among adolescents and young women in diverse educational settings. However, little was known about their impact on adult and older women without higher education, particularly regarding their contributions to broader social change through family and community relationships. This study addressed that gap by analyzing a DFG held in an adult education school in Barcelona with women from diverse backgrounds, as part of the R + D + i ALL WOMEN research project, aligned with Sustainable Development Goal 5. Methods: Using a qualitative case study with communicative methodology, the research drew on communicative observations, life stories, and a focus group. Results: Findings revealed that DFGs empowered participants individually and had a ripple effect in their communities. Through intergenerational dialogues with children, grandchildren, nieces, and nephews, participants began to challenge and transform socialization patterns linked to gender violence risk factors. Conclusions: The study highlights the transformative potential of DFGs beyond formal education. It underscores the value of integrating dialogic and community-based approaches into adult education to promote gender equality and prevent violence across generations.</w:t>
      </w:r>
    </w:p>
    <w:p>
      <w:r>
        <w:t>POSSIBLE 2025: Improved LEACH Model with Efficient Data Gathering Scheme for Mobile Internet of Things — https://doi.org/10.1109/icngcs64900.2025.11183334</w:t>
      </w:r>
    </w:p>
    <w:p>
      <w:r>
        <w:t>Shared claim-specific concepts: gathering, diverse, article; EU scope not established. This is a provisional connection, not an outcome finding.</w:t>
      </w:r>
    </w:p>
    <w:p>
      <w:r>
        <w:t>Available abstract (not full text): The Internet of Things (IoT) is a rapidly emerging field that is gaining a lot of interest from the academic and industrial sectors. It facilitates the communication of extremely huge amounts of data from a variety of smart devices. Owing to the diverse range of IoT devices, the network experienced several issues like excessive power consumption, latency, and data congestion. To overcome these drawbacks, in this an article, improved leach model with an efficient data-gathering scheme is developed in the mobile IoT environment (ILEDGM). The core modules of this ILEDGM are network energy model construction, improved leach model, and communication process. These modules are included in the ns3 program, which analyzes the network’s performance. Data correctness, data loss, transportation overhead, throughput, and averaging latency are the metrics taken into account. The final presentation shows that the suggested ILEDGM outperformed the other approaches in terms of throughput and data success rate. The experimental findings are compared with the preceding methods.</w:t>
      </w:r>
    </w:p>
    <w:p>
      <w:r>
        <w:t>POSSIBLE 2024: Hands-On Data Gathering — https://doi.org/10.4312/vestnik.16.155-174</w:t>
      </w:r>
    </w:p>
    <w:p>
      <w:r>
        <w:t>Shared claim-specific concepts: gathering, diverse, used; EU scope not established. This is a provisional connection, not an outcome finding.</w:t>
      </w:r>
    </w:p>
    <w:p>
      <w:r>
        <w:t xml:space="preserve">Available abstract (not full text): Data collection is a fundamental aspect of linguistic and sociolinguistic research methodologies, and while many scholars may choose to gather their own data, others tend to rely solely on data that are readily available. There are various different methods of elicitation, including conducting interviews, questionnaires or leading focus groups to gather data, either as the main source of information or to complement existing material, which will most likely enhance both the quality of the research as well enriching the researcher’s personal experience. This paper aims to elucidate the experience gained by two researchers who implemented different data-collection methodologies during their research projects, to gather suitable data and conduct their analysis of the English language – one written the other oral – in two diverse, yet specialized, settings. They introduce their subjects of study and the communities in which the studies took place in order to help the reader get acquainted with the context, and then proceed to describe the processes they carried out. Their aim is to offer a retrospective on the decisions made, the evolution of their data-gathering approaches to determine the suitability of the focal methodologies, and the results.The aim of the paper is to contribute to the literature and applied linguistics research fields by disseminating empirical information on </w:t>
      </w:r>
    </w:p>
    <w:p>
      <w:r>
        <w:t>POSSIBLE 2023: Editors’ Note: Assembly, Gathering and Being with Dance — https://doi.org/10.1017/s0149767723000293</w:t>
      </w:r>
    </w:p>
    <w:p>
      <w:r>
        <w:t>Shared claim-specific concepts: gathering, diverse, view; EU scope not established. This is a provisional connection, not an outcome finding.</w:t>
      </w:r>
    </w:p>
    <w:p>
      <w:r>
        <w:t>Available abstract (not full text): Editors' Note: Assembly, Gathering and Being with DanceAssembly offers an affair of appearance in which people find common ground in public view or private space.Dance, social choreography, protests, and other forms of assembly are marked by actions that index shared beliefs about the self, the group, and broader social conditions.Assembly might be interpreted as expressing self-determination and the sovereignty of a commons-an ephemeral consolidation of bodies made manifest by the mutual decision to show up for something (Hardt and Negri 2017).That said, although spontaneous gatherings or carefully planned political protests might signal shared values through acts of popular will, copresence is not synonymous with homogeneity.Thus, an interest in the complexities of group formationthe processes and politics of gathering amid dance-drives this special issue of Dance Research Journal.Whereas assembly can be a strategy of turning the singular into the plural or the crowd into the collective, the practice of gathering-whether in a classroom, at a protest, or online-is rarely simple or straightforward.Sure, the presence of those gathered may be intentional, but a politics of belonging conditions the diverse experience of being together.Increasingly, gatherings are facilitated, framed, and disseminated by technological devices and artificial intelligence systems.We wondered, what ar</w:t>
      </w:r>
    </w:p>
    <w:p>
      <w:r>
        <w:t>POSSIBLE 2023: Analyzing Communication Strategies in Polyglot Indonesia National Gathering Chapter Semarang: Ethnography of Communication Study — https://doi.org/10.55324/ijoms.v2i12.656</w:t>
      </w:r>
    </w:p>
    <w:p>
      <w:r>
        <w:t>Shared claim-specific concepts: gathering, analyzing, article, used; EU scope not established. This is a provisional connection, not an outcome finding.</w:t>
      </w:r>
    </w:p>
    <w:p>
      <w:r>
        <w:t>Available abstract (not full text): This article presents the results of an ethnographic research on communication about the Indonesian Polyglot community, with a focus on the Semarang Chapter of the Indonesian Polyglot. Communication ethnography is used as an approach to understand the communication practices that occur in this community. This study involved an interview method with members of the Semarang Chapter of the Indonesian Polyglot as the main informant. The data collected was then analyzed using the Ethnographic Communication theory framework developed by Dell Hymes. This data analysis includes the communication practices, norms, and values found within this polyglot community. The results of the study show that communication within the Polyglot Indonesia Chapter Semarang community is very dynamic and is influenced by the diversity of languages owned by the members. Community members use various languages in their interactions, such as Indonesian, foreign languages, and regional languages. They also use effective communication strategies, such as code-switching, code-mixing, and body language, to facilitate understanding and successful communication. This study has important significance in the context of the study of cross-cultural and multilingual communication. In this era of globalization, cross-cultural communication is becoming increasingly relevant, and the study of polyglot communities can prov</w:t>
      </w:r>
    </w:p>
    <w:p>
      <w:r>
        <w:t>POSSIBLE 2022: Edge Workload Trace Gathering and Analysis for Benchmarking — https://doi.org/10.1109/icfec54809.2022.00012</w:t>
      </w:r>
    </w:p>
    <w:p>
      <w:r>
        <w:t>Shared claim-specific concepts: gathering, analyzing, diverse, tool; EU scope not established. This is a provisional connection, not an outcome finding.</w:t>
      </w:r>
    </w:p>
    <w:p>
      <w:r>
        <w:t>Available abstract (not full text): The emerging field of edge computing is suffering from a lack of representative data to evaluate rapidly introduced new algorithms or techniques. That is a critical issue as this complex paradigm has numerous different use cases which translate into a highly diverse set of workload types.In this work, within the context of the edge computing activity of SPEC RG Cloud, we continue working towards an edge benchmark by defining high-level workload classes as well as collecting and analyzing traces for three real-world edge applications, which, according to the existing literature, are the representatives of those classes. Moreover, we propose a practical and generic methodology for workload definition and gathering. The traces and gathering tool are provided open-source.In the analysis of the collected workloads, we detect discrepancies between the literature and the traces obtained, thus highlighting the need for a continuing effort into gathering and providing data from real applications, which can be done using the proposed trace gathering methodology. Additionally, we discuss various insights and future directions that rise to the surface through our analysis.</w:t>
      </w:r>
    </w:p>
    <w:p>
      <w:r>
        <w:t>POSSIBLE 2022: MAJOR ISSUES AND DILEMMAS IN INTELLIGENCE GATHERING AND SHARING AS A COUNTERTERRORISM STRATEGY — https://doi.org/10.61426/sjbcm.v9i1.2191</w:t>
      </w:r>
    </w:p>
    <w:p>
      <w:r>
        <w:t>Shared claim-specific concepts: gathering, diverse, used; EU scope not established. This is a provisional connection, not an outcome finding.</w:t>
      </w:r>
    </w:p>
    <w:p>
      <w:r>
        <w:t>Available abstract (not full text): The central objective of this study was to identify major issues and dilemmas in intelligence gathering and sharing as a counterterrorism strategy.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Based on the design, a historical interrogation approach was applied to interrogate various facets of IG &amp; S and terrorism in Kenya whereby they were chronologically documented, and the changes that have occurred over time analyzed. Data analysis was done through mixed analysis method. The study found out that diverse security reforms that have been implemented in the country since independence which have helped to improve IG &amp; S. Major improvements were highlighted to have been streamlined in technology used, training and the information shared. Among the different forms of intelligence, human intelligence and signals intelligence were found to have played the greatest role in containing TT. The study concluded that the question of intelligenc</w:t>
      </w:r>
    </w:p>
    <w:p>
      <w:r>
        <w:t>POSSIBLE 2022: STRENGTHENING INTELLIGENCE GATHERING AND SHARING IN REDUCING TERROR RELATED ACTS IN KENYA — https://doi.org/10.61426/sjbcm.v9i1.2192</w:t>
      </w:r>
    </w:p>
    <w:p>
      <w:r>
        <w:t>Shared claim-specific concepts: gathering, diverse, here, used; EU scope not established. This is a provisional connection, not an outcome finding.</w:t>
      </w:r>
    </w:p>
    <w:p>
      <w:r>
        <w:t>Available abstract (not full text): This study explored appropriate measures for strengthening Intelligence Gathering &amp; Sharing in reducing terror related acts in Kenya. The research covered diverse categories of informants from various institutions and agencies cross cut by intelligence gathering and sharing in Kenya. These included: security officers from the national police service, members of civil society organizations working in areas of security and human rights, academicians and members of the public. Government officers, members of community policing department and former police reservists were also included . Exploratory research design was applied. Primary data was collected using open and close-ended questionnaires and interview guide. Data analysis done through mixed analysis method while quantitative data was analyzed through descriptive statistics. Qualitative data was analysed through content analysis. The findings revealed that TT has morphed overtime in terms of actors, motives and targets. Initial TT attacks in the country were indirect attacks on U.S and Israel interest but most subsequent attacks were direct targets to Kenya. The study found that diverse security reforms that have been implemented in the country since independence which have helped to improve IG &amp; S. Major improvements were highlighted to have been streamlined in technology used, training and the information shared. Among the</w:t>
      </w:r>
    </w:p>
    <w:p>
      <w:r>
        <w:t>POSSIBLE 2022: Data Gathering Techniques in WSN: A Cross-Layer View — https://doi.org/10.3390/s22072650</w:t>
      </w:r>
    </w:p>
    <w:p>
      <w:r>
        <w:t>Shared claim-specific concepts: gathering, diverse, view; EU scope not established. This is a provisional connection, not an outcome finding.</w:t>
      </w:r>
    </w:p>
    <w:p>
      <w:r>
        <w:t>Available abstract (not full text): Wireless sensor networks (WSNs) have taken a giant leap in scale, expanding their applicability to a large variety of technological domains and applications, ranging from the Internet of things (IoT) for smart cities and smart homes to wearable technology healthcare applications, underwater, agricultural and environmental monitoring and many more. This expansion is rapidly growing every passing day in terms of the variety, heterogeneity and the number of devices which such applications support. Data collection is commonly the core application in WSN and IoT networks, which are typically composed of a large variety of devices, some constrained by their resources (e.g., processing, storage, energy) and some by highly diverse demands. Many challenges span all the conceptual communication layers, from the Physical to the Applicational. Many novel solutions devised in the past do not scale well with the exponential growth in the population of the devices and need to be adapted, revised, or new innovative solutions are required to comply with this massive growth. Furthermore, recent technological advances present new opportunities which can be leveraged in this context. This paper provides a cross-layer perspective and review of data gathering in WSN and IoT networks. We provide some background and essential milestones that have laid the foundation of many subsequent solutions sugges</w:t>
      </w:r>
    </w:p>
    <w:p>
      <w:pPr>
        <w:pStyle w:val="Heading2"/>
      </w:pPr>
      <w:r>
        <w:t>Use of Counterfactual Population Projections for Assessing the Demographic Determinants of Population Ageing</w:t>
      </w:r>
    </w:p>
    <w:p>
      <w:r>
        <w:t>Original source (2020): https://doi.org/10.1007/s10680-020-09567-9</w:t>
      </w:r>
    </w:p>
    <w:p>
      <w:r>
        <w:t>Original wording (abstract; indexed_source_text_not_full_document_verified): (3) Different ageing indices tend to produce similar qualitative conclusions, but quantitative results may differ markedly. Abstract Counterfactual population projections have been used to estimate the contributions of fertility and mortality to population ageing, a method recently designated as the gold standard for this purpose.</w:t>
      </w:r>
    </w:p>
    <w:p>
      <w:r>
        <w:t>POSSIBLE 2026: Inconsistent findings of ageing across different feather-quality indices in a wild passerine — https://doi.org/10.32942/x28953</w:t>
      </w:r>
    </w:p>
    <w:p>
      <w:r>
        <w:t>Shared claim-specific concepts: different, ageing, indices, tend, but, population; EU scope not established. This is a provisional connection, not an outcome finding.</w:t>
      </w:r>
    </w:p>
    <w:p>
      <w:r>
        <w:t>Available abstract (not full text): In most animals, individuals tend to decline in performance in later life, known as ageing. In birds, studies of ageing have traditionally concentrated on metrics of survival and reproductive success, whereas morphological traits have received comparatively little attention. Feather quality is a key morphological trait for passerines as it contributes to flight performance, camouflage and thermoregulation, and is, therefore, important for survival. However, there are, as of yet, very few studies on how feather quality changes with age. In this study, we use a closely monitored natural population of long-lived Seychelles warblers to investigate whether and how three different indices of feather quality change with age within individuals. We found that feather mass-to-length ratio increased with age (indicating improving quality with age), while rachis width declined with age (indicating declining quality), and barbule density showed no ageing pattern. All feather quality indices showed no sex differences in ageing rates. The inconsistent findings of ageing across the three feather quality indices may suggest that life history trade-offs between feather quality and survival or reproduction are not as strong, and feather quality may not be a costly trait to maintain. Age-related improvements of mass-to-length ratio but not the other indices may also suggest that certain aspects of</w:t>
      </w:r>
    </w:p>
    <w:p>
      <w:r>
        <w:t>POSSIBLE 2026: Mitigating ageing-induced stiffening in asphalt mixtures using zinc diethyldithiocarbamate: mechanical performance, digital image correlation, and inter-laboratory validation — https://doi.org/10.1617/s11527-026-03313-z</w:t>
      </w:r>
    </w:p>
    <w:p>
      <w:r>
        <w:t>Shared claim-specific concepts: different, ageing, indices, abstract; EU scope not established. This is a provisional connection, not an outcome finding.</w:t>
      </w:r>
    </w:p>
    <w:p>
      <w:r>
        <w:t>Available abstract (not full text): Abstract While antioxidant additives have shown promising results to mitigate oxidative ageing at the binder scale, their effectiveness at the asphalt mixture level and their reproducibility across different laboratories remain insufficiently understood. This study evaluates the potential of zinc diethyldithiocarbamate (ZDC) to mitigate ageing-induced stiffening in asphalt mixtures through a comprehensive mechanical characterisation and an inter-laboratory validation campaign. Asphalt mixtures containing 3% and 5% ZDC by binder weight, together with an unmodified reference mixture, were subjected to unaged, short-term (ST) aged, and long-term (LT) aged conditions. Mechanical performance was assessed using dynamic modulus, semi-circular bending (SCB), indirect tensile strength (ITS), and digital image correlation (DIC). To account for differences in mixture composition among laboratories, normalised ITS Ageing Indices (IAI) were introduced and statistically analysed. The results showed that ZDC effectively mitigated ageing-induced stiffening. Dynamic modulus testing indicated that 5% ZDC reduced the ageing susceptibility of the mixtures by approximately 30% compared with the control mixture, while SCB, ITS, and DIC analyses demonstrated improved cracking resistance, enhanced ductility, and reduced strain localisation after ageing. Despite differences in mixture composition and g</w:t>
      </w:r>
    </w:p>
    <w:p>
      <w:r>
        <w:t>POSSIBLE 2026: Regional Disparities in Ageing and Longevity in Nepal: A Comprehensive Analysis by Province and Ecological Zone — https://doi.org/10.3126/oj.v3i4.91080</w:t>
      </w:r>
    </w:p>
    <w:p>
      <w:r>
        <w:t>Shared claim-specific concepts: ageing, indices, differ, population, fertility; EU scope not established. This is a provisional connection, not an outcome finding.</w:t>
      </w:r>
    </w:p>
    <w:p>
      <w:r>
        <w:t>Available abstract (not full text): The current demographic transition in Nepal is characterized by low fertility and increasing life expectancy rates, which result in a very fast aging population. This paper discusses the trend in population aging and disparities involving regional and gender differences in both survival and life expectancy and its implications for social and health policy. The analysis is based on census data of 1952/54, 1991, and 2021 to give estimates of the percentage and growth of older adults (60+ in 1991 and 65+ in 2021), dependency rates, aging indices, survival rates, and remaining life expectancy by ecological zone and province. The descriptive statistical techniques are applied to examine the long-term trends and spatial inequalities. Results show that the percentage of older adults grew from 5.0 percent in 1952/54 to 10.2 percent in 2021, which is higher than the national average. The indicators of ageing differ greatly by the provinces; women always have higher survival and life expectancy than men. This paper presents a geographically disaggregated observation of the aging population in Nepal and suggests the necessity to implement equity-based and differentiated social and health protection measures.</w:t>
      </w:r>
    </w:p>
    <w:p>
      <w:r>
        <w:t>POSSIBLE 2025: Ageing of Red Wine (cv. Negroamaro) in Mediterranean Areas: Impact of Different Barrels and Apulian Traditional Amphorae on Phenolic Indices, Volatile Composition and Sensory Analysis — https://doi.org/10.3390/foods14040650</w:t>
      </w:r>
    </w:p>
    <w:p>
      <w:r>
        <w:t>Shared claim-specific concepts: different, ageing, indices; EU scope visible. This is a provisional connection, not an outcome finding.</w:t>
      </w:r>
    </w:p>
    <w:p>
      <w:r>
        <w:t xml:space="preserve">Available abstract (not full text): This study investigated the impact of different ageing containers on the volatile composition and quality of Negroamaro wine, a key variety from Apulia, Italy. Seven vessel types were evaluated: traditional Apulian amphorae (ozza), five types of oak barrels (American oak, French oak, European oak, a French + European oak and a multi-wood mix) and glass bottles as the control. The impact of the vessels was evaluated after 6 months of ageing through the characterization of phenolic, volatile and sensory profiles. Amphorae allowed a specific evolution of the wine's primary aromas, such as fruity and floral notes, while enhancing volatile compounds like furaneol, which contributed to caramel and red fruit nuances, and also 3-methyl-2,4-nonanedione, a key compound related to anise, plum and premature ageing, depending on its concentration. This container also demonstrated effectiveness in stabilizing anthocyanin-tannin complexes, supporting color stabilization. Oak barrels allowed different outcomes to be obtained in terms of color stabilization, volatile profile, aroma and astringency. French oak exhibited the highest phenolic and tannin levels, enhancing anthocyanin stabilization and color intensity. European oak followed closely, while American oak excelled in color stabilization, with tannins less reactive to polymers. Mixed wood barrels showed lower phenolic extraction and the </w:t>
      </w:r>
    </w:p>
    <w:p>
      <w:r>
        <w:t>POSSIBLE 2025: The Demographic Challenge Analyzed Through Ageing Indices in Extremadura and Andalusia (Spain) with Cluster Mapping Tools — https://doi.org/10.3390/land14061129</w:t>
      </w:r>
    </w:p>
    <w:p>
      <w:r>
        <w:t>Shared claim-specific concepts: ageing, indices, used; EU scope visible. This is a provisional connection, not an outcome finding.</w:t>
      </w:r>
    </w:p>
    <w:p>
      <w:r>
        <w:t>Available abstract (not full text): This study examines the demographic dynamics of Extremadura and Andalusia, two autonomous communities in southern Spain characterized by low income levels and marked territorial differences in terms of ageing and depopulation. Based on the observation of growing demographic pressure associated with low birth rates and emigration to more economically dynamic areas, a methodological approach based on spatial analysis techniques is proposed. In particular, the ageing index and demographic dependency ratio indicators are used, applying tools such as Hot Spot Analysis and Cluster and Outlier Analysis to identify significant spatial patterns and outliers. The results show a high concentration of ageing and dependency in provinces such as Cáceres and Almería, suggesting greater demographic vulnerability. In contrast, urban areas such as Seville and Granada, as well as the Guadalquivir depression, show more favorable indicators, reflecting greater resilience. Likewise, municipalities with demographic behavior that is anomalous with respect to their surroundings are detected, which raises the need for micro-territorial studies aimed at understanding these exceptions and designing more effective public policies adapted to the local context.</w:t>
      </w:r>
    </w:p>
    <w:p>
      <w:r>
        <w:t>POSSIBLE 2024: Measuring and modelling Syrah red wines evolution: Ageing tests, color and new molecular indices — https://doi.org/10.1016/j.jfca.2024.106912</w:t>
      </w:r>
    </w:p>
    <w:p>
      <w:r>
        <w:t>Shared claim-specific concepts: different, ageing, indices, but, used; EU scope not established. This is a provisional connection, not an outcome finding.</w:t>
      </w:r>
    </w:p>
    <w:p>
      <w:r>
        <w:t>Available abstract (not full text): A Syrah red wine ageing experiment was set up during 24 months to measure the influence of different micro-agglomerated corks on wine composition and color. Two new wine ageing indices based on targeting phenolic composition (I ox , oxidation index and I su , sulfonation index) or colorimetric one (Hue) are proposed. The results showed that the slopes of evolution of these indices varied according to the wine as well as the index studied, and that the initial composition played a predominant role in these evolutions. In addition, the oxygen transfer rate (OTR) of the cork modulates the rate of evolution of the oxidation index and color, but had no impact on the sulfonation index. Partial least squares (PLS) regressions were used in order to establish some models that can predict the ageing index slope based on accelerated ageing tests (AATs), voltammetric parameters and phenolic composition measured before bottling. The models involved different explaining variables for each test and showed good predictive capacities with correlation coefficients (R²) &gt; 0.79. • New wine ageing indices are proposed. • Those indices are based on wine colour or chemical composition. • Models for predicting those indices were produced. • The influence of cork oxygen permeability on wine ageing was proven.</w:t>
      </w:r>
    </w:p>
    <w:p>
      <w:r>
        <w:t>POSSIBLE 2024: The effect of lab ageing on different types of fibre-reinforced bitumen — https://doi.org/10.1201/9781003402541-4</w:t>
      </w:r>
    </w:p>
    <w:p>
      <w:r>
        <w:t>Shared claim-specific concepts: different, ageing, indices; EU scope not established. This is a provisional connection, not an outcome finding.</w:t>
      </w:r>
    </w:p>
    <w:p>
      <w:r>
        <w:t>Available abstract (not full text): Fibres have been introduced in the asphalt industry to improve the tensile strength and cracking resistance of pavement. In parallel, ageing is considered one of the causes of asphalt&amp;s;s deterioration. However, little research has described the effect of ageing when different types of fibres are incorporated into bitumen. Accordingly, this paper utilises different combinations of polypropylene, glass and basalt fibres in a conventional bituminous binder. Next, the fibre-reinforced binders are exposed to typical short- and long-term ageing protocols. A systematic evaluation of meaningful rheological indicators via a Dynamic Shear Rheometer (DSR) gives a more clear view of the role of each fibre type and the balance between the reinforcement potential and bitumen&amp;s;s degradation due to ageing. In parallel, the assessment of ageing-related indices by Fourier Transform Infrared (FTIR) spectrometer contributes to a better understanding of their rheological evaluation.</w:t>
      </w:r>
    </w:p>
    <w:p>
      <w:r>
        <w:t>POSSIBLE 2024: Chemical and Rheological Evaluation of the Ageing Behaviour of High-Content Crumb Rubber Asphalt Binder — https://doi.org/10.3390/polym16213088</w:t>
      </w:r>
    </w:p>
    <w:p>
      <w:r>
        <w:t>Shared claim-specific concepts: ageing, similar, but; EU scope not established. This is a provisional connection, not an outcome finding.</w:t>
      </w:r>
    </w:p>
    <w:p>
      <w:r>
        <w:t>Available abstract (not full text): High-Content Crumb Rubber Asphalt (HCRA) binder improves road performance and address waste tyre pollution, yet its ageing behaviour is not fully understood. In this study, 70# neat asphalt binder and HCRA with rubber contents of 35% and 50% were selected and aged through the Thin Film Oven Test (TFOT) and Pressure Ageing Vessel (PAV) tests. FTIR (Fourier Transform Infrared Spectroscopy) and DSR (Dynamic Shear Rheometer) were employed to investigate their chemical composition and rheological properties. The FTIR results show that HCRA's chemical test results are similar to those of 70#, but HCRA is more susceptible to ageing. I(C=C) strength decreases with age. The DSR results show that HCRA outperforms 70# neat asphalt binder in terms of viscoelasticity, high temperature performance and fatigue resistance, and exhibits greater resistance to ageing. The ageing index (AI) was obtained through a calculation using the formula, and overall, 70# neat asphalt binder is more sensitive to ageing behaviour and less resistant to ageing, and HCRA is particularly outstanding for fatigue resistance. A strong correlation is observed between chemical composition and some rheological property indicators. Therefore, we are able to predict the rheological properties using chemical composition indicators. This study provides insight into the ageing behaviour of a neat asphalt binder and an HCRA b</w:t>
      </w:r>
    </w:p>
    <w:p>
      <w:r>
        <w:t>POSSIBLE 2023: Unveiling India's Ageing Mosaic: State-level Projections Revealing Regional Variations until 2031 — https://doi.org/10.21203/rs.3.rs-3118396/v1</w:t>
      </w:r>
    </w:p>
    <w:p>
      <w:r>
        <w:t>Shared claim-specific concepts: different, ageing, indices, but, abstract, population; EU scope not established. This is a provisional connection, not an outcome finding.</w:t>
      </w:r>
    </w:p>
    <w:p>
      <w:r>
        <w:t>Available abstract (not full text): Abstract Population ageing is an inevitable consequence of demographic transitions and declining fertility causes a rising burden of ageing. The goal of the present study is to project the ageing index of various states across the country up to the year 2031. In addition, the study projects the year by which different states will reach the standard level of aging. Data for this study were taken from the 2001 and 2011 census of India. Using simple trend extrapolation techniques, we produced projections of ageing indices up to 2031; and then we projected when different states would reach the standard level of ageing (aging of Kerala in 2011). The results showed that there will be a change in the age structure of the population from 2011 to 2031, with an increase of 6% in the working-age group (15–59 years) and 5% in the older population (60 or more years), but a decline of 11.2% in the children ages 0–14 years. Southern and other states such as Punjab and Himachal Pradesh are likely to attain standard levels of ageing in the next few years. However, northern states are expected to take more years to achieve it.This is the time to start planning for the future burden of the old-age population across the country and arrange adequate health infrastructure for the older population in the future.</w:t>
      </w:r>
    </w:p>
    <w:p>
      <w:r>
        <w:t>POSSIBLE 2023: Geospatial analysis of population ageing in Bosnia and Herzegovina — https://doi.org/10.5937/gp27-41960</w:t>
      </w:r>
    </w:p>
    <w:p>
      <w:r>
        <w:t>Shared claim-specific concepts: ageing, population, used; EU scope not established. This is a provisional connection, not an outcome finding.</w:t>
      </w:r>
    </w:p>
    <w:p>
      <w:r>
        <w:t>Available abstract (not full text): The aim of this research is to analyze the spatial distribution of the population ageing in Bosnia and Herzegovina and identify areas of the country that are particularly vulnerable to negative demographic trends. To achieve the goal of the study, data on the ageing coefficient and ageing index for the period 2013-2020 were used. The geospatial analysis of these indicators was performed using global (Global Moran's I and Getis-Ord General G) and local (Anselin Local Moran's I and Getis-Ord G*) indexes of spatial autocorrelation. The research results confirmed the clustering of both indicators. Ageing coefficient values are clustered in municipalities in western, northwestern, Eastern, and central Bosnia and Herzegovina. Ageing index values are clustered in municipalities in central, western, northwestern, and northeastern Bosnia and Herzegovina. This study provides insight into the research methods of spatial demographic trends and phenomena, and its findings can serve as a basis for future demographic research and development in Bosnia and Herzegovina.</w:t>
      </w:r>
    </w:p>
    <w:p>
      <w:r>
        <w:t>POSSIBLE 2022: Relationship of Different Anthropometric Indices with Vascular Ageing in an Adult Population without Cardiovascular Disease—EVA Study — https://doi.org/10.3390/jcm11092671</w:t>
      </w:r>
    </w:p>
    <w:p>
      <w:r>
        <w:t>Shared claim-specific concepts: different, ageing, indices, population, estimate; EU scope visible. This is a provisional connection, not an outcome finding.</w:t>
      </w:r>
    </w:p>
    <w:p>
      <w:r>
        <w:t>Available abstract (not full text): The objectives of this study were to analyse the capacity of different anthropometric indices to predict vascular ageing and this association in Spanish adult population without cardiovascular disease. A total of 501 individuals without cardiovascular disease residing in the capital of Salamanca (Spain) were selected (mean age: 55.9 years, 50.3% women), through stratified random sampling by age and sex. Starting from anthropometric measurements such as weight, height, and waist circumference, hip circumference, or biochemical parameters, we could estimate different indices that reflected general obesity, abdominal obesity, and body fat distribution. Arterial stiffness was evaluated by measuring carotid-femoral pulse wave velocity (cf-PWV) using a SphygmoCor® device. Vascular ageing was defined in three steps: Step 1: the participants with vascular injury were classified as early vascular ageing (EVA); Step 2: classification of the participants using the 10 and 90 percentiles of cf-PWV in the study population by age and sex in EVA, healthy vascular ageing (HVA) and normal vascular ageing (NVA); Step 3: re-classification of participants with arterial hypertension or type 2 diabetes mellitus included in HVA as NVA. The total prevalence of HVA and EVA was 8.4% and 21.4%, respectively. All the analysed anthropometric indices, except waist/hip ratio (WHpR), were associated with vascu</w:t>
      </w:r>
    </w:p>
    <w:p>
      <w:r>
        <w:t>POSSIBLE 2022: State of the art: Multiscale evaluation of bitumen ageing behaviour — https://doi.org/10.1016/j.fuel.2022.125045</w:t>
      </w:r>
    </w:p>
    <w:p>
      <w:r>
        <w:t>Shared claim-specific concepts: different, ageing, indices; EU scope not established. This is a provisional connection, not an outcome finding.</w:t>
      </w:r>
    </w:p>
    <w:p>
      <w:r>
        <w:t>Available abstract (not full text): Ageing is a common phenomenon that seriously affects the performance and service life of asphalt pavements. In this paper, multiscale evaluations of bitumen ageing behaviour were reviewed to better understand the bitumen ageing mechanism and thereby contribute to future anti-ageing and binder rejuvenation work in this area. The paper initially looks at conventional as well as bespoke ageing methods before concentrating on bitumen ageing evaluation at different scales ranging from macro, meso, micro to nano scale. This is done by introducing the application of differential scanning calorimetry (DSC) and thermogravimetric analysis (TGA) in thermal indices; thin-layer chromatography-flame ionization detector (TLC-FID), gel permeation chromatography (GPC) and Fourier infrared spectrometer (FTIR) in components and functional groups; atomic force microscopy (AFM), optical spectroscopy and fluorescence spectroscopy (FM) in microstructural analysis; and, finally, nuclear magnetic resonance (NMR), time-of-flight secondary ion mass spectrometry (TOF-SIMS) and molecular dynamic simulations at the nanoscale. This review paper highlights the intricate correlations between the different hierarchical scales of bitumen ageing and the importance of a multiscale approach to provide a more comprehensive study and understanding of the ageing of bitumen.</w:t>
      </w:r>
    </w:p>
    <w:p>
      <w:pPr>
        <w:pStyle w:val="Heading2"/>
      </w:pPr>
      <w:r>
        <w:t>Wood utilization scenarios and their sustainability impacts in Finland</w:t>
      </w:r>
    </w:p>
    <w:p>
      <w:r>
        <w:t>Original source (2020): https://doi.org/10.14214/df.292</w:t>
      </w:r>
    </w:p>
    <w:p>
      <w:r>
        <w:t>Original wording (abstract; indexed_source_text_not_full_document_verified): Social, economic and environmental impacts vary in different wood utilization patterns, and national level strategies should consider possible trade-offs and regional needs.This thesis explored a variety of wood utilization scenarios in Finland and assessed their possible future benefits and trade-offs in environmental, economic and social sustainability, forming plausible pathways to actualize preferred outcomes reflecting different priorities in the goal setting.The research was conducted by using model-based sustainability assessment tools, material flow based Tool for Sustainability Impact Assessment (ToSIA) and Lifecycle Assessment (LCA), and explorative participatory scenario methods visualizing the targets quantitatively.The participatory methods utilized actor and researcher stakeholders from industry, policy, and multiple R&amp;D fields.The results showed that cascading and shifting secondary wood flows e.g.industrial side streams and end-of-life wood-based products from energy uses to material uses, results in increased climate benefits and economic competitiveness.Energy use of wood had lower employment, value added, and substitution benefits as well as shorter carbon storing time compared with material uses of wood.Thus, modern wood-based construction, chemicals, textiles and composites need to increase their share in the product portfolios.National policy tools can support this development only to a limited extent, because the global markets set the market framework for wood uses.To change the global market environment, internationally renewed policies aiming at restricting fossil uses are needed to make wood-based material applications more competitive.European Union (EU) policies should also apply incentives to support factor integrates supporting renewable resource savings.Public financial support to develop new processing technologies and product design of wood-based modern applications are needed to boost cost-competitiveness.</w:t>
      </w:r>
    </w:p>
    <w:p>
      <w:r>
        <w:t>POSSIBLE 2025: Sustainability Pluralism in the Pharmaceutical Strategy for Europe: In Search of Social, Environmental and Economic Trends — https://doi.org/10.1017/9781839704994.036</w:t>
      </w:r>
    </w:p>
    <w:p>
      <w:r>
        <w:t>Shared claim-specific concepts: environmental, level, consider, sustainability; EU scope visible. This is a provisional connection, not an outcome finding.</w:t>
      </w:r>
    </w:p>
    <w:p>
      <w:r>
        <w:t>Available abstract (not full text): 1. INTRODUCTION 1. When discussing sustainability of medicinal products at European Union (EU) level, the narrative often swiftly focusses on the European Green Deal. Even though the various EU institutions, bodies and agencies indeed consider environmental sustainability, the European Green Deal is only a partial expression of the EU's sustainability aims. This chapter discusses three categories of sustainability goals for the pharmaceutical sector, as set out by the European Commission in the Pharmaceutical Strategy for Europe: economic, social and environmental sustainability. The analysis aims to answer various questions including the number of documents per year issued focussing on pharmaceutical sustainability; which are the institutions and bodies involved; which types of legal documents they primarily use; and which (sub)types of sustainability the EU mostly focusses on. 2. In a first section, this chapter explores the three types of sustainability distinguished by the Pharmaceutical Strategy, describing in detail what qualifies under which type of sustainability for the subsequent analysis. A second section empirically assesses in how far the EU has acted upon these sustainability goals, by analysing the sustainability references embedded in the EU legal documents building on the Pharmaceutical Strategy for Europe. 2. FROM THE PHARMACEUTICAL STRATEGY's SUSTAINABILITY G</w:t>
      </w:r>
    </w:p>
    <w:p>
      <w:r>
        <w:t>POSSIBLE 2025: Advancing the European energy transition based on environmental, economic and social justice - Supplementary Material — https://doi.org/10.5281/zenodo.17814966</w:t>
      </w:r>
    </w:p>
    <w:p>
      <w:r>
        <w:t>Shared claim-specific concepts: environmental; EU scope visible. This is a provisional connection, not an outcome finding.</w:t>
      </w:r>
    </w:p>
    <w:p>
      <w:r>
        <w:t>Available abstract (not full text): Supplementary material included in the article "Advancing the European energy transition based on environmental, economic and social justice".</w:t>
      </w:r>
    </w:p>
    <w:p>
      <w:r>
        <w:t>POSSIBLE 2025: Promoting the European Sustainable Firm: How Economic, Social, and Green Innovation and the AI‐Based Technologies Create Pathways of Social and Environmental Sustainability — https://doi.org/10.1002/bse.70068</w:t>
      </w:r>
    </w:p>
    <w:p>
      <w:r>
        <w:t>Shared claim-specific concepts: environmental, vary, sustainability; EU scope visible. This is a provisional connection, not an outcome finding.</w:t>
      </w:r>
    </w:p>
    <w:p>
      <w:r>
        <w:t>Available abstract (not full text): ABSTRACT The aim of this paper is to expand research on the digital and sustainability transitions in firms by analyzing the effects of artificial intelligence (AI)‐based technologies and incorporating their connections to economic, social, and green innovation processes. The main objective is to analyze whether and how these innovation dynamics—particularly the role of AI—mediate and reinforce the relationship between economic innovation and socio‐environmental sustainability outcomes. Using a large representative sample of 13,117 European firms from 2020 and applying partial least squares structural equation modeling (PLS‐SEM), we identify multiple sustainability trajectories. Our results show that while economic innovation alone contributes positively to social and environmental sustainability, its impact is significantly enhanced when combined with green/social innovation and AI‐based technologies, highlighting their role as drivers of sustainability. These factors exhibit differentiated mediating effects: Green and social innovation primarily amplifies environmental sustainability, whereas AI technologies accelerate social sustainability outcomes. The analysis also shows that these effects vary depending on firm size and the type of AI technology adopted (i.e., AI‐based algorithms and software vs. AI‐based hardware and infrastructures). These insights offer strategic guida</w:t>
      </w:r>
    </w:p>
    <w:p>
      <w:r>
        <w:t>POSSIBLE 2025: Environmental, Social, and Governance (ESG) Performance and Economic Growth: An Econometric Analysis for Central European Countries — https://doi.org/10.18690/um.epf.5.2025.9</w:t>
      </w:r>
    </w:p>
    <w:p>
      <w:r>
        <w:t>Shared claim-specific concepts: environmental; EU scope visible. This is a provisional connection, not an outcome finding.</w:t>
      </w:r>
    </w:p>
    <w:p>
      <w:r>
        <w:t>Available abstract (not full text): This study analyzes the impact of environmental, social, and governance (ESG) performance on economic growth in Central European countries. Using an econometric approach, the study assesses ESG indicators’ contribution to economic development and examines whether these factors drive sustainable growth. A scientific methodology based on secondary data from the World Bank’s annual reports was applied. Several econometric models, including multiple linear regression, random effects, fixed effects, Hausman-Taylor regression, GMM, and GEE models, were used. The results show a strong relationship between ESG performance and economic growth. Governance effectiveness and corruption control positively impact GDP growth, while increasing CO2 emissions negatively affect it. Similarly, investments in education and health contribute to long-term growth, emphasizing the importance of sustainable development policies. This research presents reliable results supporting conclusions and recommendations.</w:t>
      </w:r>
    </w:p>
    <w:p>
      <w:r>
        <w:t>POSSIBLE 2025: Assessing environmental, social, political and legal, and economic challenges for cobalt supply from new mining projects in Europe — https://doi.org/10.1144/esss2025-007</w:t>
      </w:r>
    </w:p>
    <w:p>
      <w:r>
        <w:t>Shared claim-specific concepts: environmental, national, finland; EU scope visible. This is a provisional connection, not an outcome finding.</w:t>
      </w:r>
    </w:p>
    <w:p>
      <w:r>
        <w:t>Available abstract (not full text): Despite abundant cobalt resources in Europe, only Finland and Turkey currently extract this metal. This study examines challenges to new cobalt supply by comparing seven exploration projects and two operating mines in Finland, Norway, Sweden and Turkey. A multicriteria analysis framework was developed to assess four domains, environmental (E), social (S), political and legal (G), and economic (EC), each with five to six indicators. The results highlight complex interactions between indicators on national and local scales. While Nordic countries have strong mineral governance and thus rank highly in the political and legal domain, challenges persist, amplified by low rankings in land use and territorial aspects for some projects, particularly Sakatti, due to its vicinity to protected areas, reindeer herding and indigenous people. Furthermore, economic conflicts of interest with tourism result in low rankings for Kuusamo in two social indicators. The arctic region is also particularly vulnerable to climate change, exacerbated by anthropogenic activity. Turkey's Çaldağ project ranks highest for cobalt recovery, but it ranks low in all but one environmental indicator, due to high energy consumption and weak environmental governance in Turkey. Many mining conflicts could be mitigated by earlier community engagement to gain a social licence to operate.</w:t>
      </w:r>
    </w:p>
    <w:p>
      <w:r>
        <w:t>POSSIBLE 2025: European green bonds, carbon tax and crowding-out: The economic, social and environmental impacts of the EU's green investments under different financing scenarios — https://doi.org/10.1016/j.rser.2025.115330</w:t>
      </w:r>
    </w:p>
    <w:p>
      <w:r>
        <w:t>Shared claim-specific concepts: environmental, impacts, different, level, benefits; EU scope visible. This is a provisional connection, not an outcome finding.</w:t>
      </w:r>
    </w:p>
    <w:p>
      <w:r>
        <w:t>Available abstract (not full text): This study provides novel insights into the economic, social and environmental impacts of green energy investments in the European Union using MAGNET, a computable general equilibrium model of the world economy. MAGNET was extended to include sector-specific investment allocation, investment risk premiums adjustment, and technology learning effects to endogenize productivity growth in renewable and bioenergy sectors. In line with the proposals on climate neutrality and the Green Deal, the study simulates an increase in investments in renewable energy and bioeconomy sectors (additional 15 % increase in capital stock) starting in 2025. Three alternative financing scenarios are compared; the European Green Bonds scenario, carbon tax scenario and the crowding-out scenario (assuming green investments are financed from existing resources). It is found that additional green energy investments bring generally positive GDP, social and emission-saving effects. In the case of GDP, the deviation from the baseline reaches +0.9 % in 2050 for the EU if financed from the Green Bond. The other scenarios show that when green investments are not crowding-out other investments in the EU, the economic impacts at EU level are still positive. It is also shown that, on average, the investment policy would increase the size of bioeconomy sector by between 3.2 % and 4.2 % in 2050. However, the impacts a</w:t>
      </w:r>
    </w:p>
    <w:p>
      <w:r>
        <w:t>POSSIBLE 2024: Measuring Digital Sustainability Paying Attention to the Economic, Social, and Environmental Dimensions: A European Perspective — https://doi.org/10.1007/s11205-024-03459-9</w:t>
      </w:r>
    </w:p>
    <w:p>
      <w:r>
        <w:t>Shared claim-specific concepts: environmental, sustainability; EU scope visible. This is a provisional connection, not an outcome finding.</w:t>
      </w:r>
    </w:p>
    <w:p>
      <w:r>
        <w:t>Available abstract (not full text): Unavailable</w:t>
      </w:r>
    </w:p>
    <w:p>
      <w:r>
        <w:t>POSSIBLE 2024: Sustainability Pluralism in the Pharmaceutical Strategy for Europe: In Search of Social, Environmental and Economic Trends — https://doi.org/10.2139/ssrn.4991533</w:t>
      </w:r>
    </w:p>
    <w:p>
      <w:r>
        <w:t>Shared claim-specific concepts: environmental, sustainability; EU scope visible. This is a provisional connection, not an outcome finding.</w:t>
      </w:r>
    </w:p>
    <w:p>
      <w:r>
        <w:t>Available abstract (not full text): Unavailable</w:t>
      </w:r>
    </w:p>
    <w:p>
      <w:r>
        <w:t>POSSIBLE 2024: Valuing Public Sector Data in Scotland and Europe: Data Governance for Economic, Environmental and Social Development — https://doi.org/10.20933/100001329</w:t>
      </w:r>
    </w:p>
    <w:p>
      <w:r>
        <w:t>Shared claim-specific concepts: environmental, different, needs, explored, benefits; EU scope visible. This is a provisional connection, not an outcome finding.</w:t>
      </w:r>
    </w:p>
    <w:p>
      <w:r>
        <w:t>Available abstract (not full text): Data is collected by many different kinds of people and organisations, including the government and big businesses but also ordinary people. Data can give us many benefits and opportunities to improve society, the economy and the environment, and it can therefore meet the needs of diverse, plural publics. Doing this requires a good understanding of data and its uses in order to navigate this landscape, beginning with clarity about the range of issues and the definitional challenges around data and its rich complexities. The ‘Valuing Public Sector Data in Scotland and Europe: Data Governance for Economic, Environmental and Social Development’ Programme, funded by the (now retired) Scottish Universities Insight Institute between October 2023 and January 2024, was a timely exploration into public (sector) data’s benefits and challenges. During the programme, the nuances of ascribing value to data, and how that data may contribute in good – and bad – ways to the general public, were discussed and explored. We considered how ‘public data’ is gathered and used, and by whom, in Scotland, the European Union and beyond, identifying key insights to inform further research and policymaking in this area. Here we give some context for our programme on public data, before providing an overview of the workshops we ran and key insights which emerged from them. Against this backdrop, we present</w:t>
      </w:r>
    </w:p>
    <w:p>
      <w:r>
        <w:t>POSSIBLE 2023: Advancing the European energy transition based on environmental, economic and social justice — https://doi.org/10.1016/j.spc.2023.10.013</w:t>
      </w:r>
    </w:p>
    <w:p>
      <w:r>
        <w:t>Shared claim-specific concepts: environmental, sustainability; EU scope visible. This is a provisional connection, not an outcome finding.</w:t>
      </w:r>
    </w:p>
    <w:p>
      <w:r>
        <w:t>Available abstract (not full text): Energy transition has implications not only for economic growth and social welfare but also for the planet. It is therefore important to provide a framework of quantifying how this transition might affect these aspects from a triple perspective. In this regard, an in-depth and critical analysis of the available reports, policy frameworks and initiatives on energy transition, under the sustainable and circular perspectives, has been developed. This manuscript provides a “know-how” framework to assist in decision making and to assess the effectiveness, gaps and future actions to be developed for an effective energy transition. It presents a set of indicators to assess the sustainable and circular potential of emerging technologies and renewable energy production schemes, focusing on the environmental, social and economic pillars. It also highlights the policies and initiatives that should be implemented to facilitate this transition, as well as analyzing a comparison between European countries on how to improve energy renewability in those with low scores in the energy transition indexes. This study provides a critical analysis of the implications on energy transition over environmental, social and economic sustainability, as well as on circularity. It provides a preselection of the most appropriate indicators (both quantitative and qualitative) to effectively analyze the transit</w:t>
      </w:r>
    </w:p>
    <w:p>
      <w:r>
        <w:t>POSSIBLE 2023: Sustainable Development in Europe: A Review of the Forestry Sector's Social, Environmental, and Economic Dynamics — https://doi.org/10.56556/gssr.v2i3.585</w:t>
      </w:r>
    </w:p>
    <w:p>
      <w:r>
        <w:t>Shared claim-specific concepts: environmental, wood, strategies, variety; EU scope visible. This is a provisional connection, not an outcome finding.</w:t>
      </w:r>
    </w:p>
    <w:p>
      <w:r>
        <w:t xml:space="preserve">Available abstract (not full text): Despite their resilience, forest ecosystems become increasingly impacted by extreme climatic events, fires, and pathogen outbursts, which have considerable economic repercussions. How forest management solves these difficulties will affect human health, environmental variety, productivity, and forest ecosystem recuperation from exogenic distresses. Assuming forests provide ecosystem services essential to society and humanity along with wood, a better understanding of forest ecosystems seems essential to defining a development policy that meets ecological safeguard and energy and climate goals. According to the UN 2030 Agenda's Sustainable Development Goals, European forest management practices still don't provide a clear picture of ecological conditions, monetary estimate, and biodiversity. In light of the existing research, this article reviews and discusses recent European forestry industry trends and the environmental-economic nexus' complexity. Wood use has social consequences for regions adapting to ecological change, from rising temperatures to landscape modifications. This paper confirms that the technical-economic dimensions of forestry affect short-term economic dynamics, sector growth prospects, supply chain organization, company interconnections, and investment strategies. Forestry practices conserve species and habitats while boosting sustainable timber production. </w:t>
      </w:r>
    </w:p>
    <w:p>
      <w:r>
        <w:t>POSSIBLE 2023: Sustainability assessment of economic, environmental and social impacts, feed-food competition and economic robustness of dairy and beef farming systems in South Western Europe — https://doi.org/10.1016/j.spc.2023.01.022</w:t>
      </w:r>
    </w:p>
    <w:p>
      <w:r>
        <w:t>Shared claim-specific concepts: environmental, impacts, different, needs, assessed, sustainability; EU scope visible. This is a provisional connection, not an outcome finding.</w:t>
      </w:r>
    </w:p>
    <w:p>
      <w:r>
        <w:t>Available abstract (not full text): The objective of this study was to evaluate the sustainability of cattle systems in South Western Europe by combining life cycle sustainability assessment (LCSA) with assessment of feed-food competition and economic robustness. We studied three cattle systems using different proportions of semi-natural pasture, and producing either only beef or milk and beef, i.e. a dairy system with Holstein breed in the lowlands of France with &lt;5% of the total land used being semi-natural pastures (HolSy), a dairy system with Montbeliarde breed in the highlands of France with approximately 25% of the total land used being semi-natural pastures (MonSy), and a pure beef system with Parda de Montana breed in the highlands of Spain with &gt;85% of the total land used being semi-natural pastures (ParSy). The functional unit for LCSA was 1000 kg protein of animal origin and the system boundary was from cradle to farmgate. The cattle production systems were assessed using 27 indicators (LCSA, feed-food competition and robustness). The results indicated that MonSy performed less well for 10 and ParSy for 14 out of the 27 indicators researched when compared to HolSy, the reference case. HolSy was less sensitive to a support payment decrease and had lower social impacts on farmers than the other two systems. MonSy had lower impacts on some environmental indicators, lower life cycle costs, lower social imp</w:t>
      </w:r>
    </w:p>
    <w:p>
      <w:pPr>
        <w:pStyle w:val="Heading2"/>
      </w:pPr>
      <w:r>
        <w:t>A New Climate for Europe: 2030 Climate Targets Must Be More Ambitious</w:t>
      </w:r>
    </w:p>
    <w:p>
      <w:r>
        <w:t>Original source (2019): https://doi.org/10.18723/diw_dwr:2019-40-1</w:t>
      </w:r>
    </w:p>
    <w:p>
      <w:r>
        <w:t>Original wording (abstract; indexed_source_text_not_full_document_verified): Specifically, action must be taken to raise the 2030 climate targets and the 2050 long-term strategy must be revised in adherence with the Paris Agreement. Model calculations by DIW Berlin economists show that it is possible and economically feasible to increase the 2030 emission reduction target from 40 to 60 percent compared to 1990.</w:t>
      </w:r>
    </w:p>
    <w:p>
      <w:r>
        <w:t>POSSIBLE 2026: Simulating Nature Futures Pathways for Europe using a Nexus Modelling Framework — https://doi.org/10.5281/zenodo.22918966</w:t>
      </w:r>
    </w:p>
    <w:p>
      <w:r>
        <w:t>Shared claim-specific concepts: specifically, action, must, climate, show; EU scope visible. This is a provisional connection, not an outcome finding.</w:t>
      </w:r>
    </w:p>
    <w:p>
      <w:r>
        <w:t>Available abstract (not full text): Deliverable 1.3 of the EU-funded BIONEXT project reports on the application of the nexus modelling framework. The framework comprises three complementary models: (i) JUNIPER, a systems dynamic model developed specifically for BIONEXT; (ii) CRAFTY-Europe, an agent-based model enhanced for this project; and (iii) IAP2/dIAP, a regional integrated assessment model. Together, these models capture interlinkages among the seven nexus elements—biodiversity, climate change, food, water, energy, transport and health—enabling improved quantification of cross-sectoral impacts, synergies and trade-offs. The framework also accommodates a wide range of direct drivers (e.g. climate change, land use change) and indirect drivers (e.g. socio-cultural, demographic, technological, economic and governance factors). The modelling framework was applied to three co-created just transition pathways—NAC (Nature as Culture), NFN (Nature for Nature) and NFS (Nature for Society)—at the European scale, with national illustrations for six countries. These pathways were co-designed with stakeholders through three workshops to reflect plural values and governance choices, then translated into quantitative parameter trends and modelled to 2050 under a common climate forcing. The resulting multi-model outputs show how different action portfolios propagate through the nexus—revealing where synergies dominate, wher</w:t>
      </w:r>
    </w:p>
    <w:p>
      <w:r>
        <w:t>POSSIBLE 2026: The 2026 Europe report of the Lancet Countdown on health and climate change: narrowing window for decisive health action — https://doi.org/10.1016/s2468-2667(26)00025-3</w:t>
      </w:r>
    </w:p>
    <w:p>
      <w:r>
        <w:t>Shared claim-specific concepts: action, climate, possible; EU scope visible. This is a provisional connection, not an outcome finding.</w:t>
      </w:r>
    </w:p>
    <w:p>
      <w:r>
        <w:t>Available abstract (not full text): This third iteration of the Lancet Countdown on health and climate change in Europe report systematically tracks the health effects of climate change adaptation and mitigation action, economics and finance, and the engagement of various societal actors with the climate change and health nexus, drawing on data up to 2025. The report features seven new indicators, methodological updates, extended time series for existing indicators, and highlights inequalities in health risks and impacts where possible.</w:t>
      </w:r>
    </w:p>
    <w:p>
      <w:r>
        <w:t>POSSIBLE 2025: Climate Action in On-Site Study Abroad in Europe — https://doi.org/10.36366/frontiers.v37i1.992</w:t>
      </w:r>
    </w:p>
    <w:p>
      <w:r>
        <w:t>Shared claim-specific concepts: action, climate, show; EU scope visible. This is a provisional connection, not an outcome finding.</w:t>
      </w:r>
    </w:p>
    <w:p>
      <w:r>
        <w:t>Available abstract (not full text): Study abroad travel by plane forms the largest component of a programme’s carbon footprint. This paper stresses the importance of embedding climate action into study abroad and outlines climate action steps for on-site programmes in Europe to become more sustainable, including 1) calculating carbon footprints, 2) reducing emissions, 3) offsetting remaining emissions, and 4) embedding climate and sustainability education into our programmes. Practitioner survey results show that many programmes have already implemented some actions, but more could be done with targeted effort. Student survey results show that while they favour climate action outcomes in their programme, most students view their abroad semester as an opportunity to be hypermobile without consideration to climate. We view climate action and sustainability education within our programmes as being critical to the future of study abroad in Europe. Abstract in Italian Le emissioni di carbonio di un programma di studio all’estero sono causate principalmente dal fatto che si viaggi in aereo. Questo articolo sottolinea l'importanza di includere un piano di contrasto al cambiamento climatico nei programmi di studio all’estero e suggerisce delle azioni concrete per rendere più sostenibili i programmi in Europa, tra cui: 1) calcolare le emissioni relative al programma 2) ridurle 3) compensare le residue 4) incorporare nei p</w:t>
      </w:r>
    </w:p>
    <w:p>
      <w:r>
        <w:t>POSSIBLE 2022: The European Green Deal and nephrology: a call for action by the European Kidney Health Alliance — https://doi.org/10.1093/ndt/gfac160</w:t>
      </w:r>
    </w:p>
    <w:p>
      <w:r>
        <w:t>Shared claim-specific concepts: action, climate, emission, reduction; EU scope visible. This is a provisional connection, not an outcome finding.</w:t>
      </w:r>
    </w:p>
    <w:p>
      <w:r>
        <w:t xml:space="preserve">Available abstract (not full text): The world faces a dramatic man-made ecologic disaster and healthcare is a crucial part of this problem. Compared with other therapeutic areas, nephrology care, and especially dialysis, creates an excessive burden via water consumption, greenhouse gas emission and waste production. In this advocacy article from the European Kidney Health Alliance we describe the mutual impact of climate change on kidney health and kidney care on ecology. We propose an array of measures as potential solutions related to the prevention of kidney disease, kidney transplantation and green dialysis. For dialysis, several proactive suggestions are made, especially by lowering water consumption, implementing energy-neutral policies, waste triage and recycling of materials. These include original proposals such as dialysate regeneration, dialysate flow reduction, water distillation systems for dialysate production, heat pumps for unit climatization, heat exchangers for dialysate warming, biodegradable and bio-based polymers, alternative power sources, repurposing of plastic waste (e.g. incorporation in concrete), registration systems of ecologic burden and platforms to exchange ecologic best practices. We also discuss how the European Green Deal offers real potential for supporting and galvanizing these urgent environmental changes. Finally, we formulate recommendations to professionals, manufacturers, </w:t>
      </w:r>
    </w:p>
    <w:p>
      <w:r>
        <w:t>POSSIBLE 2022: Biobased Innovation as a Fashion and Textile Design Must: A European Perspective — https://doi.org/10.3390/su14010570</w:t>
      </w:r>
    </w:p>
    <w:p>
      <w:r>
        <w:t>Shared claim-specific concepts: must, possible, feasible; EU scope visible. This is a provisional connection, not an outcome finding.</w:t>
      </w:r>
    </w:p>
    <w:p>
      <w:r>
        <w:t>Available abstract (not full text): Fashion industry investments drive the choice for textile solutions characterized by radical experimentation and a firm commitment to sustainability. In the last five years, textile innovations have been strongly related to biobased textile solutions evolving to become effectively feasible and strategic. The produced qualitative knowledge implementations consider new production patterns, innovative technical and digital know-how, and new consumption scenarios. The directions the industry is tracing may provide new opportunities for future textile development in the circular biobased economy. This paper presents a map of current European practices. It discusses the possible passage through a holistic paradigm that goes beyond the boundaries of the old productive systems to accompany the sector towards a new sustainable and transversal state. It also presents three selected best practices that return the actual context in which the phenomenon occurs. A model is presented to demonstrate how these circular processes of biobased materials production enable more process innovations which are developed through implementing the process itself: companies’ search for rethinking and implementing the traditional practices or designing new ones (as determined by the doctoral research of one of the authors).</w:t>
      </w:r>
    </w:p>
    <w:p>
      <w:r>
        <w:t>POSSIBLE 2022: Musical Responses to Western European Bureaucratic Action — https://doi.org/10.47611/jsrhs.v11i3.2902</w:t>
      </w:r>
    </w:p>
    <w:p>
      <w:r>
        <w:t>Shared claim-specific concepts: action, must, climate; EU scope visible. This is a provisional connection, not an outcome finding.</w:t>
      </w:r>
    </w:p>
    <w:p>
      <w:r>
        <w:t>Available abstract (not full text): With the rise of popular culture music, as well as resurgence of traditional folk music in the late twentieth century, Western cultures, distinctly Western European states, saw the relations between music and politics emerge to its current state- a deeply intertwined dependency between the two, with its effect spreading across borders to reach greater populations. To look at how the relations between music and politics came to be, first the examination of the dependency between the two in the latter half of the twentieth century must occur. Across genres, artists drew inspiration from their current political climate, creating music as a response. Yet, political action also resulted from music, distinctly with songs coined as “protest soundtracks.” The multifaceted nature of the relationship allows for a greater understanding of the extremes of this relationship, distinctly with music censorship occurring in most European states, democratic and authoritative alike. The continued censorship of music from European states leads to the notion that the existence of music warrants political action, despite proven lack of substantive response of the music itself. To grant a greater autonomy to artists and develop an enhanced comprehension of the multifaceted relationship that is music and politics, the implementation of music-based lessons of core classes into secondary schools will wa</w:t>
      </w:r>
    </w:p>
    <w:p>
      <w:r>
        <w:t>POSSIBLE 2021: Innovative actions in oceans and human health for Europe — https://doi.org/10.1093/heapro/daab203</w:t>
      </w:r>
    </w:p>
    <w:p>
      <w:r>
        <w:t>Shared claim-specific concepts: action, climate, targets; EU scope visible. This is a provisional connection, not an outcome finding.</w:t>
      </w:r>
    </w:p>
    <w:p>
      <w:r>
        <w:t>Available abstract (not full text): Innovative actions are local initiatives which leverage the interactions between the ocean and human health to reduce the risks and enhance the benefits for the stakeholders and the natural environment. These initiatives can have strong positive effects on human health and wellbeing as well as on the marine environment. We analysed 150 such innovative actions in Europe. Using a combined case study and survey approach, innovative actions were identified using interviews and content analysis of websites and compiled into a database. Quantitative data were analysed according to the Drivers, Pressures, State, Impact and Response (DPSIR) framework, guided by selected in-depth interviews. Overall, the innovative actions provided a positive impact on the health of both the ocean and humans through increasing food provision, water quality and tourism opportunities; and addressing environmental issues such as commercial fish stock depletion, pollution and climate change. Innovative actions contributed to meeting various targets of the Sustainable Development Goals (SDGs) 3, 13 and 14. These actions played a potential role ahead of and alongside policy. Some of the innovative actions may have potential to be put in place elsewhere. Such up-scaling would need to be adapted to local circumstances and could be facilitated by an innovative action exchange platform.</w:t>
      </w:r>
    </w:p>
    <w:p>
      <w:r>
        <w:t>POSSIBLE 2021: Climate Action at Public Health Schools in the European Region — https://doi.org/10.3390/ijerph18041518</w:t>
      </w:r>
    </w:p>
    <w:p>
      <w:r>
        <w:t>Shared claim-specific concepts: action, taken, climate, strategy, show; EU scope visible. This is a provisional connection, not an outcome finding.</w:t>
      </w:r>
    </w:p>
    <w:p>
      <w:r>
        <w:t>Available abstract (not full text): Climate change is putting the achievement of all Sustainable Development Goals at risk and leads to negative impacts on human health and well-being. Consequently, tremendous social responsibility lies with public health professionals and their associations. Therefore, this study addressed the following question: "How can the Association of Schools of Public Health in the European Region (ASPHER) best support the goals of the European Green Deal through its network of public health schools and departments?" This study looked at the implementation of climate education in public health schools in the European region and climate action taken by these public health schools. An online survey among ASPHER members with a 51% overall response rate (excluding non-European members) shows that 64% of the responding schools provide climate-health educational offerings, while 63% consider these for the future. Additionally, most climate actions taken by the schools were ad hoc actions. These findings show that a systematic approach is missing, and there is a general lack of strategy in most schools. We consequently recommend that schools invest in climate and health education in their curricula and become exemplars for climate action to actively contribute to the achievement of Europe's climate goals.</w:t>
      </w:r>
    </w:p>
    <w:p>
      <w:r>
        <w:t>POSSIBLE 2020: Analysing European Union circular economy policies: words versus actions — https://doi.org/10.1016/j.spc.2020.11.001</w:t>
      </w:r>
    </w:p>
    <w:p>
      <w:r>
        <w:t>Shared claim-specific concepts: action, taken, show, increase; EU scope visible. This is a provisional connection, not an outcome finding.</w:t>
      </w:r>
    </w:p>
    <w:p>
      <w:r>
        <w:t>Available abstract (not full text): Since the publication of the European Union's Circular Economy Action Plan in 2015, this new sustainability paradigm has become a guiding force behind the environmental and economic policies of the Junker Commission. The European Union (EU) has taken a particular approach to circularity, with high expectations to increase competitiveness, promote economic growth and create jobs while reducing environmental impacts and resource dependency. However, the circular economy (CE) is a contested paradigm, for which many competing interpretations exist, each seeking varying degrees of social, ecological and political transformation. Considering the emerging and contested state of the academic literature on CE, the EU's embrace of the concept is a remarkable phenomenon, which remains poorly researched. The aim of this paper is thus to address this research gap by analysing the CE discourse and policies of the Junker Commission (2014-2019) in order to critically discuss their sustainability implications and develop key policy recommendations. To do so, this research uses a combination of qualitative and quantitative research methods. The paper first critically analyses the EU's discourse based on a typology of circularity discourses. It then reviews the complex set of concrete CE policies and actions adopted by the EU and compares them to its discourse. Results show a dichotomy between wo</w:t>
      </w:r>
    </w:p>
    <w:p>
      <w:pPr>
        <w:pStyle w:val="Heading2"/>
      </w:pPr>
      <w:r>
        <w:t>A Technological Scenario for a Healthier, More Equitable and Sustainable Europe in 2040: Citizen Perceptions and Policy Implications</w:t>
      </w:r>
    </w:p>
    <w:p>
      <w:r>
        <w:t>Original source (2019): https://doi.org/10.3390/ijerph17010231</w:t>
      </w:r>
    </w:p>
    <w:p>
      <w:r>
        <w:t>Original wording (abstract; indexed_source_text_not_full_document_verified): This article aims at exploring, understanding and comparing European citizens' insights and perceptions towards "My life between realities", a positive future scenario which depicts a narrative of reaching healthier, more equitable and sustainable societies by 2040 with the support of technology and technological solutions.</w:t>
      </w:r>
    </w:p>
    <w:p>
      <w:r>
        <w:t>POSSIBLE 2026: STRATEGIC AIMS OF UNIVERSITY-BASED MANAGERIAL EDUCATION IN EUROPEAN AND ASIAN COUNTRIES — https://doi.org/10.52058/3041-1572-2026-3(23)-909-923</w:t>
      </w:r>
    </w:p>
    <w:p>
      <w:r>
        <w:t>Shared claim-specific concepts: article, aims, between, technological; EU scope visible. This is a provisional connection, not an outcome finding.</w:t>
      </w:r>
    </w:p>
    <w:p>
      <w:r>
        <w:t>Available abstract (not full text): The article examines the strategic aims of university-based managerial education in European and Asian countries within the context of global socio-economic transformation, digitalisation, and increasing governance complexity.The study seeks to identify the dominant value orientations, institutional priorities, and competence frameworks that shape managerial training in contemporary higher education systems.Using comparative and systemic analysis, the paper explores how European models emphasise democratic governance, sustainability, ethical leadership, and competencybased human capital development, while many Asian systems focus on state-driven modernisation, economic competitiveness, technological advancement, and collective responsibility.Particular attention is paid to the balance between professional expertise, leadership formation, and the development of adaptive capacities necessary for functioning in volatile and uncertain environments.The study synthesizes European and Asian experiences to identify the strategic aims of university-based managerial education.These objectives are characterized by 3(23) 2026</w:t>
      </w:r>
    </w:p>
    <w:p>
      <w:r>
        <w:t>POSSIBLE 2025: Exploring the Impact of Digital Transformation on Non-Financial Performance in Central and Eastern European Countries — https://doi.org/10.3390/electronics14061226</w:t>
      </w:r>
    </w:p>
    <w:p>
      <w:r>
        <w:t>Shared claim-specific concepts: article, aims, exploring, between; EU scope visible. This is a provisional connection, not an outcome finding.</w:t>
      </w:r>
    </w:p>
    <w:p>
      <w:r>
        <w:t xml:space="preserve">Available abstract (not full text): This article explores the intricate relationship between digital transformation and non-financial performance in Central and Eastern European (CEE) countries. As these nations navigate the complexities of post-communist economic landscapes, the role of digitalization emerges as a pivotal factor influencing various dimensions of organizational performance beyond mere financial outcomes. In this framework, our research aims to analyze the ways in which digital transformation (as proxied by DESI) impacts a range of non-financial performance metrics (ESG) in order to furnish a thorough comprehension of the intricate interplay within the specific context of CEE countries. With data collected over an 11-year timeframe, we performed a panel data analysis, relying on a robust regression. The main findings indicate that digital transformation profoundly impacts the environmental (CO2 emissions, renewable energy consumption), social (ratio of female-to-male labor force participation rate, unemployment) and governance (government effectiveness) performance of CEE countries, although the effects vary significantly across different regions. The panel data highlight potential areas for policy emphasis, particularly in relation to reducing CO2 emissions, improving regulatory quality, and advancing digital integration and connectivity. The disparities identified may inform targeted strategies </w:t>
      </w:r>
    </w:p>
    <w:p>
      <w:r>
        <w:t>POSSIBLE 2024: Exploring European decarbonisation pathways in the Power Decisions Game — https://doi.org/10.1186/s13705-024-00469-w</w:t>
      </w:r>
    </w:p>
    <w:p>
      <w:r>
        <w:t>Shared claim-specific concepts: article, aims, exploring, understanding, citizens, insights; EU scope visible. This is a provisional connection, not an outcome finding.</w:t>
      </w:r>
    </w:p>
    <w:p>
      <w:r>
        <w:t>Available abstract (not full text): Abstract Background Article 12 of the Paris Agreement summons the signing parties to corporate in improving the education of their citizens on climate change and related matters. The article thereby acknowledges the importance of citizens support and understanding of climate change and needed measures to fight climate change. This paper aims to contribute to the goal of informing on the implications of climate change related policy on the power sector in Europe and hence all European citizens by presenting a serious game in which the player can explore how key policy decisions affect capacity mix, investment needs and electricity costs.Results The game is based on more than 1700 scenarios run through an open-source and accessible, yet technologically detailed myopic energy system optimisation model for the electricity supply in the EU27 + 3. The game allows the user to take the role of a decision maker and make decisions in 2020, 2030 and 2040 regarding the usage of CCS, biomass imports, cross-border electricity transmission and the pace of emission reductions. The user is then presented with economic, social, and environmental impacts of these choices. These impacts are for example measured and illustrated in the development of CO2 emissions per capita, levelised cost of electricity, and investment need per citizen.Conclusion The Power Decisions Game provides a first of its ki</w:t>
      </w:r>
    </w:p>
    <w:p>
      <w:r>
        <w:t>POSSIBLE 2023: Exploring Energy Sufficiency Benefits, Limitations, Deployment, and Opportunities in Europe — https://doi.org/10.51505/ijaemr.2023.8316</w:t>
      </w:r>
    </w:p>
    <w:p>
      <w:r>
        <w:t>Shared claim-specific concepts: article, exploring, life; EU scope visible. This is a provisional connection, not an outcome finding.</w:t>
      </w:r>
    </w:p>
    <w:p>
      <w:r>
        <w:t>Available abstract (not full text):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r>
        <w:t>POSSIBLE 2023: Unlocking the Power of Crowds: Exploring Crowdsourcing and Crowdfunding Initiatives in Europe — https://doi.org/10.7336/academicus.2023.28.08</w:t>
      </w:r>
    </w:p>
    <w:p>
      <w:r>
        <w:t>Shared claim-specific concepts: article, aims, exploring, between, support; EU scope visible. This is a provisional connection, not an outcome finding.</w:t>
      </w:r>
    </w:p>
    <w:p>
      <w:r>
        <w:t>Available abstract (not full text): The world of crowdsourcing and crowdfunding in Europe is a dynamic and transformative space that has been significantly impacted by the rapid growth of digital technologies. This innovative approach has become a game-changer for entrepreneurs, startups, and creative individuals as it harnesses the collective intelligence and financial support of people. Various platforms and mechanisms are driving crowdsourcing and crowdfunding initiatives in Europe, leading to success stories, emerging trends, and potential benefits for all partecipants. This article aims to analyze some of the various emerging trends in crowdsourcing and crowdfunding across Europe while highlighting their potential benefits for those seeking funding or collaboration opportunities. It further examines both crowdsourcing and crowdfunding advantages &amp; disadvantages. Ultimately, this article aims to unlock the full potential of collaboration between people from diverse backgrounds by exploring ways to leverage crowdsourcing &amp; crowdfunding effectively.</w:t>
      </w:r>
    </w:p>
    <w:p>
      <w:r>
        <w:t>POSSIBLE 2022: Exploring the Geography of Subjective Happiness in Europe During the Years of the Economic Crisis: A Multilevel Modelling Approach — https://doi.org/10.1007/s11205-021-02874-6</w:t>
      </w:r>
    </w:p>
    <w:p>
      <w:r>
        <w:t>Shared claim-specific concepts: article, exploring, understanding; EU scope visible. This is a provisional connection, not an outcome finding.</w:t>
      </w:r>
    </w:p>
    <w:p>
      <w:r>
        <w:t>Available abstract (not full text): Abstract This article builds on the efforts by geographers and regional scientists aimed at adding a geographical dimension to the analysis and understanding of happiness and well-being. In particular, the article explores the changes in observed subjective wellbeing measures of residents in countries and regions that were mostly hit by the severe economic crisis and austerity measures. To that end, we present a multilevel modelling approach to the analysis of suitable secondary data derived from the European Social Survey (ESS), as well as relevant contextual regional-level data from Eurostat. The article first presents a brief overview of the state of the art in happiness and well-being research, with particular emphasis on the relatively limited but rapidly growing geographical studies, as well as studies by economists regarding the impact of austerity and inequality upon happiness and well-being. We then present key findings from a comprehensive analysis of European Social Survey data combined with austerity related data at the regional level in order to explore the geography of happiness and well-being in Europe amid times of economic gloom and severe austerity measures. The research presented in this article involves analysis of data before, during and after (or in towards the end of) the crisis and it is aimed at identifying geographical as well as individual socio-econo</w:t>
      </w:r>
    </w:p>
    <w:p>
      <w:r>
        <w:t>POSSIBLE 2021: The Dissemination of European Popular Print: Exploring Comparative Approaches — https://doi.org/10.1163/15700690-12341482</w:t>
      </w:r>
    </w:p>
    <w:p>
      <w:r>
        <w:t>Shared claim-specific concepts: article, exploring, between; EU scope visible. This is a provisional connection, not an outcome finding.</w:t>
      </w:r>
    </w:p>
    <w:p>
      <w:r>
        <w:t>Available abstract (not full text):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r>
        <w:t>POSSIBLE 2021: Judicial Dialogue in Social Media Cases in Europe: Exploring the Role of Peers in Judicial Adjudication — https://doi.org/10.1017/glj.2021.57</w:t>
      </w:r>
    </w:p>
    <w:p>
      <w:r>
        <w:t>Shared claim-specific concepts: article, aims, exploring; EU scope visible. This is a provisional connection, not an outcome finding.</w:t>
      </w:r>
    </w:p>
    <w:p>
      <w:r>
        <w:t>Available abstract (not full text): Abstract This Article aims to examine the social media jurisprudence of national courts in a selected set of EU Member States by focusing on judicial dialogue specifically via references to the case law of other courts. Do judges in social media cases engage with the case law of peers, and if so how and to what extent? The analysis investigates whether national judges draw on the jurisprudence of higher domestic courts, foreign courts and/or European supranational courts—the Court of Justice of the European Union (CJEU) and the European Court of Human Rights (ECtHR)—and explores the use of such jurisprudence. It is based on 147 cases from the constitutional and/or supreme courts of Bulgaria, Croatia, Greece, Italy, Latvia, Slovakia, and Slovenia. Although judicial dialogue is generally limited in the cases under study, the analysis illustrates the different ways in which courts interact with the rulings of peers and informs on the latter’s contribution to judicial assessment.</w:t>
      </w:r>
    </w:p>
    <w:p>
      <w:r>
        <w:t>POSSIBLE 2020: Creative Connections: The power of contemporary art to explore European citizenship — https://doi.org/10.14324/lre.18.2.10</w:t>
      </w:r>
    </w:p>
    <w:p>
      <w:r>
        <w:t>Shared claim-specific concepts: article, citizens, perceptions; EU scope visible. This is a provisional connection, not an outcome finding.</w:t>
      </w:r>
    </w:p>
    <w:p>
      <w:r>
        <w:t>Available abstract (not full text): Across Europe, educational institutions are essential in assisting exploration of politics, culture and history, and the use of creative arts appears crucial to supporting this aim. This article reports on Creative Connections, a multi-partner research project that facilitated exchanges for young people to explore their European identities using online art galleries and blogging technologies. Their multimodal conversations revealed an openness to consider artworks as sources of knowledge and experience. Participants did not focus on the nationality of the artist, but concentrated on the relationship that the subject matter of the work had with their own concerns. Anxiety related to populism, exclusive nationalism, social inequality and new forms of labour appeared to impact young European citizens’ relationships and their perceptions of democracy.</w:t>
      </w:r>
    </w:p>
    <w:p>
      <w:r>
        <w:t>POSSIBLE 2020: The content and potential of the right to social assistance in light of Article 13 of the European Social Charter — https://doi.org/10.1177/1388262720908695</w:t>
      </w:r>
    </w:p>
    <w:p>
      <w:r>
        <w:t>Shared claim-specific concepts: article, aims, support; EU scope visible. This is a provisional connection, not an outcome finding.</w:t>
      </w:r>
    </w:p>
    <w:p>
      <w:r>
        <w:t>Available abstract (not full text): This article explores the current development of the right to social assistance as well as its potential for improving income support policies. Focusing on Article 13 of the European Social Charter (ESC), it aims to shed light on the content of such provision by identifying a list of comprehensive defining standards from the monitoring activity conducted by the European Committee of Social Rights (ECSR). Secondly, it asks whether the right can effectively enhance access to social assistance in practice by studying the implementation of the right in two national cases, the UK and Spain. The article concludes that Article 13 ESC imposes clear obligations on States Parties regarding aspects of the implementation of assistance schemes, such as the level of assistance and the right to appeal. Nevertheless, practical aspects of implementation should be taken into account for the effective realisation of the right. The ESC provisions, as well as the ECSR’s Conclusions, should be enforced by States at the national level. Furthermore, the standards developed by the ECSR for Article 13 can be complemented by recommendations currently suggested by civil society, such as the increased flexibility of activation measures for households with parenting duties, and the splitting of payments to achieve financial independence.</w:t>
      </w:r>
    </w:p>
    <w:p>
      <w:r>
        <w:t>POSSIBLE 2020: Who is Teleworking and Where from? Exploring the Main Determinants of Telework in Europe — https://doi.org/10.3390/su12218797</w:t>
      </w:r>
    </w:p>
    <w:p>
      <w:r>
        <w:t>Shared claim-specific concepts: exploring, understanding, between, support, technological; EU scope visible. This is a provisional connection, not an outcome finding.</w:t>
      </w:r>
    </w:p>
    <w:p>
      <w:r>
        <w:t>Available abstract (not full text): Telework and ICT-based mobile work (TICTM) arrangements have emerged in response to technological changes driven by digitalisation, increasing flexibility within the labour market, and globalisation. As telework becomes more widespread, these flexible models of work are rapidly expanding to new categories of employees, changing the factors traditionally found to be important for telework eligibility. The aim of this study is to gain a deeper understanding of new profiles of teleworkers, examining main factors that increase or decrease the likelihood of different TICTM arrangements. We apply multinomial logistic regression models to a sample of more than 20,000 workers from the 6th European Working Conditions Survey. Our findings confirm the heterogeneity in the profiles of teleworkers, particularly distinguishing by TICTM arrangement. Occasional teleworkers are usually male managers or professionals, but a relevant percentage of highly mobile teleworkers are technicians and associate professionals, while clerical support workers amount to a large group of home-based teleworkers. The majority of occasional and highly mobile teleworkers are still men, but this can no longer be said of home-based teleworkers. The correlations between telework and permanent contracts, full-time jobs, and living in urban areas are weak, showing that TICTM is spreading into more precarious, temporary</w:t>
      </w:r>
    </w:p>
    <w:p>
      <w:r>
        <w:t>POSSIBLE 2020: Exploring inclusive education across Europe: some insights from the European Agency Statistics on Inclusive Education — https://doi.org/10.32865/fire202061172</w:t>
      </w:r>
    </w:p>
    <w:p>
      <w:r>
        <w:t>Shared claim-specific concepts: article, exploring, insights, between; EU scope visible. This is a provisional connection, not an outcome finding.</w:t>
      </w:r>
    </w:p>
    <w:p>
      <w:r>
        <w:t>Available abstract (not full text): The European Agency Statistics on Inclusive Education (EASIE) work focuses upon the collection and analysis of longitudinal, comparative national data related to inclusive education systems and learners with officially recognised special educational needs (SEN) among its 31 member countries. In this article, the EASIE work is discussed in relation to the key concepts of presence, placement, participation and progress within inclusive education systems.The findings of the EASIE work indicate differences and variations between countries in how they respond to all learners</w:t>
      </w:r>
    </w:p>
    <w:p>
      <w:pPr>
        <w:pStyle w:val="Heading2"/>
      </w:pPr>
      <w:r>
        <w:t>A comparison of low carbon investment needs between China and Europe in stringent climate policy scenarios</w:t>
      </w:r>
    </w:p>
    <w:p>
      <w:r>
        <w:t>Original source (2019): https://doi.org/10.1088/1748-9326/ab0dd8</w:t>
      </w:r>
    </w:p>
    <w:p>
      <w:r>
        <w:t>Original wording (abstract; indexed_source_text_not_full_document_verified): China and Europe need to increase their low carbon investments by 65% and 38% in a scenario reaching the 2° target relative to their respective reference scenarios which assume no such target from 2016–2050. The results indicate that a rapid upscaling and structural change of these investments towards decarbonization are necessitated by the climate stringent scenarios.</w:t>
      </w:r>
    </w:p>
    <w:p>
      <w:r>
        <w:t>POSSIBLE 2026: Trade and Investment Connectivity in Europe and the Chinese Influence — https://doi.org/10.25353/ubtr-90f2-6aed-a60d</w:t>
      </w:r>
    </w:p>
    <w:p>
      <w:r>
        <w:t>Shared claim-specific concepts: china, need, increase, investments, relative, indicate; EU scope visible. This is a provisional connection, not an outcome finding.</w:t>
      </w:r>
    </w:p>
    <w:p>
      <w:r>
        <w:t>Available abstract (not full text): This thesis examines how Europe sustains its leadership and competitiveness as a global center for foreign direct investment (FDI) and trade between 1991 and 2023. While EU membership historically functioned as the dominant determinant of inward FDI and trade integration, its relative influence has declined as new structural factors, based on trade dynamics and export-platform strategies, have emerged, together with the growing presence of Asian, especially Chinese, investors establishing production hubs in Central and Eastern Europe to serve the wider EU market. Lower trade costs within Europe have reinforced this shift, leading EU investors to focus on vertical FDI, while non-EU investors to adopt export-platform FDI patterns. Chinese investment has moved from infrastructure-focused projects to strategic-sector FDI, highlighting Europe’s exposure to evolving global industrial and geopolitical dynamics. Chapter 2 examines how traditional determinants of FDI, including EU membership, interact with emerging drivers, such as trade interdependence, export-platform strategies, and Asian influence, to shape investment patterns in Europe. It employs a gravity-based empirical framework augmented with newly developed indicators, comprising the Bilateral Trade Interdependence Index, the Export-Platform Indicator, and Belt and Road Initiative (BRI) participation, together with a function</w:t>
      </w:r>
    </w:p>
    <w:p>
      <w:r>
        <w:t>POSSIBLE 2022: The micro-macro interplay of economic factors in late-life loneliness: Evidence from Europe and China — https://doi.org/10.3389/fpubh.2022.968411</w:t>
      </w:r>
    </w:p>
    <w:p>
      <w:r>
        <w:t>Shared claim-specific concepts: china, need, increase, low; EU scope visible. This is a provisional connection, not an outcome finding.</w:t>
      </w:r>
    </w:p>
    <w:p>
      <w:r>
        <w:t>Available abstract (not full text): Individual socioeconomic status has a significant impact on whether older adults can initiate and maintain social relationships and participate in society, hence it affects loneliness. At the macro level, income inequality is expected to increase the risk of loneliness by eroding social cohesion and trust, while welfare generosity might protect people from loneliness. The aim of the study is to explore whether income inequality and welfare generosity at the country level moderate the effect of socioeconomic status at the individual level on late-life loneliness. Data were obtained from the HRS family of surveys - the Survey of Health, Aging and Retirement in Europe (SHARE) (wave 5, 2011/12) and China Health and Retirement Longitudinal Study (CHARLS) (wave 2, 2012/13). Respondents aged 50 years and older from twelve European countries and China were included in the study. Logistic country fixed effect models were used in the analysis. The findings show a stronger effect of individual socioeconomic status on late-life loneliness in more income-unequal societies and a weaker effect in more welfare-generous societies. There is a need to consider the impact of income distribution and welfare spending on the risk of loneliness among those older adults with low socioeconomic status when tailoring preventive programs and interventions to reduce loneliness among this vulnerable group.</w:t>
      </w:r>
    </w:p>
    <w:p>
      <w:r>
        <w:t>POSSIBLE 2021: Increased trade with China and Eastern Europe hardly affects Dutch workers — https://openalex.org/W3187283793</w:t>
      </w:r>
    </w:p>
    <w:p>
      <w:r>
        <w:t>Shared claim-specific concepts: china, need, increase; EU scope visible. This is a provisional connection, not an outcome finding.</w:t>
      </w:r>
    </w:p>
    <w:p>
      <w:r>
        <w:t>Available abstract (not full text): Contrary to other studies, we find no robust effect of an increase in trade with China and Central European (CEE) countries on local employment, wages and inequality in the Netherlands. If there is an effect, it is small, with positive effects of increased exports counteracting the negative effects of increased imports. One of the reasons why we find different results for the Netherlands is the fact that the Dutch manufacturing industry was already undergoing changes well before the emergence of China and the CEE countries and became less sensitive to import competition from China or the CEE countries. In addition, the Netherlands has collective wage negotiations, which may help to explain that we do not find any effects on wages. While the effect of increased trade with China and the CEE countries on manufacturing jobs is limited, it can create uncertainty for workers. The negative effect of import competition and the positive impact of export opportunities on manufacturing jobs also point to adjustments across industries and regions. Transitioning workers to new types of work can be difficult for these workers, as they are (temporarily) unemployed and may need to move to other regions.</w:t>
      </w:r>
    </w:p>
    <w:p>
      <w:r>
        <w:t>POSSIBLE 2020: Dealing with China: A European Perspective — https://doi.org/10.1080/13439006.2020.1826681</w:t>
      </w:r>
    </w:p>
    <w:p>
      <w:r>
        <w:t>Shared claim-specific concepts: china, need, increase, investments; EU scope visible. This is a provisional connection, not an outcome finding.</w:t>
      </w:r>
    </w:p>
    <w:p>
      <w:r>
        <w:t>Available abstract (not full text): The EU faces international (how to tackle Russian and Turkish policies?) and internal challenges, primarily intra-EU cooperation on strategic policies which are not “common European policies.” This reflects in the EU’s China policy. Nonetheless, some progress has been made. European perspectives on China are gradually changing. There is a growing awareness on the part of European institutions of a need to exercise caution over Chinese investments into the European Union and to counterbalance China’s diplomatic initiatives where they oppose European interests. This has opened avenues for cooperation with Japan, which has long taken a cautious yet benevolent approach to China. EU institutions and member states of greater international influence such as France have been keen to increase cooperation with Japan as they worked to strengthen European and internal legal frameworks.</w:t>
      </w:r>
    </w:p>
    <w:p>
      <w:r>
        <w:t>POSSIBLE 2020: The People’s Republic of China Connecting Europe? — https://openalex.org/W3084282394</w:t>
      </w:r>
    </w:p>
    <w:p>
      <w:r>
        <w:t>Shared claim-specific concepts: china, need, increase, investments, relative; EU scope visible. This is a provisional connection, not an outcome finding.</w:t>
      </w:r>
    </w:p>
    <w:p>
      <w:r>
        <w:t>Available abstract (not full text): The significance of the Belt and Road Initiative (BRI) of the People's Republic of China (PRC) for Europe is increasing. The diplomatic initiative "16+1," comprising 11 Central and East European EU member states and five Western Balkan economies, expanded to a "17+1" format in April 2019, when Greece officially joined the cooperation forum. In relative terms, the Western Balkans are expected to benefit the most from the BRI, as they show particularly high deficiencies in infrastructure and to date have limited access to EU grants. The economic effects of infrastructure projects in CESEE would, however, trickle through European production and supply chains, with an impact on economies not directly subject to construction plans. EU initiatives presented in 2018 may help to increase complementarity between Chinese and European infrastructure development plans, as well as reducing risks for some European economies, such as unsustainable debt or the rise of new barriers resulting from increased competition for Chinese investments. The BRI is about to change physical and digital connectivity within Europe, while the EU has yet to become an active player engaging in the initiative, in order to enable improved connectivity in Europe to drive economic convergence and not political divergence. The need to establish a level playing field for trade, investment, and its financing has become</w:t>
      </w:r>
    </w:p>
    <w:p>
      <w:r>
        <w:t>POSSIBLE 2020: Perceptions of plagiarism by biomedical researchers: an online survey in Europe and China — https://doi.org/10.1186/s12910-020-00473-7</w:t>
      </w:r>
    </w:p>
    <w:p>
      <w:r>
        <w:t>Shared claim-specific concepts: china, need, indicate; EU scope visible. This is a provisional connection, not an outcome finding.</w:t>
      </w:r>
    </w:p>
    <w:p>
      <w:r>
        <w:t>Available abstract (not full text):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r>
        <w:t>POSSIBLE 2020: The foreign direct investment from China to Europe — https://openalex.org/W3145125818</w:t>
      </w:r>
    </w:p>
    <w:p>
      <w:r>
        <w:t>Shared claim-specific concepts: china, need, increase, low, rapid; EU scope visible. This is a provisional connection, not an outcome finding.</w:t>
      </w:r>
    </w:p>
    <w:p>
      <w:r>
        <w:t>Available abstract (not full text): With the rapid development of China's economy, foreign trade and foreign investment have been taken to great achievements. As in 2000 the Chinese government Chinese actively encourage enterprises going out, and its positioning as a national strategy, China's foreign investment in recent years has entered a period of gold. According to statistics, 2015 annual our country's outward FDI flow of 73.508 million yuan RMB, an increase rate of 14.7%, by the end of the year, China's outward FDI stock accumulated up to 5.4 trillion yuan, which is sufficient to prove that, in our country both from the investment flow or investment stock has been entered the ranks of big country of foreign investment among. In contrast, the European Union and China is the EU's second largest trading partner, very close economic exchanges between China and EU development, but due to the 2008 financial crisis and the European debt crisis to the EU's economic development has brought hit, once malaise, so the current EU need absorb foreign capital to boost the economy and solid economic recovery and relieve the EU internal social and economic contradictions. But the flow and stock of China's FDI is still low compared with the volume of trade between the EU and China, so China still has a huge space for development of EU FDI. Therefore, it is of great significance to study how to further cooperation on investme</w:t>
      </w:r>
    </w:p>
    <w:p>
      <w:pPr>
        <w:pStyle w:val="Heading2"/>
      </w:pPr>
      <w:r>
        <w:t>A multi-model, multi-scenario, and multi-domain analysis of regional climate projections for the Mediterranean</w:t>
      </w:r>
    </w:p>
    <w:p>
      <w:r>
        <w:t>Original source (2019): https://doi.org/10.1007/s10113-019-01565-w</w:t>
      </w:r>
    </w:p>
    <w:p>
      <w:r>
        <w:t>Original wording (abstract; indexed_source_text_not_full_document_verified): This unique multi-model, multi-scenario, and multi-domain “super-ensemble” is used to update projected changes for the Mediterranean region. The southern part of the Mediterranean is expected to be impacted most strongly since the CORDEX ensemble suggests substantial combined warming and drying, particularly for pathways RCP4.5 and RCP8.5.</w:t>
      </w:r>
    </w:p>
    <w:p>
      <w:r>
        <w:t>POSSIBLE 2025: Designing integrated and resilient multi-energy systems via multi-objective optimization and scenario analysis — https://doi.org/10.1016/j.apenergy.2025.125281</w:t>
      </w:r>
    </w:p>
    <w:p>
      <w:r>
        <w:t>Shared claim-specific concepts: unique, used, warming; EU scope visible. This is a provisional connection, not an outcome finding.</w:t>
      </w:r>
    </w:p>
    <w:p>
      <w:r>
        <w:t>Available abstract (not full text): Decarbonizing local energy systems is imperative to achieve climate neutrality by 2050 and limit global temperature rise to 1.5 °C, aligning with the European Green Deal. Effective planning relies on accurate energy modeling tools, with a shift towards multi-energy systems which integrate diverse energy vectors and technologies for enhanced flexibility and renewable energy hosting capacity. Traditional single-metric cost-focused approaches in multi-energy systems planning are evolving towards multi-objective optimization strategies, balancing costs with sustainability objectives like global warming potential, environmental impacts, and reliability. The complexity of renewable energy sources, market volatility, and climate change necessitates robust solutions resilient to multiple uncertainty sources. This study introduces a decision analytic framework for optimal planning of sustainable, resilient multi-energy systems, integrating the single-objective CALLIOPE simulation-optimization model with multi-objective evolutionary algorithms. Multiple algorithms are tested, and the best-performing algorithm is used to extract optimal configurations under alternating scenarios of renewable energy generation potential and energy prices. The new framework is tested on a synthetic case study based on the Sulcis Iglesiente (SI) Province in Sardinia, Italy, and considers opportunities for in</w:t>
      </w:r>
    </w:p>
    <w:p>
      <w:r>
        <w:t>POSSIBLE 2024: Multi-Step Temporal Modeling for UAV Tracking — https://doi.org/10.1109/tcsvt.2024.3375366</w:t>
      </w:r>
    </w:p>
    <w:p>
      <w:r>
        <w:t>Shared claim-specific concepts: unique, region, particularly; EU scope not established. This is a provisional connection, not an outcome finding.</w:t>
      </w:r>
    </w:p>
    <w:p>
      <w:r>
        <w:t>Available abstract (not full text): In the realm of unmanned aerial vehicle (UAV) tracking, Siamese-based approaches have gained traction due to their optimal balance between efficiency and precision. However, UAV scenarios often present challenges such as insufficient sampling resolution, fast motion and small objects with limited feature information. As a result, temporal context in UAV tracking tasks plays a pivotal role in target location, overshadowing the target’s precise features. In this paper, we introduce MT-Track, a streamlined and efficient multi-step temporal modeling framework designed to harness the temporal context from historical frames for enhanced UAV tracking. This temporal integration occurs in two steps: correlation map generation and correlation map refinement. Specifically, we unveil a unique temporal correlation module that dynamically assesses the interplay between the template and search region features. This module leverages temporal information to refresh the template feature, yielding a more precise correlation map. Subsequently, we propose a mutual transformer module to refine the correlation maps of historical and current frames by modeling the temporal knowledge in the tracking sequence. This method significantly trims computational demands compared to the raw transformer. The compact yet potent nature of our tracking framework ensures commendable tracking outcomes, particularly i</w:t>
      </w:r>
    </w:p>
    <w:p>
      <w:r>
        <w:t>POSSIBLE 2024: Designing integrated and resilient multi-energy systems via multi-objective optimization and scenario analysis — https://doi.org/10.5194/egusphere-egu24-3162</w:t>
      </w:r>
    </w:p>
    <w:p>
      <w:r>
        <w:t>Shared claim-specific concepts: unique, used, region; EU scope visible. This is a provisional connection, not an outcome finding.</w:t>
      </w:r>
    </w:p>
    <w:p>
      <w:r>
        <w:t>Available abstract (not full text): Multi-energy systems (MESs), which integrate various technologies and energy vectors in a single unified framework, have proven to be effective and flexible tools for addressing the challenges faced by energy systems in a changing world. These include the need for decarbonization, increasing penetration of renewable energy sources, a push for decentralization and independence in energy markets, and rapidly shifting socio-economic and climatic conditions.However, traditional modeling tools for MESs planning and management have several shortcomings. Existing multi-energy planning and modeling frameworks often prioritize minimizing a single monetary objective. Even when multiple objectives are considered, they are often monetized, reducing the problem to a single-objective approach and limiting the exploration of possible solutions. Additionally, MES planning struggles to account for uncertainties arising from climate and socio-economic variables, especially with the rise of non-programmable energy sources and frequent disruptions in global supply chains and energy stability.The work hereby presented aims to overcome these limitations by developing modeling frameworks that allow for exploring various configurations of multi-energy systems based on non-comparable objectives. The goal is to extract trade-off solutions through optimization algorithms under different future scenarios.</w:t>
      </w:r>
    </w:p>
    <w:p>
      <w:r>
        <w:t>POSSIBLE 2020: CH2018 – National climate scenarios for Switzerland: How to construct consistent multi-model projections from ensembles of opportunity — https://doi.org/10.1016/j.cliser.2020.100196</w:t>
      </w:r>
    </w:p>
    <w:p>
      <w:r>
        <w:t>Shared claim-specific concepts: unique, multi-model, used, ensemble; EU scope visible. This is a provisional connection, not an outcome finding.</w:t>
      </w:r>
    </w:p>
    <w:p>
      <w:r>
        <w:t>Available abstract (not full text): The latest Swiss Climate Scenarios (CH2018), released in November 2018, consist of several datasets derived through various methods that provide robust and relevant information on climate change in Switzerland. The scenarios build upon the regional climate model projections for Europe produced through the internationally coordinated downscaling effort EURO-CORDEX. The simulations from EURO-CORDEX consist of simulations at two spatial horizontal resolutions, several global climate models, and three different emission scenarios. Even with this unique dataset of regional climate scenarios, a number of practical challenges regarding a consistent interpretation of the model ensemble arise. Here we present the methodological chain employed in CH2018 in order to generate a multi-model ensemble that is consistent across scenarios and is used as a basis for deriving the CH2018 products. The different steps involve a thorough evaluation of the full EURO-CORDEX model ensemble, the removal of doubtful and potentially erroneous simulations, a time-shift approach to account for an equal number of simulations for each emission scenario, and the multi-model combination of simulations with different spatial resolutions. Each component of this cascade of processing steps is associated with an uncertainty that eventually contributes to the overall scientific uncertainty of the derived scenario pr</w:t>
      </w:r>
    </w:p>
    <w:p>
      <w:pPr>
        <w:pStyle w:val="Heading2"/>
      </w:pPr>
      <w:r>
        <w:t>About global forecast of European Parliament TO 2035</w:t>
      </w:r>
    </w:p>
    <w:p>
      <w:r>
        <w:t>Original source (2019): https://doi.org/10.25634/mirbis.2019.1.3</w:t>
      </w:r>
    </w:p>
    <w:p>
      <w:r>
        <w:t>Original wording (abstract; indexed_source_text_not_full_document_verified): These forecasts show trends and breakthroughs in development of science and technology, determine possible changes in eco- nomics, social and political life of the world and in its diferent regions, help to determine crisis points.</w:t>
      </w:r>
    </w:p>
    <w:p>
      <w:r>
        <w:t>POSSIBLE 2026: FORECASTING DEVELOPMENT TRENDS IN THE IT INDUSTRY IN UKRAINE — https://doi.org/10.32782/2312-7872.1.2026.8</w:t>
      </w:r>
    </w:p>
    <w:p>
      <w:r>
        <w:t>Shared claim-specific concepts: trends, technology; EU scope visible. This is a provisional connection, not an outcome finding.</w:t>
      </w:r>
    </w:p>
    <w:p>
      <w:r>
        <w:t xml:space="preserve">Available abstract (not full text): The article argues the relevance and necessity of studying the development of the IT sector as one of the key sectors of the Ukrainian economy. The significance and advantages of the IT sector are substantiated. An analysis of recent scientific works on this issue has shown the need for further scientific research into the determinants, trends and prospects for the development of the IT industry of Ukraine in difficult war conditions. The aim of the article is to develop scientific and methodological approaches to forecasting trends and prospects for the development of the IT industry of Ukraine. The article examines the development trends of the Ukrainian IT industry in the context of war and global economic challenges. The main ones are: digital transformation, development of the technological ecosystem, increasing the strategic role in the European digital space, synergy between leading technology companies and a new generation of startups. The characteristics of the Ukrainian IT sector, the main reasons and factors that influenced changes during the analyzed period are determined. The forecast of the development indicators of the Ukrainian IT industry for the period until 2027 is made, taking into account statistical data for previous years, as well as growth dynamics based on global trends in the IT sector. Forecasting the export indicators of IT services in the export of </w:t>
      </w:r>
    </w:p>
    <w:p>
      <w:r>
        <w:t>POSSIBLE 2025: Forecasting innovation status and trends with ARIMA analysis and Linear Trend Model in the European Union — https://doi.org/10.1556/1848.2025.00988</w:t>
      </w:r>
    </w:p>
    <w:p>
      <w:r>
        <w:t>Shared claim-specific concepts: show, trends; EU scope visible. This is a provisional connection, not an outcome finding.</w:t>
      </w:r>
    </w:p>
    <w:p>
      <w:r>
        <w:t>Available abstract (not full text): Abstract The European Union's (EU) future will be fundamentally determined by innovation-based competitiveness. The study examines what characterized the EU's innovation status as a whole and its member states between 2017 and 2024. For the situation analysis, the study examines the development of the Summary Innovation Index (SII) values describing the innovation status of the member states using the ARIMA model and K-means clustering. The study estimates the expected innovation status of the EU and its member states in the medium term using the Linear Trend Model. The results show that innovation is the least coordinated area of the EU cohesion policy, as there is a significant gap in the innovation status of the member states. In the case of the two extreme innovation values, the difference is four times greater. By this ratio, the average innovation development of the Scandinavian states is higher than the development level of some Eastern European member states. The extrapolation results show that the innovation gap will likely persist in the medium term despite continuous modernization.</w:t>
      </w:r>
    </w:p>
    <w:p>
      <w:r>
        <w:t>POSSIBLE 2024: Parabolic Modeling Forecasts of Space and Time European Hydropower Production — https://doi.org/10.3390/pr12061098</w:t>
      </w:r>
    </w:p>
    <w:p>
      <w:r>
        <w:t>Shared claim-specific concepts: forecasts, show, trends, technology; EU scope visible. This is a provisional connection, not an outcome finding.</w:t>
      </w:r>
    </w:p>
    <w:p>
      <w:r>
        <w:t xml:space="preserve">Available abstract (not full text): Renewable sources of energy production are some of the main targets today to protect the environment through reduced fossil fuel consumption and CO2 emissions. Alongside wind, solar, marine, biomass and nuclear sources, hydropower is among the oldest but still not fully explored renewable energy sources. Compared with other sources like wind and solar, hydropower is more stable and consistent, offering increased predictability. Even so, it should be analyzed considering water flow, dams capacity, climate change, irrigation, navigation, and so on. The aim of this study is to propose a forecast model of hydropower production capacity and identify long-term trends. The curve fit forecast parabolic model was applied to 33 European countries for time series data from 1990 to 2021. Space-time cube ArcGIS representation in 2D and 3D offers visualization of the prediction and model confidence rate. The quadratic trajectory fit the raw data for 14 countries, validated by visual check, and in 20 countries, validated by FMRSE 10% threshold from the maximal value. The quadratic model choice is good for forecasting future values of hydropower electric capacity in 22 countries, with accuracy confirmed by the VMRSE 10% threshold from the maximal value. Seven local outliers were identified, with only one validated as a global outlier based on the Generalized Extreme Studentized Deviate (GESD) </w:t>
      </w:r>
    </w:p>
    <w:p>
      <w:r>
        <w:t>POSSIBLE 2024: Burden of intracerebral haemorrhage in Europe: forecasting incidence and mortality between 2019 and 2050 — https://doi.org/10.1016/j.lanepe.2024.100842</w:t>
      </w:r>
    </w:p>
    <w:p>
      <w:r>
        <w:t>Shared claim-specific concepts: forecasts, trends;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2023: Global trends and forecasts of breast cancer incidence and deaths — https://doi.org/10.1038/s41597-023-02253-5</w:t>
      </w:r>
    </w:p>
    <w:p>
      <w:r>
        <w:t>Shared claim-specific concepts: forecasts, show, trends, regions; EU scope not established. This is a provisional connection, not an outcome finding.</w:t>
      </w:r>
    </w:p>
    <w:p>
      <w:r>
        <w:t>Available abstract (not full text): Breast cancer (BC) is one of the major public health challenges worldwide. Studies that address the new evidence on trends of BC are of great importance for preventing and controlling the occurrence and development of diseases and improving health. The aim of this study was to analyze the outcomes for the global burden of disease (GBD), incidence, deaths, and risk factors for BC from 1990 to 2019, and predict the GBD of BC until 2050 to inform global BC control planning efforts. In this study, the results show that the regions with low levels of socio-demographic index (SDI) will have the largest disease burden of BC in the future. The leading global risk factor for death attributable to BC in 2019 was metabolic risks, followed by behavioral risks. This study supports the worldwide urgent need for comprehensive cancer prevention and control strategies to reduce exposure, early screening, and improve treatment to effectively reduce the GBD of BC.</w:t>
      </w:r>
    </w:p>
    <w:p>
      <w:r>
        <w:t>POSSIBLE 2023: CUSTOMS POLICY OF THE EUROPEAN UNION: TRENDS, FORECASTS, AND DEVELOPMENT PERSPECTIVES — https://doi.org/10.30970/ves.2023.65.0.6519</w:t>
      </w:r>
    </w:p>
    <w:p>
      <w:r>
        <w:t>Shared claim-specific concepts: forecasts, trends; EU scope visible. This is a provisional connection, not an outcome finding.</w:t>
      </w:r>
    </w:p>
    <w:p>
      <w:r>
        <w:t xml:space="preserve">Available abstract (not full text): The development of EU customs policy refl ects the state of economic relations within the EU. It is crucial for its ability to effi ciently respond to changes in global trade and infl uence its geopolitical position amidst global challenges and opportunities. The article aims to elucidate the specifi cs of applying customs tariff regulatory instruments in the EU, identify trends, and forecast the volumes of extra- and intra-EU trade for the nearest years. An assortment of scientifi c methods was employed in the article, including systemic, situational, and comparative analysis, to study trends, issues, and prospects of EU customs policy. For forecasting the trade volumes of the European Union, the FORECAST. The ETS function in Microsoft Excel was utilized, based on forecasting using the exponential smoothing algorithm. It is noted that the EU’s normative regulation is based on the Customs Code and bilateral trade agreements, with main tariff rates and product nomenclature defi ned by the EU Customs Tariff . The EU has exclusive competence in customs union matters, common trade policy, and the conclusion of international trade agreements of member countries. Customs tariff regulation regimes and instruments include the Most favored nation regime, anti-dumping and countervailing duties, preferential tariff s, and tariff quotas. The article evaluates EU trade volumes from 2015 to </w:t>
      </w:r>
    </w:p>
    <w:p>
      <w:r>
        <w:t>POSSIBLE 2022: Trends and gaps in photovoltaic power forecasting with machine learning — https://doi.org/10.1016/j.egyr.2022.11.208</w:t>
      </w:r>
    </w:p>
    <w:p>
      <w:r>
        <w:t>Shared claim-specific concepts: trends, world, help; EU scope not established. This is a provisional connection, not an outcome finding.</w:t>
      </w:r>
    </w:p>
    <w:p>
      <w:r>
        <w:t>Available abstract (not full text): The share of solar energy in the electricity mix increases year after year. Knowing the production of photovoltaic (PV) power at each instant of time is crucial for its integration into the grid. However, due to meteorological phenomena, PV power output can be uncertain and continuously varying, which complicates yield prediction. In recent years, machine learning (ML) techniques have entered the world of PV power forecasting to help increase the accuracy of predictions. Researchers have seen great potential in this approach, creating a vast literature on the topic. This paper intends to identify the most popular approaches and the gaps in this discipline. To do so, a representative part of the literature consisting of 100 publications is classified based on different aspects such as ML family, location of PV systems, number of systems considered, features, etc. Via this classification, the main trends and gaps can be highlighted while offering advice to researchers interested in the topic.</w:t>
      </w:r>
    </w:p>
    <w:p>
      <w:r>
        <w:t>POSSIBLE 2020: European Mortality Forecasts: Are the Targets Still Moving? — https://doi.org/10.1007/978-3-030-42472-5_9</w:t>
      </w:r>
    </w:p>
    <w:p>
      <w:r>
        <w:t>Shared claim-specific concepts: forecasts, show, trends, life; EU scope visible. This is a provisional connection, not an outcome finding.</w:t>
      </w:r>
    </w:p>
    <w:p>
      <w:r>
        <w:t>Available abstract (not full text): Abstract Many statistical agencies routinely produce population forecasts, and revise these forecasts when new data become available, or when current demographic trends indicate that an update is necessary. When the forecaster strongly revises, from one forecast round to the next one, a forecast for a certain target year (for instance the life expectancy in 2050), this indicates large uncertainty connected to mortality predictions. The aim of this chapter is to shed more light on the uncertainty in mortality forecasts, by analysing the extent to which life expectancy predictions for 2030 and 2050 were revised in subsequent rounds of population forecasts published by statistical agencies in selected countries. It updates and extends earlier work that focused on United Nations and Eurostat forecasts published between 1994 and 2004 (Keilman et al. 2008). There the conclusion was that life expectancy forecasts for 18 European countries for the year 2050 had been revised upwards systematically, by around 2 years on average during the 10-year publication period. A recent analysis based on official population forecasts for Norway published in the period 1999–2018 led to the same conclusion (Keilman 2018). Here we will show that the period of upward revisions seems to have ended for some European countries.</w:t>
      </w:r>
    </w:p>
    <w:p>
      <w:r>
        <w:t>POSSIBLE 2020: Trend Analysis and Forecasting of COVID-19 outbreak in India — https://doi.org/10.1101/2020.03.26.20044511</w:t>
      </w:r>
    </w:p>
    <w:p>
      <w:r>
        <w:t>Shared claim-specific concepts: show, trends, world; EU scope not established. This is a provisional connection, not an outcome finding.</w:t>
      </w:r>
    </w:p>
    <w:p>
      <w:r>
        <w:t xml:space="preserve">Available abstract (not full text): A bstract COVID-19 is spreading really fast around the world. The current study describes the situation of the outbreak of this disease in India and predicts the number of cases expected to rise in India. The study also discusses the regional analysis of Indian states and presents the preparedness level of India in combating this outbreak. The study uses exploratory data analysis to report the current situation and uses time-series forecasting methods to predict the future trends. The data has been considered from the repository of John Hopkins University and covers up the time period from 30 th January 2020 when the first case occurred in India till the end of 24 th March 2020 when the Prime Minister of India declared a complete lockdown in the country for 21 days starting 25 th March 2020. The major findings show that number of infected cases in India is rising quickly with the average infected cases per day rising from 10 to 73 from the first case to the 300 th case. The current mortality rate for India stands around 1.9. Kerala and Maharashtra are the top two infected states in India with more than 100 infected cases reported in each state, respectively. A total of 25 states have reported at least one infected case, however only 8 of them have reported deaths due to COVID-19. The ARIMA model prediction shows that the infected cases in India may reach up to 700 thousands in </w:t>
      </w:r>
    </w:p>
    <w:p>
      <w:pPr>
        <w:pStyle w:val="Heading2"/>
      </w:pPr>
      <w:r>
        <w:t>Alternative scenarios investigation of 1990..2016 CO 2 emission from Public Electricity and Heat Production sectors in Europe</w:t>
      </w:r>
    </w:p>
    <w:p>
      <w:r>
        <w:t>Original source (2019): https://doi.org/10.1051/e3sconf/201911600053</w:t>
      </w:r>
    </w:p>
    <w:p>
      <w:r>
        <w:t>Original wording (abstract; indexed_source_text_not_full_document_verified): Graphical overview of 108 prepared (real and alternatives) emission pathways allow assessing CO 2 emission factors impact, pathways grouping and indicating the dominant pathway of 1990..2016 decarbonisation in EU national PEHP sectors.</w:t>
      </w:r>
    </w:p>
    <w:p>
      <w:r>
        <w:t>POSSIBLE 2025: A graphical analysis of the intellectual structure of The Australian Journal of Indigenous Education — https://doi.org/10.55146/ajie.v54i2.2031</w:t>
      </w:r>
    </w:p>
    <w:p>
      <w:r>
        <w:t>Shared claim-specific concepts: graphical, prepared, national; EU scope not established. This is a provisional connection, not an outcome finding.</w:t>
      </w:r>
    </w:p>
    <w:p>
      <w:r>
        <w:t>Available abstract (not full text): This work represents the second part of a general bibliometric analysis we have prepared for The Australian Journal of Indigenous Education (AJIE), motivated by the first 50 years of the journal. This study develops a graphical analysis of AJIE by using the VOSviewer software, Scopus and the Web of Science database. Utilising bibliometric methods such as co-citation, bibliographic coupling and co-occurrence of keywords in the VOSviewer software, this study reveals AJIE’s impact on key Indigenous education topics, including culturally responsive pedagogy, decolonisation, Indigenous health and teacher education. The analysis highlights AJIE’s strong national presence, supported by substantial contributions from Australian institutions, along with a modest yet notable level of international engagement, particularly from New Zealand, Canada and the United States. The journal’s transition to open access, combined with its inclusion in major academic indexes, has increased its visibility and citation reach, reinforcing its role as a leading publication in the field of Indigenous education.</w:t>
      </w:r>
    </w:p>
    <w:p>
      <w:r>
        <w:t>POSSIBLE 2023: Anxiety among children and adolescents during the COVID-19 pandemic in Europe: a systematic review protocol — https://doi.org/10.1186/s13643-023-02225-1</w:t>
      </w:r>
    </w:p>
    <w:p>
      <w:r>
        <w:t>Shared claim-specific concepts: overview, prepared; EU scope visible. This is a provisional connection, not an outcome finding.</w:t>
      </w:r>
    </w:p>
    <w:p>
      <w:r>
        <w:t xml:space="preserve">Available abstract (not full text): BACKGROUND: A growing number of studies point to a high mental health burden among children and adolescents during the COVID-19 pandemic, particularly concerning anxiety. However, the study quality and effect direction are heterogeneous in the existing primary studies with a lacking overview for the European continent. Therefore, this systematic review aims to critically synthesise the evidence regarding the impact of the COVID-19 pandemic on anxiety among children and adolescents in Europe compared to a pre-pandemic baseline. METHODS: A systematic literature search will be performed in six databases (MEDLINE, EMBASE, PsycINFO, Cochrane Central Register of Controlled Trials, Web of Science, and WHO COVID-19 database) with a peer reviewed search strategy according to the evidence-based checklist Peer Review of Electronic Search Strategies (PRESS). Inclusion criteria are children and adolescents ≤ 19 years living in Europe and data report during the COVID-19 pandemic with an appropriate pre-pandemic baseline. Primary outcomes are general anxiety symptoms and clinically relevant anxiety rates. Risk of bias will be assessed using the 'Risk of Bias in Non-randomised Studies of Exposure' (ROBINS-E). Data extraction will systematically include information on study design, population characteristics, COVID-19 determinants, pre-pandemic baseline, diagnostic instruments and outcome. The </w:t>
      </w:r>
    </w:p>
    <w:p>
      <w:r>
        <w:t>POSSIBLE 2021: Overview of reported national greenhouse gas policies and measures in Europe in 2021 — https://doi.org/10.5281/zenodo.6020402</w:t>
      </w:r>
    </w:p>
    <w:p>
      <w:r>
        <w:t>Shared claim-specific concepts: overview, national; EU scope visible. This is a provisional connection, not an outcome finding.</w:t>
      </w:r>
    </w:p>
    <w:p>
      <w:r>
        <w:t>Available abstract (not full text): Member States have to report every two years on their national greenhouse gas policies and measures. In 2021, EU Member States reported a total of 2 052 expired, existing and planned policies and measures. This is again a marked increase in the number of policies and measures reported by Member States, that partially can be explained by the implementation of the National Energy and Climate Plans. Quantitative evidence on the effectiveness and costs and benefits of these measures remains insufficiently reported.</w:t>
      </w:r>
    </w:p>
    <w:p>
      <w:r>
        <w:t>POSSIBLE 2020: European Language Grid: An Overview — https://doi.org/10.48550/arxiv.2003.13551</w:t>
      </w:r>
    </w:p>
    <w:p>
      <w:r>
        <w:t>Shared claim-specific concepts: overview, national, sectors; EU scope visible. This is a provisional connection, not an outcome finding.</w:t>
      </w:r>
    </w:p>
    <w:p>
      <w:r>
        <w:t>Available abstract (not full text): With 24 official EU and many additional languages, multilingualism in Europe and an inclusive Digital Single Market can only be enabled through Language Technologies (LTs). European LT business is dominated by hundreds of SMEs and a few large players. Many are world-class, with technologies that outperform the global players. However, European LT business is also fragmented, by nation states, languages, verticals and sectors, significantly holding back its impact. The European Language Grid (ELG) project addresses this fragmentation by establishing the ELG as the primary platform for LT in Europe. The ELG is a scalable cloud platform, providing, in an easy-to-integrate way, access to hundreds of commercial and non-commercial LTs for all European languages, including running tools and services as well as data sets and resources. Once fully operational, it will enable the commercial and non-commercial European LT community to deposit and upload their technologies and data sets into the ELG, to deploy them through the grid, and to connect with other resources. The ELG will boost the Multilingual Digital Single Market towards a thriving European LT community, creating new jobs and opportunities. Furthermore, the ELG project organises two open calls for up to 20 pilot projects. It also sets up 32 National Competence Centres (NCCs) and the European LT Council (LTC) for outreach and c</w:t>
      </w:r>
    </w:p>
    <w:p>
      <w:r>
        <w:t>POSSIBLE 2020: Plant food anti-nutritional factors and their reduction strategies: an overview — https://doi.org/10.1186/s43014-020-0020-5</w:t>
      </w:r>
    </w:p>
    <w:p>
      <w:r>
        <w:t>Shared claim-specific concepts: graphical, overview, factors; EU scope not established. This is a provisional connection, not an outcome finding.</w:t>
      </w:r>
    </w:p>
    <w:p>
      <w:r>
        <w:t xml:space="preserve">Available abstract (not full text): Abstract Legumes and cereals contain high amounts of macronutrients and micronutrients but also anti-nutritional factors. Major anti-nutritional factors, which are found in edible crops include saponins, tannins, phytic acid, gossypol, lectins, protease inhibitors, amylase inhibitor, and goitrogens. Anti-nutritional factors combine with nutrients and act as the major concern because of reduced nutrient bioavailability. Various other factors like trypsin inhibitors and phytates, which are present mainly in legumes and cereals, reduce the digestibility of proteins and mineral absorption. Anti-nutrients are one of the key factors, which reduce the bioavailability of various components of the cereals and legumes. These factors can cause micronutrient malnutrition and mineral deficiencies. There are various traditional methods and technologies, which can be used to reduce the levels of these anti-nutrient factors. Several processing techniques and methods such as fermentation, germination, debranning, autoclaving, soaking etc. are used to reduce the anti-nutrient contents in foods. By using various methods alone or in combinations, it is possible to reduce the level of anti-nutrients in foods. This review is focused on different types of anti-nutrients, and possible processing methods that can be used to reduce the level of these factors in food products. Graphical abstract A brief </w:t>
      </w:r>
    </w:p>
    <w:p>
      <w:pPr>
        <w:pStyle w:val="Heading2"/>
      </w:pPr>
      <w:r>
        <w:t>Demographic change and the European income distribution</w:t>
      </w:r>
    </w:p>
    <w:p>
      <w:r>
        <w:t>Original source (2019): https://doi.org/10.1007/s10888-019-09411-z</w:t>
      </w:r>
    </w:p>
    <w:p>
      <w:r>
        <w:t>Original wording (abstract; indexed_source_text_not_full_document_verified): This paper assesses the effect of key demographic changes (population ageing and increasing educational attainment) that are expected by 2030 on the income distribution in the EU-27 and examines the potential of tax-benefit systems to counterbalance negative developments. Our results show that demographic change is likely to lead to increasing inequality while related wage adjustments work mainly in the opposite direction.</w:t>
      </w:r>
    </w:p>
    <w:p>
      <w:r>
        <w:t>POSSIBLE 2025: Amplified local cooling effect of forestation in warming Europe — https://doi.org/10.1038/s41467-025-63556-2</w:t>
      </w:r>
    </w:p>
    <w:p>
      <w:r>
        <w:t>Shared claim-specific concepts: effect, negative; EU scope visible. This is a provisional connection, not an outcome finding.</w:t>
      </w:r>
    </w:p>
    <w:p>
      <w:r>
        <w:t>Available abstract (not full text): Abstract Forests exhibit cooling or warming effects compared to adjacent openlands through biophysical processes. The local temperature effects are predicted by earth system models to evolve in response to climate change. However, these temporal dynamic patterns remain unconstrained by observations and have not been detected in historical records. Here, we provide satellite evidence of emergent negative trends in local land surface temperature (LST) effects of European forests from 2003–2023. The daytime cooling effects have significantly intensified in both winter (-0.17 K/decade) and summer (-0.22 K/decade). The enhanced winter cooling is attributed to the reduced shortwave radiative forcing in forests due to decreasing snow cover. In the summertime, the vegetation physiological response to increased atmospheric vapor pressure deficit boosts evaporative cooling in forests. The negative trends in LST effects of European forests are roughly supported by four state-of-the-art earth system models. However, considerable biases and intermodel spread in the representation of underlying biophysical processes. Given the continued climate change, we emphasize the need to consider their impacts on biophysical effect dynamics when comprehensive forest-related climate mitigation policies are formed.</w:t>
      </w:r>
    </w:p>
    <w:p>
      <w:r>
        <w:t>POSSIBLE 2025: The key pillars of psychosocial disability: a European perspective on challenges and solutions — https://doi.org/10.3389/fpsyt.2025.1574301</w:t>
      </w:r>
    </w:p>
    <w:p>
      <w:r>
        <w:t>Shared claim-specific concepts: effect, key, examines, negative; EU scope visible. This is a provisional connection, not an outcome finding.</w:t>
      </w:r>
    </w:p>
    <w:p>
      <w:r>
        <w:t xml:space="preserve">Available abstract (not full text): Psychosocial disabilities refer to a range of mental health conditions that significantly impact an individual's ability to function in daily life and participate fully in society. Across Europe, individuals with these conditions face systemic barriers, including inadequate support services, stigma, and limited healthcare access. This perspective article examines these challenges through the lens of Maslow's hierarchy of needs and Saraceno's community psychiatry framework. By analyzing identified key pillars of psychosocial disability - housing, social inclusion, employment, healthcare access, service organization, and stigma - this article underscores the necessity of targeted interventions to promote dignity, autonomy, and recovery for individuals with psychosocial disabilities across Europe. Stable housing is foundational for recovery, social integration, and employment. Social inclusion and meaningful employment are essential for psychological well-being, though stigma and discrimination remain a major obstacle. Employment programs are crucial for fostering social reintegration. Healthcare access, already fragmented, can be obstacolated by stigma in healthcare settings as an additional barrier. Positive organizational culture in mental health services, emphasizing co-production and shared decision-making, is vital for recovery and healthcare access. This article highlights </w:t>
      </w:r>
    </w:p>
    <w:p>
      <w:r>
        <w:t>POSSIBLE 2024: Modelling the effect of context-specific greenhouse gas and nitrogen emission mitigation options in key European dairy farming systems — https://doi.org/10.1007/s13593-023-00940-6</w:t>
      </w:r>
    </w:p>
    <w:p>
      <w:r>
        <w:t>Shared claim-specific concepts: effect, key, increasing, potential, systems, negative; EU scope visible. This is a provisional connection, not an outcome finding.</w:t>
      </w:r>
    </w:p>
    <w:p>
      <w:r>
        <w:t>Available abstract (not full text): Abstract Understanding the environmental consequences associated with dairy cattle production systems is crucial for the implementation of targeted strategies for emission reduction. However, few studies have modelled the effect of tailored emission mitigation options across key European dairy production systems. Here, we assess the single and combined effect of six emission mitigation practises on selected case studies across Europe through the Sustainable and Integrated Management System for Dairy Production model. This semi-mechanistic model accounts for the interacting flows from a whole-farm perspective simulating the environmental losses in response to different management strategies and site-specific conditions. The results show how reducing the crude protein content of the purchased fraction of the diet was an adequate strategy to reduce the greenhouse gas and nitrogen emission intensity in all systems. Furthermore, implementing an anaerobic digestion plant reduced the greenhouse gas emissions in all tested case studies while increasing the nitrogen emissions intensity, particularly when slurry was applied using broadcast. Regarding the productivity increase, contrasting effects were observed amongst the case studies modelled. Moreover, shallow slurry injection effectively mitigated the intensity of nitrogen losses from the fields due to strong reductions in ammonia vol</w:t>
      </w:r>
    </w:p>
    <w:p>
      <w:r>
        <w:t>POSSIBLE 2024: Assessing Current Coastal Subsidence at Continental Scale: Insights From Europe Using the European Ground Motion Service — https://doi.org/10.1029/2024ef004523</w:t>
      </w:r>
    </w:p>
    <w:p>
      <w:r>
        <w:t>Shared claim-specific concepts: systems, show; EU scope visible. This is a provisional connection, not an outcome finding.</w:t>
      </w:r>
    </w:p>
    <w:p>
      <w:r>
        <w:t>Available abstract (not full text):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r>
        <w:t>POSSIBLE 2023: Design and application of a key performance indicator (KPI) framework for autonomous shipping in Europe — https://doi.org/10.1016/j.martra.2023.100095</w:t>
      </w:r>
    </w:p>
    <w:p>
      <w:r>
        <w:t>Shared claim-specific concepts: effect, key, systems; EU scope visible. This is a provisional connection, not an outcome finding.</w:t>
      </w:r>
    </w:p>
    <w:p>
      <w:r>
        <w:t>Available abstract (not full text): The European Union (EU) transport policy recognizes the importance of the waterborne transport systems as key elements for sustainable growth in Europe. By 2030, 30% of total road freight over 300 km should shift to rail or waterborne transport, and more than 50% by 2050. Thus far, this ambition has failed but there have been several project initiatives within the EU to address these issues. In one of these projects, we consider a new waterborne transport system for Europe that is green, robust, flexible, more automated and autonomous, and able to connect both rural and urban terminals. The purpose of this paper is to describe work and preliminary results from this project. To that effect, and in order to assess any solutions contemplated, a comprehensive set of Key Performance Indicators (KPIs) has been defined, and three specific use cases within Europe are examined and evaluated according to these KPIs. KPIs represent the criteria under which the set of solutions developed are evaluated, and also compared to non-autonomous solutions. They are grouped under economic, environmental and social KPIs. KPIs have been selected after a consultation process involving project partners and external Advisory Group members. Links to EU transport and other regulatory action are also discussed.</w:t>
      </w:r>
    </w:p>
    <w:p>
      <w:r>
        <w:t>POSSIBLE 2022: European Citizens’ Happiness: Key Factors and the Mediating Effect of Quality of Life, a PLS Approach — https://doi.org/10.3390/math10030367</w:t>
      </w:r>
    </w:p>
    <w:p>
      <w:r>
        <w:t>Shared claim-specific concepts: effect, key, population, increasing, show; EU scope visible. This is a provisional connection, not an outcome finding.</w:t>
      </w:r>
    </w:p>
    <w:p>
      <w:r>
        <w:t>Available abstract (not full text): Happiness is a very important aspect in the life and well-being of all citizens; as such, it has become a key factor in personal preferences. For these reasons, it is relevant to study what factors principally affect the happiness of the population. However, the difficulties involved in measuring this concept mean that there are no clear criteria as to which aspects should be promoted in order for citizens to achieve greater happiness. This paper uses variance-based structural equation modelling (SEM)—partial least squares path modelling (PLS)—to analyse the direct and indirect effects of European citizens’ assessment of different aspects of their city related to safety, environmental quality and urban planning on their happiness. The source of information used in this study is the Flash Eurobarometer 419 prepared by Eurostat in 2015, with a total of 9799 observations. The results show how quality of life, safety, the environment and city planning have a positive and significant influence on European citizens’ happiness, especially safety. In addition, quality of life acts as a mediating variable, primarily increasing the influence of urban planning on happiness. The findings of the study point to the relevant policies that governments should undertake to ensure the happiness of their citizens.</w:t>
      </w:r>
    </w:p>
    <w:p>
      <w:r>
        <w:t>POSSIBLE 2021: Effect of Climate Change on Introduced and Native Agricultural Invasive Insect Pests in Europe — https://doi.org/10.3390/insects12110985</w:t>
      </w:r>
    </w:p>
    <w:p>
      <w:r>
        <w:t>Shared claim-specific concepts: effect, increasing, distribution, systems; EU scope visible. This is a provisional connection, not an outcome finding.</w:t>
      </w:r>
    </w:p>
    <w:p>
      <w:r>
        <w:t>Available abstract (not full text):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r>
        <w:t>POSSIBLE 2021: Assessing the energy potential of modernizing the European hydropower fleet — https://doi.org/10.1016/j.enconman.2021.114655</w:t>
      </w:r>
    </w:p>
    <w:p>
      <w:r>
        <w:t>Shared claim-specific concepts: increasing, expected, potential; EU scope visible. This is a provisional connection, not an outcome finding.</w:t>
      </w:r>
    </w:p>
    <w:p>
      <w:r>
        <w:t>Available abstract (not full text): About 50% of all hydropower plants (HPPs) worldwide were originally commissioned more than 40 years ago, so that the advanced age of the fleet is a major concern across all continents, and especially in Europe. The modernization of HPPs can generate several benefits in terms of generation, flexibility, safety, operation, and may have neutral or even positive implications for the environment. In this work, we appraise several options for the modernization of existing plants, with the exclusion of measures expected to increase the hydro-morphological pressure on water bodies (e.g. increase of withdrawals or new parallel waterways): dam heightening, head loss reduction in waterways, increase of weighted efficiency of electro-mechanical equipment, digitalization and inflow forecast, and floating photovoltaic (evaporation reduction). We provide an indicative estimation of the additional power and annual generation that could be obtained compared to the current condition. We estimate that the overall energy generation could be increased by 8.4% for European Union and 9.4% for the whole Europe by implementing the above-mentioned strategies. The additional energy gain achievable by increasing the inflow was discussed but not included in the above mentioned overall indicator, because it is very site-specific. The additional energy storage achievable by reservoir interconnection and coor</w:t>
      </w:r>
    </w:p>
    <w:p>
      <w:r>
        <w:t>POSSIBLE 2021: HIV seroprevalence in five key populations in Europe: a systematic literature review, 2009 to 2019 — https://doi.org/10.2807/1560-7917.es.2021.26.47.2100044</w:t>
      </w:r>
    </w:p>
    <w:p>
      <w:r>
        <w:t>Shared claim-specific concepts: key, population, systems; EU scope visible. This is a provisional connection, not an outcome finding.</w:t>
      </w:r>
    </w:p>
    <w:p>
      <w:r>
        <w:t xml:space="preserve">Available abstract (not full text): BackgroundIn Europe, HIV disproportionately affects men who have sex with men (MSM), people who inject drugs (PWID), prisoners, sex workers, and transgender people. Epidemiological data are primarily available from national HIV case surveillance systems that rarely capture information on sex work, gender identity or imprisonment. Surveillance of HIV prevalence in key populations often occurs as independent studies with no established mechanism for collating such information at the European level.AimWe assessed HIV prevalence in MSM, PWID, prisoners, sex workers, and transgender people in the 30 European Union/European Economic Area countries and the United Kingdom.MethodsWe conducted a systematic literature review of peer-reviewed studies published during 2009-19, by searching PubMed, Embase and the Cochrane Library. Data are presented in forest plots by country, as simple prevalence or pooled across multiple studies.ResultsEighty-seven country- and population-specific studies were identified from 23 countries. The highest number of studies, and the largest variation in HIV prevalence, were identified for MSM, ranging from 2.4-29.0% (19 countries) and PWID, from 0.0-59.5% (13 countries). Prevalence ranged from 0.0-15.6% in prisoners (nine countries), 1.1-8.5% in sex workers (five countries) and was 10.9% in transgender people (one country). Individuals belonging to several key </w:t>
      </w:r>
    </w:p>
    <w:p>
      <w:pPr>
        <w:pStyle w:val="Heading2"/>
      </w:pPr>
      <w:r>
        <w:t>ECONOMIC GROWTH PROJECTION FOR EUROPEAN UNION BY 2030</w:t>
      </w:r>
    </w:p>
    <w:p>
      <w:r>
        <w:t>Original source (2019): https://doi.org/10.5755/j01.eis.0.13.23709</w:t>
      </w:r>
    </w:p>
    <w:p>
      <w:r>
        <w:t>Original wording (abstract; indexed_source_text_not_full_document_verified): The paper contributes to a discussion on developments in output for the EU-27 group over the next 11 years, up to year 2030. A brief study of population-decreasing events in the European historical perspective may represent an inspiring part.</w:t>
      </w:r>
    </w:p>
    <w:p>
      <w:r>
        <w:t>POSSIBLE 2025: The Development of Energy Policy in the European Union — https://doi.org/10.4324/9781003298403</w:t>
      </w:r>
    </w:p>
    <w:p>
      <w:r>
        <w:t>Shared claim-specific concepts: contributes, developments, over, perspective; EU scope visible. This is a provisional connection, not an outcome finding.</w:t>
      </w:r>
    </w:p>
    <w:p>
      <w:r>
        <w:t>Available abstract (not full text): This book uniquely details the longer-term integration of energy policy in the EU, from its inception to the contemporary ‘Energy Union’, whilst also bringing it fully up to date regarding its place in current climate discussions, the European Green Deal, REPowerEU, the European Climate Law and the struggle to achieve net zero. Analysing the policy area from a perspective that explains current developments through economic processes, path dependence, and political decisions over time, the book identifies the factors and mechanisms that enable and constrain actors and energy policy development. It contributes to the broader debate about institutional design and (European) integration in the energy sector, examining key legislation, the motives of actors complying with institutional rules, and the idiosyncratic factors that contribute to continuity and account for change. This book will be of key interest to scholars, students and practitioners/policymakers interested in European energy policy and energy/environmental governance, and more broadly to European politics and theories of European integration, international political economy, public policy, international organisations, and global governance.</w:t>
      </w:r>
    </w:p>
    <w:p>
      <w:r>
        <w:t>POSSIBLE 2024: Institutional Development of Family-owned Businesses in Japan: A European Perspective — https://doi.org/10.25105/ijsmebs.v1i4.20500</w:t>
      </w:r>
    </w:p>
    <w:p>
      <w:r>
        <w:t>Shared claim-specific concepts: contributes, discussion, historical, perspective; EU scope visible. This is a provisional connection, not an outcome finding.</w:t>
      </w:r>
    </w:p>
    <w:p>
      <w:r>
        <w:t>Available abstract (not full text): From the European perspective the institutional development of family-owned businesses in Japan has come full circle. Beginning in the XVII century with a strong separation of aristocrats, samurais, traders, peasants families, and through to the creation of the zaibatsu and keiretsu to the rise of Japan Inc.- there has been one successful and equal family. Now Japanese families are again separated and unequal in their everyday life. In this context it should be expected to witness a rise of, more innovative and entrepreneurial, family-owned businesses. Both Japan and Europe are family-oriented societies and economies. Demographic changes create challenges to family-owned businesses in Japan as well as in Europe. What we can learn from the institutional development of family-owned businesses in Japan? Answers to this question are especially valid in Poland, which is as nationally homogeneous as is Japan. Both Poland and Japan are also bank-oriented financial systems. Are these financial systems friendly to a familyowned business? In Europe creation the of capital markets are seen as an institutional innovation that is friendly to a family-owned business. In Japan both historical legacy and the social structure limit the development of capital markets. The institutional and comparative perspective on family-owned businesses in Japan contributes towards the discussion of the pheno</w:t>
      </w:r>
    </w:p>
    <w:p>
      <w:r>
        <w:t>POSSIBLE 2021: Development and integrated assessment of the circular economy in the European Union: the outranking approach — https://doi.org/10.1108/jeim-11-2020-0440</w:t>
      </w:r>
    </w:p>
    <w:p>
      <w:r>
        <w:t>Shared claim-specific concepts: contributes, discussion, over; EU scope visible. This is a provisional connection, not an outcome finding.</w:t>
      </w:r>
    </w:p>
    <w:p>
      <w:r>
        <w:t>Available abstract (not full text): Purpose The Green Deal strategy of the European Union (EU) as well as the increasing concerns over resource scarcity worldwide has put forward such concepts as the circular economy. This paper seeks to compare the progress of the development of the circular economy across the EU Member States. Such analysis is helpful in guiding the circular economy support policies. Design/methodology/approach This paper develops a quantitative framework for analysis of the implementation of the circular economy objectives in the EU Member States. The framework proposed includes three multi-criteria decision making methods representing reference point and outranking approaches. The use of multiple methods allows exploiting the differences in the underlying aggregation principles. Findings Germany, Sweden and the Netherlands appear as the most advanced in the sense of circular economy development. The results indicate that the water-locked small countries and the new EU Member States are among the lowest performing ones. The flows of the waste need to be monitored more tightly in order to increase the circularity. The development of recycling facilities can also increase circularity irrespectively of the economic development level (e.g. the case of Bulgaria). Originality/value The paper contributes to the discussion regarding the circular economy by proposing an indicator system and the multi-c</w:t>
      </w:r>
    </w:p>
    <w:p>
      <w:r>
        <w:t>POSSIBLE 2021: Islam, Europe and Democracy. Seeking answers in an ongoing discussion — https://openalex.org/W3189651574</w:t>
      </w:r>
    </w:p>
    <w:p>
      <w:r>
        <w:t>Shared claim-specific concepts: discussion, brief, historical; EU scope visible. This is a provisional connection, not an outcome finding.</w:t>
      </w:r>
    </w:p>
    <w:p>
      <w:r>
        <w:t xml:space="preserve">Available abstract (not full text): Angeliki Ziaka * Islam, Europe and Democracy.Islam, Europe and Democracy.Seeking answers in an ongoing discussion.Seeking answers in an ongoing discussion.When approaching the discourse on Islam, Europe and Democracy, and laying aside apparent understandings and admissions, we are faced with certain observations and questions.This brief contribution aims at setting them.A first approach of "Islam, Europe, and Democracy" bears with it a certain consensus.That is, that Islam, as a religious system, with more or less apparent theocratic elements -depending on the countries it dominates and where it is applied, as well as due to its "essentialist" religious and political trajectory in time and sociopolitical process -does not carry with it European values and the imperatives of the West, such as Democracy and, consequently, the spirit of Enlightenment.Such values are considered shaped by the European spirit -due to both Christianity and secularism -and produced by the struggles of the French Revolution against religious authority and the tyranny of monarchy 1 .A variety of historical, spiritual, philosophical and political journeys have yielded a unique heritage for the individual, society and humanity as well, thereby safeguarding human rights and protecting the individual from the terms and imperatives of a religiously and politically pre-modern communal * Associate professor on </w:t>
      </w:r>
    </w:p>
    <w:p>
      <w:r>
        <w:t>POSSIBLE 2021: Hallmark features of post-socialist urban development in Central Europe — https://doi.org/10.4324/9781003039792-13</w:t>
      </w:r>
    </w:p>
    <w:p>
      <w:r>
        <w:t>Shared claim-specific concepts: discussion, brief, represent; EU scope visible. This is a provisional connection, not an outcome finding.</w:t>
      </w:r>
    </w:p>
    <w:p>
      <w:r>
        <w:t>Available abstract (not full text): Conclusions represent the thirteenth and final chapter of the edited volume focused on the post-socialist transformation of selected cities of various sizes in Central Europe. After a brief recapitulation of the background of transformational predispositions in the model region, the chapter summarises the main findings and results of theoretical assumptions and specific research from all previous parts of the book. The differences and similarities of transformation processes are reflected, the effects of transformation on the socio-economic, demographic and physical environment of cities, the approaches of city representatives, population behaviour, and possible directions of future development are discussed. We believe that the deeper analysis and discussion presented will contribute to the discovery and understanding of three decades of fundamental spatial, economic and social change in the region.</w:t>
      </w:r>
    </w:p>
    <w:p>
      <w:r>
        <w:t>POSSIBLE 2021: EUROPEAN AUTONOMOUS EMPLOYEE DEFINITION. A REASON FOR A DISCUSSION OVER DEVELOPMENT OF EMPLOYMENT RIGHTS — https://doi.org/10.5604/01.3001.0015.6077</w:t>
      </w:r>
    </w:p>
    <w:p>
      <w:r>
        <w:t>Shared claim-specific concepts: discussion, group, over; EU scope visible. This is a provisional connection, not an outcome finding.</w:t>
      </w:r>
    </w:p>
    <w:p>
      <w:r>
        <w:t>Available abstract (not full text): For many years, there has been a discussion in the study of Polish labour law on the legitimacy of replacing labour law with employment law as a broader category, including also people who perform paid work on other grounds. The implementation of Directive 2019/1152 on transparent and predictable working conditions in the European Union should also cover a wider group of people performing paid work. The EU legislator, when defining the subjective scope, refers to the autonomous EU definition of an employee created by the CJEU, which is broader than many national definitions. Despite the objections raised against the concept of employment law, the implementation of the directive may be a step towards building a new field of law, just as the extension of the subjective scope of the Act on Trade Unions contributed to the creation of collective employment law.</w:t>
      </w:r>
    </w:p>
    <w:p>
      <w:pPr>
        <w:pStyle w:val="Heading2"/>
      </w:pPr>
      <w:r>
        <w:t>Energy Scenario Analysis for the Nordic Transport Sector: A Critical Review</w:t>
      </w:r>
    </w:p>
    <w:p>
      <w:r>
        <w:t>Original source (2019): https://doi.org/10.3390/en12122232</w:t>
      </w:r>
    </w:p>
    <w:p>
      <w:r>
        <w:t>Original wording (abstract; indexed_source_text_not_full_document_verified): Relying on a rich and diversified portfolio of renewable sources and expertise, the Nordic countries could benefit from a common mitigation strategy by encompassing a larger variety of solutions and potential synergies.</w:t>
      </w:r>
    </w:p>
    <w:p>
      <w:r>
        <w:t>POSSIBLE 2026: Downstream Diversification of Critical Mineral-Rich Countries — https://doi.org/10.1007/978-3-032-06139-3_1</w:t>
      </w:r>
    </w:p>
    <w:p>
      <w:r>
        <w:t>Shared claim-specific concepts: countries, strategy, potential; EU scope not established. This is a provisional connection, not an outcome finding.</w:t>
      </w:r>
    </w:p>
    <w:p>
      <w:r>
        <w:t>Available abstract (not full text): Abstract The transition to a low-carbon economy has intensified global demand for critical minerals, presenting both opportunities and challenges for mineral-rich countries. Expanding beyond raw mineral extraction into mineral processing and component manufacturing, or downstream diversification, has emerged as a potential pathway for economic development, supply chain security, and industrialization. However, this strategy is not universally beneficial and must be carefully evaluated against each country’s comparative advantages, infrastructure, governance capacity, and market conditions. This chapter explores the role of downstream diversification in the energy transition. It highlights the importance of strategic policy design, the risks of unplanned industrialization, and the need for international cooperation. While downstream diversification can enhance value retention and reduce reliance on volatile commodity markets, it is not a guaranteed solution and should be pursued selectively after an evaluation and cost-benefit analysis of other economic development strategies.</w:t>
      </w:r>
    </w:p>
    <w:p>
      <w:r>
        <w:t>POSSIBLE 2025: Rethinking Economic Policies: Diversification and Governance Strategies to Address the Resource Curse in Mineral‐Rich Economies — https://doi.org/10.1111/nrm.70011</w:t>
      </w:r>
    </w:p>
    <w:p>
      <w:r>
        <w:t>Shared claim-specific concepts: rich, countries, variety; EU scope not established. This is a provisional connection, not an outcome finding.</w:t>
      </w:r>
    </w:p>
    <w:p>
      <w:r>
        <w:t>Available abstract (not full text): ABSTRACT The “resource curse,” in which countries rich in specific minerals stagnate economically, is prevalent. This paradox occurs when weak governance, corruption, and overreliance on resource rents limit innovation and variety. To address this issue, this study examines the top 20 natural resource‐rich economies and how economic diversification, governance, and development policies have affected resource management from 2000 to 2022. Regulatory quality and corruption control were used to study how governance affects mining mineral resource rents. For “mining governance,” the research examined how resource‐rich states develop mineral resource rents and how good governance, including effective laws and corruption control, affects this process. Panel fixed‐effects results show that regulatory inefficiency and corruption due to inadequate mining governance worsen the resource curse. However, economic growth and human capital development improve mineral resource governance by increasing workforce knowledge and productivity. High tariffs hinder resource utilization and economic diversification, such as ICT exports and value‐added manufacturing. The study concluded that improving institutional capabilities and ensuring sustainable natural resource management boost economic resilience and growth.</w:t>
      </w:r>
    </w:p>
    <w:p>
      <w:r>
        <w:t>POSSIBLE 2024: The Economic Diversification and Sustainability Development in Oil-Rich Countries: A Panel Data Study — https://doi.org/10.1051/e3sconf/202459301001</w:t>
      </w:r>
    </w:p>
    <w:p>
      <w:r>
        <w:t>Shared claim-specific concepts: sources, countries, potential; EU scope not established. This is a provisional connection, not an outcome finding.</w:t>
      </w:r>
    </w:p>
    <w:p>
      <w:r>
        <w:t>Available abstract (not full text): Diversifying income sources in oil-producing countries is necessary for achieving financial sustainability and a pathway to a more prosperous future. Despite the recognized importance of diversification, there remains a research gap in understanding the combined impact of factors like capital formation, oil rents, foreign investment, labor dynamics, rule of law, and CO2 emissions on sustainable growth. This research delves into the nexus between economic diversification and sustainable development in GCC countries, aiming to identify the key factors influencing economic diversification in this region. The study meticulously analyzes the impact of these critical variables on the economic diversification efforts of GCC countries. The findings reveal a robust positive correlation between economic diversification and these influential factors, as measured by GDP. This correlation underscores the potential benefits of economic diversification, such as enhanced sustainability and resilience, reinforcing the importance of this research topic. Also, the study emphasizes the urgent need for GCC countries to invest in non-oil economic sectors.</w:t>
      </w:r>
    </w:p>
    <w:p>
      <w:r>
        <w:t>POSSIBLE 2021: Large Shareholder Portfolio Diversification and Voluntary Disclosure* — https://doi.org/10.1111/1911-3846.12707</w:t>
      </w:r>
    </w:p>
    <w:p>
      <w:r>
        <w:t>Shared claim-specific concepts: relying, diversified, portfolio, benefit; EU scope not established. This is a provisional connection, not an outcome finding.</w:t>
      </w:r>
    </w:p>
    <w:p>
      <w:r>
        <w:t>Available abstract (not full text): ABSTRACT Although large shareholders have sufficient influence to engage privately with management, extant literature provides inconclusive evidence on the relation between large equity positions and corporate disclosure. This study examines whether large shareholders' portfolio diversification affects voluntary corporate disclosure. We define diversification as the extent to which investors spread investments among portfolio stocks. We predict that holding a diversified portfolio deters large shareholders from incurring the costs of private information gathering about a portfolio firm. We document that firms provide more voluntary disclosure when their large shareholders hold a more diversified portfolio, consistent with investors relying more on public disclosure about portfolio firms when their portfolio diversification is higher. Evidence from cross‐sectional analyses suggests that, as predicted, the positive relation between portfolio diversification and voluntary disclosure is weaker as the net benefit of acquiring private information increases for large shareholders (i.e., when portfolio firms are more connected, have alternative information channels, or are more complex). Overall, our results suggest that diversified large shareholders' preference for a richer public disclosure environment creates a positive externality of lowering the information costs for external sta</w:t>
      </w:r>
    </w:p>
    <w:p>
      <w:pPr>
        <w:pStyle w:val="Heading2"/>
      </w:pPr>
      <w:r>
        <w:t>Energy system transition and macroeconomic impacts of a European decarbonization action towards a below 2 °C climate stabilization</w:t>
      </w:r>
    </w:p>
    <w:p>
      <w:r>
        <w:t>Original source (2019): https://doi.org/10.1007/s10584-019-02440-7</w:t>
      </w:r>
    </w:p>
    <w:p>
      <w:r>
        <w:t>Original wording (abstract; indexed_source_text_not_full_document_verified): We find that emission reductions in the energy supply sector are dominant up to 2030 while transport takes the lead in 2050. The EU28 NDC includes a commitment for emission reductions in 2030 but also refers to an economy-wide effort towards 2050 so as to contribute effectively to the long-term mitigation of climate change.</w:t>
      </w:r>
    </w:p>
    <w:p>
      <w:r>
        <w:t>POSSIBLE 2026: Can a wealth tax reduce CO2 emissions in Europe? — https://doi.org/10.1016/j.ecolecon.2026.109231</w:t>
      </w:r>
    </w:p>
    <w:p>
      <w:r>
        <w:t>Shared claim-specific concepts: find, reductions, mitigation, climate; EU scope visible. This is a provisional connection, not an outcome finding.</w:t>
      </w:r>
    </w:p>
    <w:p>
      <w:r>
        <w:t>Available abstract (not full text): We analyse the potential of wealth taxes to reduce CO2 emissions through two transmission channels: the inequality channel, which links reductions in wealth inequality to lower emissions, and the consumption channel, which analyses how wealth taxes affect consumption by top wealth holders. We simulate the effects of various wealth tax designs over one- and ten-year horizons using harmonised microdata from 22 European countries. Our analysis accounts for survey non-response bias, heterogeneous rates of returns across households, and behavioural responses to taxation. We find that, through the inequality channel, an annual progressive wealth tax could reduce annual CO2 emissions by 7.5%–14.7% after ten years relative to a no-tax scenario, depending on tax progressivity. Through the consumption channel, the average reduction is between 1.5%–3.6%. These findings highlight the potential of wealth taxes to serve a dual purpose: curbing wealth concentration and contributing meaningfully to climate mitigation and justice, by focusing on high-net worth households who account for a disproportionate share of emissions.</w:t>
      </w:r>
    </w:p>
    <w:p>
      <w:r>
        <w:t>POSSIBLE 2024: Firm's emission reduction effectiveness and the influence of the five institutional dimensions of the quintuple helix model: European evidence — https://doi.org/10.1111/beer.12662</w:t>
      </w:r>
    </w:p>
    <w:p>
      <w:r>
        <w:t>Shared claim-specific concepts: find, emission, commitment; EU scope visible. This is a provisional connection, not an outcome finding.</w:t>
      </w:r>
    </w:p>
    <w:p>
      <w:r>
        <w:t>Available abstract (not full text): Abstract Based upon the quintuple helix model (QHM), this study explores whether the differences in firms' emission reduction effectiveness can be attributed to the five institutional helices related to educational system, economic development, political–legal system, cultural orientation, and the natural capital. Using a set of listed European firms for the 2015–2020 period, we show that firms with better emission reduction effectiveness operate in nations with more public educational expenditure and scientific production, more extensive economic development, and better institutional and governance quality. Moreover, emission reduction strategies are more pronounced in firms located in countries characterized by less masculinity, individualism, power distance, and uncertainty avoidance, and more long‐term orientation and indulgence. In addition, we find that companies with better emission reduction effectiveness are found in countries with more natural capital, characterized by a life in harmony with nature and employing the finite resources available in a sustainable and environmentally conscious manner. Moreover, employing a two‐stage model to identify the most relevant helix, we find that the political–legal system helix is the most pivotal in promoting firms' commitment to reducing environmental emissions.</w:t>
      </w:r>
    </w:p>
    <w:p>
      <w:r>
        <w:t>POSSIBLE 2023: The Drivers of Emission Reductions in the European Carbon Market — https://openalex.org/W7111538042</w:t>
      </w:r>
    </w:p>
    <w:p>
      <w:r>
        <w:t>Shared claim-specific concepts: find, emission, reductions, dominant, also; EU scope visible. This is a provisional connection, not an outcome finding.</w:t>
      </w:r>
    </w:p>
    <w:p>
      <w:r>
        <w:t>Available abstract (not full text): This paper studies the drivers of emission reductions in the carbon market of the European Union Emission Trading System (EU ETS) since its inception in 2005. We introduce a novel empirical framework that facilitates the joint identification of simultaneous demand and supply shocks underlying the European carbon market. We find that emission supply restrictions of the EU ETS were the dominant driver of emissions reductions, reducing emissions by 46%. However we also find that two opposing emission demand factors also played an important role. Demand from industrial economic activity increased emissions by 15%, while other demand-side factors, primarily reflecting the transition to low-carbon economies, reduced emissions by 21%.</w:t>
      </w:r>
    </w:p>
    <w:p>
      <w:r>
        <w:t>POSSIBLE 2023: Emissions savings from equitable energy demand reduction — https://doi.org/10.1038/s41560-023-01283-y</w:t>
      </w:r>
    </w:p>
    <w:p>
      <w:r>
        <w:t>Shared claim-specific concepts: reductions, energy, transport, climate; EU scope visible. This is a provisional connection, not an outcome finding.</w:t>
      </w:r>
    </w:p>
    <w:p>
      <w:r>
        <w:t>Available abstract (not full text): Abstract Energy demand reduction (EDR) will be required to reach climate targets in the Global North. To be compatible with just transitions principles, EDR needs to be equitable. Equitable EDR may involve targeting high energy users while ensuring the satisfaction of needs for all, which could require increasing consumption of low users. Emissions impacts of equitable EDR approaches have not yet been assessed. This Article finds that capping energy use of the top quintile of consumers across 27 European countries can achieve considerable greenhouse gas emissions reductions of 11.4% from domestic energy, 16.8% from transport and 9.7% from total energy consumption. Increasing consumption of low energy users in poverty reduces these savings by only 1.2, 0.9 and 1.4 percentage points, respectively. Additional high annual emissions cuts of 7.3–24.0% would be required for Europe to meet globally equitable 2050 emissions budgets. Equitable EDR could make an important contribution to increasing public acceptance of such transformative action.</w:t>
      </w:r>
    </w:p>
    <w:p>
      <w:r>
        <w:t>POSSIBLE 2023: Identifying and Monitoring Priority Areas for Methane Emissions Reduction — https://doi.org/10.1596/1813-9450-10391</w:t>
      </w:r>
    </w:p>
    <w:p>
      <w:r>
        <w:t>Shared claim-specific concepts: dominant, but, also; EU scope visible. This is a provisional connection, not an outcome finding.</w:t>
      </w:r>
    </w:p>
    <w:p>
      <w:r>
        <w:t xml:space="preserve">Available abstract (not full text): This paper identifies high-priority areas for methane emissions reduction and estimates recent emissions changes in those areas using atmospheric concentration data from the European Space Agency’s Sentinel-5P satellite platform. The modeling approach is illustrated with three case studies: landfills in Spain (Madrid), irrigated rice production in India (Karnal district, Haryana state), and oil production in Iraq (Al Amarah district, Maysan governorate). For each case, the paper estimates two change models by fixed effects: the monthly trend in methane concentration from January 2019 to November 2022, and the difference between mean concentration in 2022 and the previous three years. The paper estimates the change models for 775 high-priority areas and finds that cases with decreasing methane emissions are outnumbered four to one by cases with increasing emissions. The paper also analyzes trends in high-priority areas for seven major methane source sectors (agricultural soils, livestock, gas, oil, coal, landfills, and wastewater) and finds only two where emissions decreases outnumber increases (gas and oil). Among World Bank income groups, decreases outnumber increases in high-income economies but increases are hugely dominant in the other three groups. The paper concludes with a presentation of summary emissions trend reports for all 775 high-priority areas, with accompanying </w:t>
      </w:r>
    </w:p>
    <w:p>
      <w:r>
        <w:t>POSSIBLE 2022: An econometric analysis of the potential emission reduction components in Indonesia — https://doi.org/10.1016/j.clpl.2022.100008</w:t>
      </w:r>
    </w:p>
    <w:p>
      <w:r>
        <w:t>Shared claim-specific concepts: emission, energy, lead, climate; EU scope not established. This is a provisional connection, not an outcome finding.</w:t>
      </w:r>
    </w:p>
    <w:p>
      <w:r>
        <w:t>Available abstract (not full text): Emissions reduction and increasing environmental quality have become a global concern to ensure sustainable development and mitigate the negative impacts of global warming and climate change. However, there is a scarcity of research exploring the potential of emission reduction components by using econometric approaches. Thus, the present study investigated the role of economic growth, fossil fuel energy use, renewable energy use, technological innovation, agricultural productivity, and forested area to achieve environmental sustainability by reducing carbon dioxide emissions in Indonesia. Time series data from 1990 to 2020 were utilized by applying the Dynamic Ordinary Least Squares method. The empirical findings revealed that a 1% increase in economic growth and fossil fuel energy use will increase carbon dioxide emissions by 0.36% and 0.67% in Indonesia. Conversely, a 1% increase in renewable energy use, technological innovation, agricultural productivity, and the forested area may lead to carbon dioxide emissions reduction by 0.11%, 0.07%, 0.24%, and 2.87%, respectively in the long run. This article put forward policy recommendations in the areas of low-carbon economy, promoting renewable energy use, financing technological innovation, climate-smart agriculture, and sustainable forest management which would ensure environmental sustainability by reducing emissions in Indone</w:t>
      </w:r>
    </w:p>
    <w:p>
      <w:r>
        <w:t>POSSIBLE 2022: Improved monitoring of shipping NO 2 with TROPOMI: decreasing NO x emissions in European seas during the COVID-19 pandemic — https://doi.org/10.5194/amt-15-1415-2022</w:t>
      </w:r>
    </w:p>
    <w:p>
      <w:r>
        <w:t>Shared claim-specific concepts: find, emission, reductions, but; EU scope visible. This is a provisional connection, not an outcome finding.</w:t>
      </w:r>
    </w:p>
    <w:p>
      <w:r>
        <w:t>Available abstract (not full text): Abstract. TROPOMI measurements of tropospheric NO2 columns provide powerful information on emissions of air pollution by ships on open sea. This information is potentially useful for authorities to help determine the (non-)compliance of ships with increasingly stringent NOx emission regulations. We find that the information quality is improved further by recent upgrades in the TROPOMI cloud retrieval and an optimal data selection. We show that the superior spatial resolution of TROPOMI allows the detection of several lanes of NO2 pollution ranging from the Aegean Sea near Greece to the Skagerrak in Scandinavia, which have not been detected with other satellite instruments before. Additionally, we demonstrate that under conditions of sun glint TROPOMI's vertical sensitivity to NO2 in the marine boundary layer increases by up to 60 %. The benefits of sun glint are most prominent under clear-sky situations when sea surface winds are low, but slightly above zero (±2 m/s). Beyond spatial resolution and sun glint, we examine for the first time the impact of the recently improved cloud algorithm on the TROPOMI NO2 retrieval quality, both over sea and over land. We find that the new FRESCO+wide algorithm leads to 50 hPa lower cloud pressures, correcting a known high bias, and produces 1–4·1015 molec/cm2 higher retrieved NO2 columns, thereby at least partially correcting for the previou</w:t>
      </w:r>
    </w:p>
    <w:p>
      <w:r>
        <w:t>POSSIBLE 2021: Impact of SOx, NOx and NH3 emission reductions on PM2.5 concentrations across Europe: Hints for future measure development — https://doi.org/10.1016/j.envint.2021.106699</w:t>
      </w:r>
    </w:p>
    <w:p>
      <w:r>
        <w:t>Shared claim-specific concepts: find, emission, reductions, but; EU scope visible. This is a provisional connection, not an outcome finding.</w:t>
      </w:r>
    </w:p>
    <w:p>
      <w:r>
        <w:t>Available abstract (not full text): Given the remaining air quality issues in many European regions, smart air quality strategies are necessary to reduce the burden of poor air quality. While designing effective strategies for non-reactive primary pollutants is straightforward, this is not the case for secondary pollutants for which the relationship between emission changes and the resulting concentration changes can be nonlinear. Under such conditions, strategies targeting the largest emitting sources might not be the most effective. In this work, we provide elements to better understand the role of the main emission precursors (SO2, NOx, NH3) on the formation of secondary inorganic aerosols. By quantifying the PM2.5 sensitivity to emission reductions for each of these three precursors, we define and quantify the intensity of PM2.5 formation chemical regimes across Europe. We find that for emission reductions limited to 25%, the relation between emission and PM concentration changes remain mostly linear, with the exception of the Po Valley where non-linearities reach more than 30% in winter. When emission reductions increase to 50%, non-linearity reaches more than 60% in the Po Valley but stay below 30% in the rest of Europe. In terms of implications on abatement strategies, our findings can be summarized in the following key messages: (1) reducing SO2 emissions where abundant is always efficient (e.g. eastern E</w:t>
      </w:r>
    </w:p>
    <w:p>
      <w:r>
        <w:t>POSSIBLE 2021: Pricing carbon in the aviation sector: Evidence from the European emissions trading system — https://doi.org/10.1016/j.jeem.2021.102591</w:t>
      </w:r>
    </w:p>
    <w:p>
      <w:r>
        <w:t>Shared claim-specific concepts: find, emission, sector, transport, but, also; EU scope visible. This is a provisional connection, not an outcome finding.</w:t>
      </w:r>
    </w:p>
    <w:p>
      <w:r>
        <w:t>Available abstract (not full text): A policy change in the European Union's Emissions Trading Scheme (EU ETS) provides us with a unique opportunity to measure the impact of carbon pricing on aviation, the most climate-intensive mode of transport. We implement a difference-in-differences strategy on a sample based on all flights within Europe from 2010 to 2016 to examine the causal impact of the EU ETS on emissions and supply. We find that the EU ETS reduced emissions by 4.7% in the regulated routes relative to the counterfactual. When we restrict the sample to short-haul flights, routes on which competition from other means of transport may exist (less than 1,000 km), the reduction in emissions is 10.7%. Finally, the reduction in emissions is also high for low-cost airlines (−11%) but it is not statistically significant for network airlines. In sum, the EU ETS has helped to mitigate emission growth by 3 Mt CO2 per year during the period analyzed, but not to reduce absolute emissions in the sector, as needed.</w:t>
      </w:r>
    </w:p>
    <w:p>
      <w:r>
        <w:t>POSSIBLE 2021: Decoupling of urban CO 2 and air pollutant emission reductions during the European SARS-CoV-2 lockdown — https://doi.org/10.5194/acp-21-3091-2021</w:t>
      </w:r>
    </w:p>
    <w:p>
      <w:r>
        <w:t>Shared claim-specific concepts: find, emission, reductions, energy, long-term, mitigation; EU scope visible. This is a provisional connection, not an outcome finding.</w:t>
      </w:r>
    </w:p>
    <w:p>
      <w:r>
        <w:t>Available abstract (not full text): Abstract. Lockdown and the associated massive reduction in people’s mobility imposed by SARS-CoV-2 mitigation measures across the globe provide a unique sensitivity experiment to investigate impacts on carbon and air pollution emissions. We present an integrated observational analysis based on long-term in-situ multispecies eddy flux measurements, allowing to quantify near real time changes of urban surface emissions for key air quality and climate tracers. During the first European SARS-CoV-2 wave we find that the emission reduction of classic air pollutants decoupled from CO2 and was significantly larger. These differences can only be rationalized by the different nature of urban combustion sources, and point towards a systematic bias of extrapolated urban NOx emissions in state-of the art emission models. The analysis suggests that European policies, shifting residential, public and commercial energy demand towards cleaner combustion, have helped to improve air quality more than expected, and that the urban NOx flux remains to be dominated (e.g. &gt; 90 %) by traffic.</w:t>
      </w:r>
    </w:p>
    <w:p>
      <w:r>
        <w:t>POSSIBLE 2020: The European Union Emissions Trading System reduced CO 2 emissions despite low prices — https://doi.org/10.1073/pnas.1918128117</w:t>
      </w:r>
    </w:p>
    <w:p>
      <w:r>
        <w:t>Shared claim-specific concepts: find, emission, reductions; EU scope visible. This is a provisional connection, not an outcome finding.</w:t>
      </w:r>
    </w:p>
    <w:p>
      <w:r>
        <w:t>Available abstract (not full text): International carbon markets are an appealing and increasingly popular tool to regulate carbon emissions. By putting a price on carbon, carbon markets reshape incentives faced by firms and reduce the value of emissions. How effective are carbon markets? Observers have tended to infer their effectiveness from market prices. The general belief is that a carbon market needs a high price in order to reduce emissions. As a result, many observers remain skeptical of initiatives such as the European Union Emissions Trading System (EU ETS), whose price remained low (compared to the social cost of carbon). In this paper, we assess whether the EU ETS reduced [Formula: see text] emissions despite low prices. We motivate our study by documenting that a carbon market can be effective if it is a credible institution that can plausibly become more stringent in the future. In such a case, firms might cut emissions even though market prices are low. In fact, low prices can be a signal that the demand for carbon permits weakens. Thus, low prices are compatible with successful carbon markets. To assess whether the EU ETS reduced carbon emissions even as permits were cheap, we estimate counterfactual carbon emissions using an original sectoral emissions dataset. We find that the EU ETS saved about 1.2 billion tons of [Formula: see text] between 2008 and 2016 (3.8%) relative to a world without carb</w:t>
      </w:r>
    </w:p>
    <w:p>
      <w:r>
        <w:t>POSSIBLE 2020: The role of woody biomass for reduction of fossil GHG emissions in the future North European energy sector — https://doi.org/10.1016/j.apenergy.2020.115360</w:t>
      </w:r>
    </w:p>
    <w:p>
      <w:r>
        <w:t>Shared claim-specific concepts: find, emission, reductions, energy, sector, transport; EU scope visible. This is a provisional connection, not an outcome finding.</w:t>
      </w:r>
    </w:p>
    <w:p>
      <w:r>
        <w:t>Available abstract (not full text): In this study, we analyse the use of woody biomass in the heat and power sector in Northern Europe towards 2040 and quantify the fossil GHG-emission reductions from biomass use at different carbon price levels. The applied partial equilibrium energy system model has endogenous capacity investments in relevant heat and power technologies. The results show that use of woody biomass can reduce the direct emissions from the Northern European power and heat sector by 4–27% for carbon prices in the range of 5–103 €/tonne CO2eq in 2030 compared to a scenario where woody biomass is not available for power and heat generation. The cost of delivering heat and electricity increases with 0.2–0.7% when wood chips are excluded, depending on the carbon price. At a low carbon price, the use of natural gas, wind, and coal power generation increases when biomass is not available for power and heat generation. At higher carbon prices, solar power, wind power, power-to-heat, and natural gas become increasingly competitive, and therefore the use of biomass has a lower impact on emission reductions. Using the same biomass volumes for liquid transport fuel, we find a higher impact on fossil carbon emission reductions but substantially higher costs. The main conclusion from this study is that woody biomass contribution to lowering the fossil emission from heat and power generation in the Northern Euro</w:t>
      </w:r>
    </w:p>
    <w:p>
      <w:pPr>
        <w:pStyle w:val="Heading2"/>
      </w:pPr>
      <w:r>
        <w:t>Environmental and resource burdens associated with low carbon, more electric transition pathways to 2050: Footprint components from carbon emissions and land use to waste arisings and water consumption</w:t>
      </w:r>
    </w:p>
    <w:p>
      <w:r>
        <w:t>Original source (2019): https://doi.org/10.1016/j.glt.2019.01.001</w:t>
      </w:r>
    </w:p>
    <w:p>
      <w:r>
        <w:t>Original wording (abstract; indexed_source_text_not_full_document_verified): Electricity demand was projected to decrease significantly under the TF pathway by 2050, but its total environmental footprint (EF) was greater than either that under the MR or CC pathways. It has been employed here to estimate the footprints associated with three low carbon, more electric transition pathways for the United Kingdom (UK): described as ‘ Market Rules ’ (MR), ‘ Central Co-ordination ’ (CC) and ‘ Thousand Flowers ’ (TF) respectively.</w:t>
      </w:r>
    </w:p>
    <w:p>
      <w:r>
        <w:t>POSSIBLE 2025: The duck curve in electricity demand — https://doi.org/10.4337/9781035310371.000120</w:t>
      </w:r>
    </w:p>
    <w:p>
      <w:r>
        <w:t>Shared claim-specific concepts: electricity, either, electric, united; EU scope not established. This is a provisional connection, not an outcome finding.</w:t>
      </w:r>
    </w:p>
    <w:p>
      <w:r>
        <w:t>Available abstract (not full text): The “duck curve” is jargon in the energy industry that refers to a graph having the shape of a duck and showing the amount of power dispatched by the grid across the day. The term appeared in around 2012 and was established by the California Independent System Operator (CAISO) in the United States. It refers to the so-called duck problem that is encountered in economies with high penetration by solar power. Electricity generated from solar power starts decreasing until complete darkness falls, when there is no more sunshine. Unless there are sufficient solar energy storage amendments, the electricity demand at nighttime has to be met with other energy sources, either renewable or nonrenewable ones. The problem with evening times is that at those times demand reaches a peak because household members are at home and in need of electric power to satisfy all household needs.</w:t>
      </w:r>
    </w:p>
    <w:p>
      <w:r>
        <w:t>POSSIBLE 2025: Climate crisis, war and pandemic: How weather and global events have shaped UK electricity demand — https://doi.org/10.1016/j.jenvman.2025.126937</w:t>
      </w:r>
    </w:p>
    <w:p>
      <w:r>
        <w:t>Shared claim-specific concepts: electricity, carbon; EU scope not established. This is a provisional connection, not an outcome finding.</w:t>
      </w:r>
    </w:p>
    <w:p>
      <w:r>
        <w:t>Available abstract (not full text): The present study, using high-frequency hourly data from 2009 to 2023, investigates the impacts of weather conditions, carbon prices, COVID-19 pandemic, and the Russia-Ukraine war on electricity demand in the UK. Using a semi-parametric estimation technique - generalised additive models - we find that temperature, carbon prices, and snowfall have a significant non-linear impact on electricity usage. Temperature and electricity demand exhibit a non-linear, U-shaped pattern, with electricity demand decreasing during mild weather and sharply rising during extremely hot or cold weather. Carbon prices moderate the temperature effect on electricity demand, with higher prices reducing this effect. Snowfall and rain increase electricity demand due to additional heating needs. Our analyses also suggest that global events such as the COVID-19 pandemic and the Russia-Ukraine war have strongly affected the trajectory of electricity demand, reflecting broader economic disruptions driven by global and geopolitical events. The results remain consistent after controlling for electricity prices. These findings highlight the importance of adaptive energy policies, including flexible carbon pricing strategies, to effectively manage electricity demand during extreme weather events and geopolitical crises.</w:t>
      </w:r>
    </w:p>
    <w:p>
      <w:r>
        <w:t>POSSIBLE 2024: Energy access challenge and the role of fossil fuels in meeting electricity demand: Promoting renewable energy capacity for sustainable development — https://doi.org/10.1016/j.gsf.2024.101873</w:t>
      </w:r>
    </w:p>
    <w:p>
      <w:r>
        <w:t>Shared claim-specific concepts: electricity, but, environmental, associated; EU scope not established. This is a provisional connection, not an outcome finding.</w:t>
      </w:r>
    </w:p>
    <w:p>
      <w:r>
        <w:t>Available abstract (not full text): The energy access challenge remains a significant barrier to sustainable development, with millions of people still needing access to modern energy services. Fossil fuels have played a crucial role in meeting electricity demand, but they face challenges and drawbacks in terms of environmental sustainability, energy security, and climate change. This study examines how renewable and non-renewable energy generation capacity impacted the environment in 53 upper-middle-income countries from 1990 to 2020, using energy access and alternative energy sources as mediating variables. The findings of this study provide valuable insights into the complex relationship between renewable energy generation capacity, energy access, alternative energy sources, and environmental conditions in upper-middle-income countries. The positive relationship between renewable energy generation capacity and environmental conditions emphasizes the importance and potential of renewable energy sources in mitigating environmental degradation. Additionally, the findings indicate that energy access also plays a crucial role in shaping energy generation patterns, with higher levels of access being associated with increased renewable energy generation and decreased reliance on non-renewable energy sources. These findings highlight the urgent need for policies and measures to promote renewable energy adoption and pr</w:t>
      </w:r>
    </w:p>
    <w:p>
      <w:r>
        <w:t>POSSIBLE 2023: Lessons from Regional Electricity Demand Change following Natural Disasters in Japan — https://doi.org/10.1111/rsp3.12631</w:t>
      </w:r>
    </w:p>
    <w:p>
      <w:r>
        <w:t>Shared claim-specific concepts: electricity, decrease, associated; EU scope not established. This is a provisional connection, not an outcome finding.</w:t>
      </w:r>
    </w:p>
    <w:p>
      <w:r>
        <w:t>Available abstract (not full text): Analyzing the impact of electricity price changes on electricity demand helps in energy supply planning. This study estimated the electricity demand functions of households and industries, as well as the impact of electricity price hikes on electricity demand following natural disasters. We found that structural changes occurred in various regions' electricity demand's price elasticity following natural disasters. Furthermore, the results showed that the decrease in consumer surplus associated with higher electricity prices was more significant in regions that depended on nuclear power. These results have important implications for regional energy policies.</w:t>
      </w:r>
    </w:p>
    <w:p>
      <w:r>
        <w:t>POSSIBLE 2023: Summer heatwaves, wind production and electricity demand in Southern Europe: climatic conditions and impacts — https://doi.org/10.1088/2515-7620/acec37</w:t>
      </w:r>
    </w:p>
    <w:p>
      <w:r>
        <w:t>Shared claim-specific concepts: electricity, decrease, but, environmental, greater; EU scope visible. This is a provisional connection, not an outcome finding.</w:t>
      </w:r>
    </w:p>
    <w:p>
      <w:r>
        <w:t>Available abstract (not full text): Abstract Electricity demand for cooling and heating is directly related to weather and climate, primarily through ambient temperature. In Southern Europe, the maximum electricity demand for cooling in summer can be more pronounced than in winter, especially during heat wave (HW) episodes. With the growth of renewable technologies in the energy mix, the dependency of the electricity system on the weather is becoming evident not just from the demand side, but also from the energy supply side. From the resources point of view, summer wind presents a minimum on its annual cycle, so a combination of maximum electricity demand can coincide with a minimum of wind power production. This study presents a strong multidisciplinary focus, merging climate, energy and environmental discipline, due to their relevant connections in Southern Europe where important climate change stresses are expected. The combined anomalies of electricity demand and wind production during heat wave episodes are quantified at the country level, taking into account the HW extension. The summer period (1989-2019) of ERA5 reanalysis and E-OBS-21.0e data is used for atmospheric magnitudes and the Copernicus climate change service (C3S) energy dataset for demand. In heat wave events, an increase of 3.5%–10.6% in electricity demand and a decrease up to −30.8% in wind power production is obtained, with variability depe</w:t>
      </w:r>
    </w:p>
    <w:p>
      <w:r>
        <w:t>POSSIBLE 2022: A novel method for acquiring rigorous temperature response functions for electricity demand at a regional scale — https://doi.org/10.1016/j.scitotenv.2021.152893</w:t>
      </w:r>
    </w:p>
    <w:p>
      <w:r>
        <w:t>Shared claim-specific concepts: electricity, but; EU scope not established. This is a provisional connection, not an outcome finding.</w:t>
      </w:r>
    </w:p>
    <w:p>
      <w:r>
        <w:t>Available abstract (not full text): The demand for electricity affects the future climate through its effect on greenhouse gas emissions in the electricity generation process, but climate change also impacts electricity demand by changing the need for heating and cooling. Developing reliable temperature response functions (TRFs) that illustrate electricity demand as a function of temperature is key for decreasing uncertainty in future climate projections under a changing climate and for impact assessments of climate change on energy systems. However, this task is challenging because electricity demand is determined by multiple factors that interact in complicated ways because demand fluctuations represent timely human responses to given meteorological conditions. We propose a novel method to acquire reliable TRFs at a regional scale based on comprehensive modeling of electricity demand fluctuations. Six candidate algorithms were examined, and multivariate adaptive regression splines (MARS) was selected as the best algorithm with the dataset used. Using MARS, we constructed models with the capacity to precisely reproduce complex electricity demand patterns based on multiple predictors and simulated the impact of temperature on electricity demand while controlling for the effects of other factors. The temporal segments in TRFs are detected and parameters and functional forms of TRFs for 10 regions in Japan were pre</w:t>
      </w:r>
    </w:p>
    <w:p>
      <w:r>
        <w:t>POSSIBLE 2022: Causal impact of severe events on electricity demand: The case of COVID-19 in Japan — https://doi.org/10.48550/arxiv.2206.02122</w:t>
      </w:r>
    </w:p>
    <w:p>
      <w:r>
        <w:t>Shared claim-specific concepts: electricity, decrease, employed, estimate; EU scope not established. This is a provisional connection, not an outcome finding.</w:t>
      </w:r>
    </w:p>
    <w:p>
      <w:r>
        <w:t>Available abstract (not full text): As of May 2022, the coronavirus disease 2019 (COVID-19) still has a severe global impact on people's lives. Previous studies have reported that COVID-19 decreased the electricity demand in early 2020. However, our study found that the electricity demand increased in summer and winter even when the infection was widespread. The fact that the event has continued over two years suggests that it is essential to introduce the method which can estimate the impact of the event for long period considering seasonal fluctuations. We employed the Bayesian structural time-series model to estimate the causal impact of COVID-19 on electricity demand in Japan. The results indicate that behavioral restrictions due to COVID-19 decreased the daily electricity demand (-5.1% in weekdays, -6.1% in holidays) in April and May 2020 as indicated by previous studies. However, even in 2020, the results show that the demand increases in the hot summer and cold winter (the increasing rate is +14% in the period from 1st August to 15th September 2020, and +7.6% from 16th December 2020 to 15th January 2021). This study shows that the significant decrease in electricity demand for the business sector exceeded the increase in demand for the household sector in April and May 2020; however, the increase in demand for the households exceeded the decrease in demand for the business in hot summer and cold winter per</w:t>
      </w:r>
    </w:p>
    <w:p>
      <w:r>
        <w:t>POSSIBLE 2021: The role of humidity in determining future electricity demand in the southeastern United States — https://doi.org/10.1088/1748-9326/ac2fdf</w:t>
      </w:r>
    </w:p>
    <w:p>
      <w:r>
        <w:t>Shared claim-specific concepts: electricity, decrease, but, united; EU scope not established. This is a provisional connection, not an outcome finding.</w:t>
      </w:r>
    </w:p>
    <w:p>
      <w:r>
        <w:t>Available abstract (not full text): Co-occurrence of high relative humidity levels and high temperatures can increase human discomfort, thereby affecting electricity requirements for space cooling. While relative humidity is generally projected to decrease over land in a warming climate, the combined impact of warming and changes in humidity on heat stress, and thus electricity demand, are less clear. To evaluate the role of relative humidity in determining future electricity demand, we first develop predictive models based, separately, on temperature (T) and a heat stress index (apparent temperature (AT)) at an hourly scale using meteorological reanalysis data and electricity load from the United States Energy Information Administration over the four electricity regions in the southeastern United States. The AT model performs better than the T model in the historical period. We then apply the predictive models to a set of high-resolution climate projections to understand the role of relative humidity in determining the electricity demand in a warmer climate. Due to the nonlinear behavior of heat stress with warming, future electricity demand is substantially larger when estimated from AT than from T. The increase in demand projected by AT ranges between 16%–29%, 20%–33%, 14%–32% and 13%–26% and that by T model ranges between 12%–19%, 15%–19%, 14%–22% and 12%–20% over Southeast, Florida, Carolina, and Tennessee r</w:t>
      </w:r>
    </w:p>
    <w:p>
      <w:r>
        <w:t>POSSIBLE 2020: Decrease of mobility, electricity demand, and NO2 emissions on COVID-19 times and their feedback on prevention measures — https://doi.org/10.1016/j.scitotenv.2020.143382</w:t>
      </w:r>
    </w:p>
    <w:p>
      <w:r>
        <w:t>Shared claim-specific concepts: electricity, decrease; EU scope not established. This is a provisional connection, not an outcome finding.</w:t>
      </w:r>
    </w:p>
    <w:p>
      <w:r>
        <w:t>Available abstract (not full text): Unavailable</w:t>
      </w:r>
    </w:p>
    <w:p>
      <w:r>
        <w:t>POSSIBLE 2020: Impact of the COVID-19 Pandemic on the U.S. Electricity Demand and Supply: An Early View From Data — https://doi.org/10.1109/access.2020.3016912</w:t>
      </w:r>
    </w:p>
    <w:p>
      <w:r>
        <w:t>Shared claim-specific concepts: electricity, decrease, but, three; EU scope not established. This is a provisional connection, not an outcome finding.</w:t>
      </w:r>
    </w:p>
    <w:p>
      <w:r>
        <w:t>Available abstract (not full text): After the onset of the recent COVID-19 pandemic, a number of studies reported on possible changes in electricity consumption trends. The overall theme of these reports was that "electricity use has decreased during the pandemic, but the power grid is still reliable"-mostly due to reduced economic activity. In this paper, we analyze electricity data until the end of May 2020, examining both electricity demand and variables that can indicate stress on the power grid. We limit this study to three states in the U.S. California, Florida and New York. The results indicate that the effect of the pandemic on electricity demand is not a simple reduction, and there are noticeable differences among regions analyzed. The variables that can indicate stress on the grid (e.g., daily peak and trough of the hourly demand, demand ramp rate, demand forecast error, and net electricity interchange) also conveyed mixed messages: some indicate an increase in stress, some indicate a decrease, and some do not indicate any clear difference. A positive message is that some of the changes that were observed around the time stay-at-home orders were issued appeared to revert back by May 2020. A key challenge in ascribing any observed change to the pandemic is correcting for weather as it can be challenging to accurately define it for large geographic regions. We provide a weather-correction method, apply it</w:t>
      </w:r>
    </w:p>
    <w:p>
      <w:r>
        <w:t>POSSIBLE 2020: The COVID-19 pandemic’s impact on electricity demand and supply — https://openalex.org/W3034749761</w:t>
      </w:r>
    </w:p>
    <w:p>
      <w:r>
        <w:t>Shared claim-specific concepts: electricity, decrease, but, three; EU scope visible. This is a provisional connection, not an outcome finding.</w:t>
      </w:r>
    </w:p>
    <w:p>
      <w:r>
        <w:t>Available abstract (not full text): After the onset of the recent COVID-19 pandemic, both the news media and academic papers reported on possible changes in electricity consumption trend. The overall theme of these reports, many of which focused on Europe, was that “electricity use has decreased during the pandemic, but the power grid is still reliable”. In this paper we analyze electricity data upto the middle of May 2020, examining both electricity demand and variables that can indicate stress on the power grid, such as peak demand and demand ramp-rate. We limit this study to three states in the USA: New York, California, and Florida. The results indicate that the effect of the pandemic on electricity demand is not a simple reduction from comparable time frames, and there is a large difference among regions. The variables that can indicate stress on the grid also conveyed a mixed messages: some indicate an increase in stress and some indicate a decrease. A positive message is that most changes that were observed around the time stay-at-home orders were issued also appeared to be reverting back. A key challenge in ascribing any observed change to the pandemic is correcting for other weather. We provide a weather-correction method and apply it to a small city-wide area. The exercise underscored that weather-correction is as challenging as it is important.</w:t>
      </w:r>
    </w:p>
    <w:p>
      <w:r>
        <w:t>POSSIBLE 2020: THE IMPACT OF THE COVID-19 PANDEMIC ON ELECTRICITY DEMAND IN CROATIA — https://openalex.org/W3083264106</w:t>
      </w:r>
    </w:p>
    <w:p>
      <w:r>
        <w:t>Shared claim-specific concepts: electricity, decrease, significantly, total; EU scope visible. This is a provisional connection, not an outcome finding.</w:t>
      </w:r>
    </w:p>
    <w:p>
      <w:r>
        <w:t xml:space="preserve">Available abstract (not full text): Electricity as the energy form of final energy consumption is necessary for functioning of economy and society in general It is an input in creating added value for goods and services in national economies The correlation between electricity consumption and gross domestic product, as the most significant macroeconomic variable, is strong Electricity indisputably has a positive impact on a nation's standard and its growth as it is necessary for functioning of the life of individuals and families in their households with regard to their technological equipment The importance of electricity is also seen in exceptional, extraordinary circumstances where significant, sudden in functioning of societies and countries in general occur One of such extraordinary disturbances is an occurrence of various pandemics The latest one appeared in the first quarter of 2020 in almost all countries in the world Croatia was no exception, and the pandemic has impacted its functioning For the first time in the most recent history of the world all countries were brought to a state of isolation from other countries in the world and a shutdown of almost the entire economic activity i e the lockdown The COVID-19 pandemic broke out in China in December 2019, and its world-wide spread, with the exponential growth in the number of infected and death cases as pandemic consequences, has impacted a significant </w:t>
      </w:r>
    </w:p>
    <w:p>
      <w:pPr>
        <w:pStyle w:val="Heading2"/>
      </w:pPr>
      <w:r>
        <w:t>European electricity sector decarbonization under different levels of foresight</w:t>
      </w:r>
    </w:p>
    <w:p>
      <w:r>
        <w:t>Original source (2019): https://doi.org/10.1016/j.renene.2019.02.099</w:t>
      </w:r>
    </w:p>
    <w:p>
      <w:r>
        <w:t>Original wording (abstract; indexed_source_text_not_full_document_verified): The European Union has set out to reduce the carbon intensity of its electricity generation substantially, as defined in the European Roadmap 2050. Using a CO2 budgetary approach, on the other hand, leads to an even sharper emission reduction in the early periods before 2030, reducing overall costs.</w:t>
      </w:r>
    </w:p>
    <w:p>
      <w:r>
        <w:t>POSSIBLE 2024: The European Union and the Wider Europe — https://doi.org/10.1017/9781009230322.017</w:t>
      </w:r>
    </w:p>
    <w:p>
      <w:r>
        <w:t>Shared claim-specific concepts: union, set, out, other; EU scope visible. This is a provisional connection, not an outcome finding.</w:t>
      </w:r>
    </w:p>
    <w:p>
      <w:r>
        <w:t>Available abstract (not full text):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r>
        <w:t>POSSIBLE 2024: European Union Law — https://doi.org/10.1017/9781009230322</w:t>
      </w:r>
    </w:p>
    <w:p>
      <w:r>
        <w:t>Shared claim-specific concepts: union, set, out, other; EU scope visible. This is a provisional connection, not an outcome finding.</w:t>
      </w:r>
    </w:p>
    <w:p>
      <w:r>
        <w:t>Available abstract (not full text):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r>
        <w:t>POSSIBLE 2024: European Integration and the Treaties on European Union — https://doi.org/10.1017/9781009230322.008</w:t>
      </w:r>
    </w:p>
    <w:p>
      <w:r>
        <w:t>Shared claim-specific concepts: union, set, out, other; EU scope visible. This is a provisional connection, not an outcome finding.</w:t>
      </w:r>
    </w:p>
    <w:p>
      <w:r>
        <w:t>Available abstract (not full text): This new edition sets out an account of EU law that includes not only that law's established features, but captures its development in recent years and the challenges facing the European Union. With dedicated new chapters on climate change, data protection, free movement of capital, and the EU's relations with other European States, topics such as the Union's response to covid-19 and the Ukraine crisis are addressed in detail. As with previous editions, the new edition integrates case law, legislation, academic materials and wider policy contributions in a way that broadens students' understanding of the law and prompts greater critical reflection on the limits, challenges, and possibilities of EU law. It seeks to set out EU law not so much as a series of laws to be learned but as something that stimulates heavy debate about some of the most contentious and significant issues of our time.</w:t>
      </w:r>
    </w:p>
    <w:p>
      <w:r>
        <w:t>POSSIBLE 2023: Economic Interdependence between Norway and The European Union Compared to Switzerland and The European Union — https://doi.org/10.34010/gpsjournal.v7i1.8697</w:t>
      </w:r>
    </w:p>
    <w:p>
      <w:r>
        <w:t>Shared claim-specific concepts: union, set, out; EU scope visible. This is a provisional connection, not an outcome finding.</w:t>
      </w:r>
    </w:p>
    <w:p>
      <w:r>
        <w:t>Available abstract (not full text): Norway and Switzerland have a history of being part of the European Union (EU) and eventually opting out. Though, as a part of the European Economic Area allows Norway to integrate and participate with the EU’s single market. Similarly, Switzerland can participate in and access the European single market through a set of bilateral agreements with the EU. Consequently, both countries must accept a set of rules by the EU. This paper aims to compare and examine the bilateral relations maintained between Norway and the EU compared to Switzerland and the EU in the field of economic cooperation namely the trade and investment sectors in the aftermath of the financial crisis. This paper incorporates two types of analysis. The first part uses quantitative methods of descriptive statistical analysis and is followed by strength, weakness, opportunities, and threat (SWOT) analysis. This paper demonstrates that the bilateral relations between Norway and the EU as well as for Switzerland and the EU have created conditions of interdependence for both the EU and its partners, namely, Norway and Switzerland. Keywords— European Union, Interdependence, Norway, Switzerland</w:t>
      </w:r>
    </w:p>
    <w:p>
      <w:r>
        <w:t>POSSIBLE 2022: The cultural policy of the European Union — https://doi.org/10.4337/9781800375932.00021</w:t>
      </w:r>
    </w:p>
    <w:p>
      <w:r>
        <w:t>Shared claim-specific concepts: union, set, out; EU scope visible. This is a provisional connection, not an outcome finding.</w:t>
      </w:r>
    </w:p>
    <w:p>
      <w:r>
        <w:t>Available abstract (not full text): The study reviews the development of EU cultural policy over the past decades. It sets out its foundations in the Treaty on European Union and the Treaty on the Functioning of the European Union, and the role of the EU's various institutions. It assesses the consecutive generations of programmes such as Ariane, Kaleidoscope and Raphael, the European Capital of Culture, the Culture 2000 Programme and its successors, and the Creative Europe Programme (2014 to 2020). The impact of the UNESCO Convention on Cultural Diversity is covered as well. The author concludes that the Union still regards cultural policy mainly as a means to further integration. Although, by now the identity building function of EU cultural policy became less manifest, the different cultural programmes follow a much more comprehensive set of goals. However, some inherent aspects of cultural diversity are still not tackled properly, especially the problem of ethnic minorities.</w:t>
      </w:r>
    </w:p>
    <w:p>
      <w:r>
        <w:t>POSSIBLE 2022: Gender Mainstreaming the European Union Energy Transition — https://doi.org/10.3390/en15218087</w:t>
      </w:r>
    </w:p>
    <w:p>
      <w:r>
        <w:t>Shared claim-specific concepts: union, set, out; EU scope visible. This is a provisional connection, not an outcome finding.</w:t>
      </w:r>
    </w:p>
    <w:p>
      <w:r>
        <w:t>Available abstract (not full text): This paper explores gender dimensions of the energy transition in the European Union (EU). The EU has set out its ambitions for an equitable transition to clean secure energy. It has also set out it objectives for gender equality. In this paper, I implement a systematic literature review to explore the intersection of gender issues with the energy transition in the EU. There is little peer reviewed literature in this area. Analysis of academic papers shows most focus on social science rather than technical or engineering problems. A critical review of the grey literature including EU policies and reports shows that there is a disconnect between EU gender equality and clean energy plans and that gender has yet to be mainstreamed into the EU energy transition. This review identifies opportunities to mainstream gender into EU energy policies by linking to EU gender equality objectives, and connecting to gender-energy research themes.</w:t>
      </w:r>
    </w:p>
    <w:p>
      <w:r>
        <w:t>POSSIBLE 2022: A comprehensive indicator set for measuring the sustainable energy performance in the European Union — https://doi.org/10.1201/9781003259954-2</w:t>
      </w:r>
    </w:p>
    <w:p>
      <w:r>
        <w:t>Shared claim-specific concepts: union, set, out, approach; EU scope visible. This is a provisional connection, not an outcome finding.</w:t>
      </w:r>
    </w:p>
    <w:p>
      <w:r>
        <w:t>Available abstract (not full text):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r>
        <w:t>POSSIBLE 2021: The European Union and Yemen — https://doi.org/10.4324/9780429317873-38</w:t>
      </w:r>
    </w:p>
    <w:p>
      <w:r>
        <w:t>Shared claim-specific concepts: union, set, out; EU scope visible. This is a provisional connection, not an outcome finding.</w:t>
      </w:r>
    </w:p>
    <w:p>
      <w:r>
        <w:t>Available abstract (not full text): Yemen is one of the most volatile countries in the Middle East not least as the site of a conflict which has claimed thousands of lives and caused humanitarian catastrophe. Despite this, the country has always occupied a marginal place in the foreign policy of the European Union (EU). This chapter will provide an overview of EU–Yemeni relations since the formation of the modern Republic of Yemen in 1990 with a focus on policies of the Union in the areas of development and political reform as set out in the Country Strategy Paper. It will then examine the role played by the EU in response to the 2011 uprising and in the transitional period that followed, in particular in relation to the National Dialogue Conference. Finally, the chapter will examine the response of the EU to the conflict that has devastated the country since 2015 and, especially, European efforts to mediate between the warring parties. The chapter will examine the extent to which the efforts of the EU have been undermined by the sometimes divergent interests of individual Member States in the region more broadly. It will conclude with a reflection on the possible future course of EU–Yemeni relations.</w:t>
      </w:r>
    </w:p>
    <w:p>
      <w:r>
        <w:t>POSSIBLE 2021: Diplomatic service of the European Union — https://doi.org/10.37772/2309-9275-2021-2(17)-3</w:t>
      </w:r>
    </w:p>
    <w:p>
      <w:r>
        <w:t>Shared claim-specific concepts: union, set, out; EU scope visible. This is a provisional connection, not an outcome finding.</w:t>
      </w:r>
    </w:p>
    <w:p>
      <w:r>
        <w:t>Available abstract (not full text): Problem setting. Today the European Union interacts with the whole world and represents the interests and values of the European community far beyond one continent. Carrying out such activities provides for the existence of effective institutions for its implementation, which today are the European External Action Service and the European Uniondelegations around the world. It significantly differs from the classical manifestations of diplomacy, which determines the relevance of research into the establishment and development of the European Union diplomatic service. Moreover, understanding the process of formation and features of European Union diplomacy is interesting for domestic researchers of European Union law given the pro-European aspirations of Ukraine. Analysis of recent researches and publications. Certain aspects of this topic have been studied by suchdomesticscientistsas F. Baranovsky, M. Hnatyuk, O. Grinenko, O. Gladenko, M. Entin, O. Opanasyuk-Radlinska, E. Ryaboshtan, D. Tkachenko, O. Turchenko, Y.Sergienko, V. Streltsova, G. Utko, O. Fisun, V. Tsivaty, V. Shamraeva, O. Shapovalova, etc. Target of research is to research the basic preconditions and features of the establishment and development of the European Union diplomatic service and its functioning in today’s conditions. Article’s main body. The article is devoted to the study of the main prerequisites and f</w:t>
      </w:r>
    </w:p>
    <w:p>
      <w:r>
        <w:t>POSSIBLE 2021: Sustainability in the European Union: Analyzing the Discourse of the European Green Deal — https://doi.org/10.3390/jrfm14020080</w:t>
      </w:r>
    </w:p>
    <w:p>
      <w:r>
        <w:t>Shared claim-specific concepts: union, out, other, hand; EU scope visible. This is a provisional connection, not an outcome finding.</w:t>
      </w:r>
    </w:p>
    <w:p>
      <w:r>
        <w:t>Available abstract (not full text):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r>
        <w:t>POSSIBLE 2020: European Union — https://doi.org/10.1017/9781839700507.019</w:t>
      </w:r>
    </w:p>
    <w:p>
      <w:r>
        <w:t>Shared claim-specific concepts: union, set, out, periods, before; EU scope visible. This is a provisional connection, not an outcome finding.</w:t>
      </w:r>
    </w:p>
    <w:p>
      <w:r>
        <w:t>Available abstract (not full text): INTRODUCTION As concerns the issue of limitation periods on claims in tort, there are three dimensions in EU law. First, limitation of claims brought against the EU itself has been regulated. This is the primary subject matter of the present report. Second, in striving to harmonise national laws and ensure the functioning of the common market, the EU enacts directives requiring the implementation of specified regulations into domestic law. At times these directives concern tort law, and make reference in some scope to the issue of limitation periods. Third, the issue of expiry of claims appears in conjunction with the liability of a Member State for damage caused by a violation of EU law; such liability is subject to a mixed set of regulations, both national and European. The second and third issues are the focus of the last fragment of the report. DEFINITION OF PRESCRIPTION Expiry of a claim for damages against the EU 1 is regulated in art 46 of the Statute of the Court of Justice of the European Union. Article 46 Proceedings against the Union in matters arising from non-contractual liability shall be barred after a period of five years from the occurrence of the event giving rise thereto. The period of limitation shall be interrupted if proceedings are instituted before the Court of Justice or if prior to such proceedings an application is made by the aggrieved party to the r</w:t>
      </w:r>
    </w:p>
    <w:p>
      <w:r>
        <w:t>POSSIBLE 2020: Policies for transitioning towards a circular economy: Expectations from the European Union (EU) — https://doi.org/10.1016/j.resconrec.2019.104634</w:t>
      </w:r>
    </w:p>
    <w:p>
      <w:r>
        <w:t>Shared claim-specific concepts: union, set, out, hand; EU scope visible. This is a provisional connection, not an outcome finding.</w:t>
      </w:r>
    </w:p>
    <w:p>
      <w:r>
        <w:t>Available abstract (not full text): The circular economy is a much discussed pathway towards sustainability. While some scholarly work has been carried out on barriers towards a circular economy, there are relatively few academic studies on policies that may accelerate a transition towards a circular economy. Those that focus on policies mostly scrutinize existing policies. The study at hand utilizes data from semi-structured interviews with 47 public and private sector circular economy experts from the European Union to explore expectations regarding circular economy policies, with expectations possibly going beyond existing policies. Expectations identified via this work include more robust standards and norms in production, expansion of circular procurement, tax relief for circular products, liberalization of waste trading and its facilitation through virtual platforms, support for eco-industrial parks, and awareness campaigns. The set of policy recommendations is presented from a life-cycle perspective that is necessary for a transition towards a circular economy. The study aims to contribute to the nascent body of circular economy literature concerning policies and may be of particular interest to practitioners.</w:t>
      </w:r>
    </w:p>
    <w:p>
      <w:pPr>
        <w:pStyle w:val="Heading2"/>
      </w:pPr>
      <w:r>
        <w:t>Flexible electricity generation, grid exchange and storage for the transition to a 100% renewable energy system in Europe</w:t>
      </w:r>
    </w:p>
    <w:p>
      <w:r>
        <w:t>Original source (2019): https://doi.org/10.1016/j.renene.2019.02.077</w:t>
      </w:r>
    </w:p>
    <w:p>
      <w:r>
        <w:t>Original wording (abstract; indexed_source_text_not_full_document_verified): Two transition pathways towards a 100% renewable energy (RE) power sector by 2050 are simulated for Europe using the LUT Energy System Transition model. Results of the optimisation suggest that the levelised cost of electricity could fall from the current 69 €/MWh to 56 €/MWh in the Regions scenario and 51 €/MWh in the Area scenario through the adoption of low cost, flexible RE generation and energy storage.</w:t>
      </w:r>
    </w:p>
    <w:p>
      <w:r>
        <w:t>POSSIBLE 2026: European Circular Economy Structural Typology Based on Multivariate Analysis of Latent Dimensions and Transition Pathways — https://doi.org/10.1002/sd.71629</w:t>
      </w:r>
    </w:p>
    <w:p>
      <w:r>
        <w:t>Shared claim-specific concepts: two, transition, pathways, energy; EU scope visible. This is a provisional connection, not an outcome finding.</w:t>
      </w:r>
    </w:p>
    <w:p>
      <w:r>
        <w:t>Available abstract (not full text): ABSTRACT Transition towards a circular economy has become a strategic priority for the European Union, although Member States continue to exhibit substantial differences in economic performance, resource efficiency and circular economy implementation. Understanding these structural differences is essential for designing effective policy interventions. This study identifies latent dimensions of circular economy performance and develops a statistically validated structural typology of circular economy transition pathways across the EU‐27. The analysis uses a balanced panel of 378 country‐year observations covering 27 European Union Member States during 2010–2023, based on six harmonised Eurostat indicators. Following logarithmic transformation and Z ‐score standardisation, the analytical framework combines Principal Component Analysis, Horn's Parallel Analysis, K‐means++ clustering, cluster validation criteria (Elbow, Silhouette, Calinski–Harabasz and Davies–Bouldin indices), post hoc statistical tests, and temporal robustness analysis. Two latent dimensions explain 79.53% of total variance, representing economic and resource‐energy performance and circular economy transition intensity. These dimensions identify four statistically distinct country groups, revealing persistent structural differences in the way Member States combine productive efficiency with circular economy imple</w:t>
      </w:r>
    </w:p>
    <w:p>
      <w:r>
        <w:t>POSSIBLE 2026: Two universal pathways in demographic transition — https://doi.org/10.1017/ehs.2026.10054</w:t>
      </w:r>
    </w:p>
    <w:p>
      <w:r>
        <w:t>Shared claim-specific concepts: two, transition, pathways, regions, low; EU scope not established. This is a provisional connection, not an outcome finding.</w:t>
      </w:r>
    </w:p>
    <w:p>
      <w:r>
        <w:t>Available abstract (not full text): Abstract Demographic transition, characterised by declines in fertility and mortality, is a global phenomenon associated with modernisation. While typical patterns of fertility decline have been described mainly in Western countries, their applicability to other regions and the underlying mechanisms remain unclear. Using data spanning 1800–2020 from 237 countries and territories, this study identifies two universal pathways in the change in the crude birth rate (births per 1,000 person-years, λ) and period life expectancy at birth (e0). Most countries’ demographic trajectories follow one of these two pathways or shift between them. These pathways define phases governed by different mechanisms. Phase I, conserving λe0, dominated until the mid-20th century and was characterised by high child mortality and steady population growth. By contrast, Phase II, conserving λ exp(e0/17), has prevailed since 1950 and is marked by low child mortality and steady growth in GDP per capita. A theoretical model considering the trade-off between reproduction and education elucidates the transition between these phases. The transition to Phase II is accelerated by declining educational costs, rising social mobility, and cultural transmission linked to modernisation and Westernisation. This study demonstrates quantitative regularities between fertility and longevity during demographic transition and</w:t>
      </w:r>
    </w:p>
    <w:p>
      <w:r>
        <w:t>POSSIBLE 2026: GreenPaths project: European knowledge hub on just transition pathway. Deliverable number: D4.3 Discussion paper on the political economy of green transitions — https://openalex.org/W7222857412</w:t>
      </w:r>
    </w:p>
    <w:p>
      <w:r>
        <w:t>Shared claim-specific concepts: transition, pathways, power; EU scope visible. This is a provisional connection, not an outcome finding.</w:t>
      </w:r>
    </w:p>
    <w:p>
      <w:r>
        <w:t>Available abstract (not full text): This discussion paper, on the political economy of just transitions, examines how power relations, economic structures, and political institutions work towards shaping policy outcomes and distributional consequences in the context of just transition. It moves beyond technical or managerial framings to interrogate the costs and benefits – or who might win or lose – from different transition pathways, how capital accumulation patterns are reconfigured or reproduced, and which social forces drive or resist transformation. Hence, the discussion paper adopts a political economy lens to reveal the underlying conflicts and power asymmetries that different stakeholders’ positions reflect, and to assess whether proposed transition frameworks challenge or reinforce existing patterns of inequality and exploitation.</w:t>
      </w:r>
    </w:p>
    <w:p>
      <w:r>
        <w:t>POSSIBLE 2026: D8.2: 'Just' transition pathway &amp; intermediate targets — https://doi.org/10.5281/zenodo.20486783</w:t>
      </w:r>
    </w:p>
    <w:p>
      <w:r>
        <w:t>Shared claim-specific concepts: two, transition, pathways; EU scope visible. This is a provisional connection, not an outcome finding.</w:t>
      </w:r>
    </w:p>
    <w:p>
      <w:r>
        <w:t>Available abstract (not full text): This report, developed by the ZeroW Policy Team under Task 8.2: A ‘just’ transition pathway and intermediate targets to near-zero FLW by 2050 (Grant Agreement no. 101036388), examines what a just and realistic pathway for reducing Food Loss and Waste in the European Union could look like by 2030. Building on the modelling simulations presented in D8.1, the report analyses three alternative transition policy pathways, identifies key trade offs and threshold levels, and proposes intermediate targets that balance ambition with feasibility. The findings are validated through stakeholder input gathered during two working group roundtables and further informed by the work of the ZeroW Systemic Innovation Living Labs. The deliverable also presents a set of Just Pathway Actions designed to support policymakers in addressing unintended consequences, enabling fair implementation, and shaping more targeted policy interventions for future EU policy briefs.</w:t>
      </w:r>
    </w:p>
    <w:p>
      <w:r>
        <w:t>POSSIBLE 2025: European Energy Vision 2060: Charting Diverse Pathways for Europe's Energy Transition — https://doi.org/10.48550/arxiv.2501.12993</w:t>
      </w:r>
    </w:p>
    <w:p>
      <w:r>
        <w:t>Shared claim-specific concepts: two, transition, pathways, energy, system, current; EU scope visible. This is a provisional connection, not an outcome finding.</w:t>
      </w:r>
    </w:p>
    <w:p>
      <w:r>
        <w:t>Available abstract (not full text): Europe is warming at the fastest rate of all continents, experiencing a temperature increase of about 1°C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considering key uncertainty pillars -- categorized under social, technological, economic, political, and geopolitical aspects.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plans until 2060</w:t>
      </w:r>
    </w:p>
    <w:p>
      <w:r>
        <w:t>POSSIBLE 2023: An assessment of different transition pathways to a green global economy — https://doi.org/10.1038/s43247-023-01109-5</w:t>
      </w:r>
    </w:p>
    <w:p>
      <w:r>
        <w:t>Shared claim-specific concepts: transition, pathways, renewable, energy, sector; EU scope not established. This is a provisional connection, not an outcome finding.</w:t>
      </w:r>
    </w:p>
    <w:p>
      <w:r>
        <w:t>Available abstract (not full text): Abstract Transition to green economy is urgently needed in order to reach the climate targets by the end of this century. We investigate the optimal pathways for transitioning of the global economy from one dominated by the fossil-fueled (brown) sector to one dominated by the zero-emission (green) sector. We consider three transition regimes: a "Linear" regime with a constant growth rate of the green sector, a "Delayed" regime composed of a much lower early growth rate until 2050 followed by a higher growth rate afterwards, and a "Fast" regime composed of a much higher early growth rate until 2050 followed by a slower growth rate afterwards. Our results indicate that the labor market is more sensitive to the pace of transition than the capital market. We also find that slow green growth under the "Delayed" regime induces higher rates of abatement in the brown sector which are amplified by early R&amp;D investment in green capital productivity. Finally, we show that rapid transition to green economy requires substantial upfront investment in renewable energy infrastructure and human capital development which in turn, reduces greenhouse gas emissions by 60% in 2050 compared to the "Delayed" regime.</w:t>
      </w:r>
    </w:p>
    <w:p>
      <w:r>
        <w:t>POSSIBLE 2023: AdJUST: Potential Pathways of a Just Energy Transition in Europe — https://doi.org/10.20446/jep-2414-3197-39-3-139</w:t>
      </w:r>
    </w:p>
    <w:p>
      <w:r>
        <w:t>Shared claim-specific concepts: transition, pathways, energy; EU scope visible. This is a provisional connection, not an outcome finding.</w:t>
      </w:r>
    </w:p>
    <w:p>
      <w:r>
        <w:t>Available abstract (not full text): Unavailable</w:t>
      </w:r>
    </w:p>
    <w:p>
      <w:r>
        <w:t>POSSIBLE 2023: The impact of methane leakage on the role of natural gas in the European energy transition — https://doi.org/10.1038/s41467-023-41527-9</w:t>
      </w:r>
    </w:p>
    <w:p>
      <w:r>
        <w:t>Shared claim-specific concepts: transition, pathways, renewable, energy, system, current; EU scope visible. This is a provisional connection, not an outcome finding.</w:t>
      </w:r>
    </w:p>
    <w:p>
      <w:r>
        <w:t>Available abstract (not full text): Abstract Decarbonising energy systems is a prevalent topic in the current literature on climate change mitigation, but the additional climate burden caused by methane emissions along the natural gas value chain is rarely discussed at the system level. Considering a two-basket greenhouse gas neutrality objective (both CO 2 and methane), we model cost-optimal European energy transition pathways towards 2050. Our analysis shows that adoption of best available methane abatement technologies can entail an 80% reduction in methane leakage, limiting the additional environmental burden to 8% of direct CO 2 emissions (vs. 35% today). We show that, while renewable energy sources are key drivers of climate neutrality, the role of natural gas strongly depends on actions to abate both associated CO 2 and methane emissions. Moreover, clean hydrogen (produced mainly from renewables) can replace natural gas in a substantial proportion of its end-uses, satisfying nearly a quarter of final energy demand in a climate-neutral Europe.</w:t>
      </w:r>
    </w:p>
    <w:p>
      <w:r>
        <w:t>POSSIBLE 2022: Policy Instruments to Support Agroecological Transitions in Europe — https://doi.org/10.1111/1746-692x.12367</w:t>
      </w:r>
    </w:p>
    <w:p>
      <w:r>
        <w:t>Shared claim-specific concepts: two, transition, system; EU scope visible. This is a provisional connection, not an outcome finding.</w:t>
      </w:r>
    </w:p>
    <w:p>
      <w:r>
        <w:t>Available abstract (not full text): Summary Agroecological transitions have the potential to deliver multiple environmental and social benefits. However socio‐economic barriers have prevented those transitions in many European contexts. This article aims to inform policymakers about policy instruments that can foster agroecological transitions in Europe, especially by removing key socio‐economic barriers. A multi‐step methodology was carried out over a two‐year period in 15 case studies across Europe. The case studies represent farming systems that are in the process of initiating or enhancing the transition. Data collection relied on a participatory process, involving a variety of transdisciplinary actors. Study findings identify three major themes of barriers to agroecological transitions, namely actor capacity , value chain and policy . To address these barriers, policy instruments should consider the farming system’s stage in the transition pathway to take account of the different priorities of local actors. At the stage of initiating the transition, removing the barriers requires improvements in knowledge delivery mechanisms by strengthening advisory services and reducing decision‐makers’ uncertainty. At the stage of enhancing the transition, a focus on social capital is needed, for example by strengthening networking and cooperation measures. Generally, more attention towards state interventions which suppo</w:t>
      </w:r>
    </w:p>
    <w:p>
      <w:r>
        <w:t>POSSIBLE 2022: Reflecting the energy transition from a European perspective and in the global context—Relevance of solar photovoltaics benchmarking two ambitious scenarios — https://doi.org/10.1002/pip.3659</w:t>
      </w:r>
    </w:p>
    <w:p>
      <w:r>
        <w:t>Shared claim-specific concepts: two, transition, renewable, energy, power, sector; EU scope visible. This is a provisional connection, not an outcome finding.</w:t>
      </w:r>
    </w:p>
    <w:p>
      <w:r>
        <w:t xml:space="preserve">Available abstract (not full text): Abstract Multiple energy‐related crises require a fast transition towards a sustainable energy system. The European Green Deal aims for zero CO 2 emission by 2050, while accelerating climate change impacts obligate a faster phase‐out of fossil fuels. Energy transition studies for Europe at and near 100% renewable energy are used as a benchmark for two newly introduced scenarios for Europe reaching zero CO 2 emissions by 2050 and 2040. A technology‐rich energy system model was applied in hourly resolution for Europe in 20 interconnected regions and in full sector coupling covering all energy demands. The results reveal a cost‐neutral energy transition towards 2050 based on declining levelised cost of electricity and a pathway with 9% higher energy costs leading to 17% lower total CO 2 emissions with an accelerated energy transition by 2040. The two scenarios find shares of solar photovoltaic (PV) in total generation of 61%–63% by 2050, the highest ever estimated for Europe, still below the highest global average shares ranging between 75% and 77% form three independent studies. The central energy system components are solar PV, wind power, batteries, electrolysers and CO 2 direct air capture for carbon capture and utilisation. The core characteristic of the European energy future may be best described by a power‐to‐X economy, which may evolve on the global scale to a solar‐to‐X </w:t>
      </w:r>
    </w:p>
    <w:p>
      <w:r>
        <w:t>POSSIBLE 2022: Pathways of Transition to Organic Agriculture in Morocco — https://doi.org/10.3390/world3030040</w:t>
      </w:r>
    </w:p>
    <w:p>
      <w:r>
        <w:t>Shared claim-specific concepts: transition, pathways, sector, system, current, area; EU scope not established. This is a provisional connection, not an outcome finding.</w:t>
      </w:r>
    </w:p>
    <w:p>
      <w:r>
        <w:t>Available abstract (not full text): Agriculture is a vital sector in Morocco through its contribution to the gross domestic product (13%) and workforce (30%). However, the sector faces important sustainability challenges due to Morocco’s dependence on rain-fed crops for 90% of the production and its vulnerability to climate change. In this context, organic agriculture presents itself as a promising alternative to valorize production and mitigate climate change effects. This article describes the dynamics and development of the organic agriculture niche in Morocco through the lens of the Multi-Level Perspective (MLP) on socio-technical transitions. The MLP is a widely used framework that bases its analysis on transitions being the result of the interaction of niches, socio-technical regimes, and socio-technical landscape. Results of the literature review and semi-structured interviews show that, although the organic niche is relatively well established (11,000 ha of organic land area in 2019), it is still developing at a slower rate than expected due to multiple setbacks. While organic farming does solve many sustainability challenges that Moroccan agriculture faces, it still lacks the infrastructure and human capital to succeed as a niche. All in all, organic farming is still in the first transition stages and can follow a multitude of pathways before becoming relevant in the current agri-food system.</w:t>
      </w:r>
    </w:p>
    <w:p>
      <w:r>
        <w:t>POSSIBLE 2020: Developing Transition Pathways towards Sustainable Mobility in European Cities — https://openalex.org/W3217687997</w:t>
      </w:r>
    </w:p>
    <w:p>
      <w:r>
        <w:t>Shared claim-specific concepts: two, transition, pathways; EU scope visible. This is a provisional connection, not an outcome finding.</w:t>
      </w:r>
    </w:p>
    <w:p>
      <w:r>
        <w:t>Available abstract (not full text): To create a climate-neutral Europe and liveable cities by 2050, transitions towards sustainable urban mobility need to be accelerated. To make these goals possible, cities need a clear long-term vision and a strategic pathway charting these transitions– as well as practical skills in relation to implementation in shorter-term. This report provides an evidence-based conceptual framework for how such transition pathways might look and implementation strategies for them, whilst and implementation strategies, and provides two sets of practical guidance to support European cities in developing these.</w:t>
      </w:r>
    </w:p>
    <w:p>
      <w:pPr>
        <w:pStyle w:val="Heading2"/>
      </w:pPr>
      <w:r>
        <w:t>Foresight in Higher Education Institutions: Evidence from Poland</w:t>
      </w:r>
    </w:p>
    <w:p>
      <w:r>
        <w:t>Original source (2019): https://doi.org/10.17323/2500-2597.2019.1.77.89</w:t>
      </w:r>
    </w:p>
    <w:p>
      <w:r>
        <w:t>Original wording (abstract; indexed_source_text_not_full_document_verified): By analyzing them one can gain valuable knowledge on both preferable and less-favored alternatives, which on the one hand suggest which actions may lead to their realization, but on the other,indicate specific actions that may lead to the abandonment of undesirable paths in favor of the most conducive vision. The paper substantiates the effectiveness of using foresight for these purposes, which is confirmed by the experience of the project on the development of scenarios for the Faculty of Engineering Management (FEM) of Bialystok Technical University (Poland) for the period up to 2035.</w:t>
      </w:r>
    </w:p>
    <w:p>
      <w:r>
        <w:t>POSSIBLE 2025: 3 Europe as the Crisis of Play — https://doi.org/10.1515/9781438499819-004</w:t>
      </w:r>
    </w:p>
    <w:p>
      <w:r>
        <w:t>Shared claim-specific concepts: them, one, hand, suggest, other, indicate; EU scope visible. This is a provisional connection, not an outcome finding.</w:t>
      </w:r>
    </w:p>
    <w:p>
      <w:r>
        <w:t>Available abstract (not full text): In this chapter, I try to introduce one hypothesis about the essence of European modernity, namely, that it should be defined as the cultural invention of seriousness.I begin by examining one of the things that we take to be raising questions about the very essence of Modern Europe, namely, the current refugee crisis and its effects on European societies and institutions.I suggest that what this crisis indicates, as it were negatively, is that Europe is to be defined as a social, historical, and existential compound informed by a tension between care and action.I continue by examining the relations between Europe so defined and the more traditional Nietzschean idea of Europe as nihilism.This allows me to make the initial suggestion more palatable as well as to analyze the implications of the tension between care and action in ontological terms.Finally, I suggest that the resulting notion of Europe is most consonant with one offhand remark from Johan Huizinga's Homo Ludens (1938), where he seems to define European modernity as the dismantlement of play.I conclude that the examination of the refugee crisis and nihilism, on the one hand, and of play, on the other, reflect fruitfully on each other.All of this, it goes without saying, is highly speculative and programmatic.Crises indicate essences: in any crisis worthy of the name, what is at stake for the entity facing the crisis i</w:t>
      </w:r>
    </w:p>
    <w:p>
      <w:r>
        <w:t>POSSIBLE 2025: Animal Welfare Protocols and Labelling Schemes for Broilers in Europe — https://doi.org/10.3390/poultry4030029</w:t>
      </w:r>
    </w:p>
    <w:p>
      <w:r>
        <w:t>Shared claim-specific concepts: them, one, both; EU scope visible. This is a provisional connection, not an outcome finding.</w:t>
      </w:r>
    </w:p>
    <w:p>
      <w:r>
        <w:t>Available abstract (not full text): Nowadays, consumers are becoming increasingly concerned about the husbandry conditions under which animals are raised, particularly broilers, since broilers are one of the species whose welfare is most impaired in intensive farming systems. One of the primary means of communicating husbandry practices to consumers is through product labelling. Thus, a rising number of animal welfare labelling schemes for broilers are being developed and used across Europe by initiatives of both public and private stakeholders, including NGOs that advocate for animal welfare. This review aims to identify, analyze, and compare these labelling schemes with a focus on the main animal welfare provisions included in them, which contribute to enhanced animal welfare. The schemes were identified through web searches, so that we could visit their official websites, access their standards and regulations and study them in detail. We included in our research only those schemes whose criteria were publicly available. In total, 16 schemes were selected and analyzed. Although these schemes vary in their criteria, they all enhance the welfare standards of broiler production, primarily through incorporating environmental enrichment and/or access to the outdoors. Most schemes define and specify in detail the required animal welfare provisions, setting a clear application frame for the raising period of the bird</w:t>
      </w:r>
    </w:p>
    <w:p>
      <w:r>
        <w:t>POSSIBLE 2024: Housing conditions in European one-person households — https://doi.org/10.1371/journal.pone.0303295</w:t>
      </w:r>
    </w:p>
    <w:p>
      <w:r>
        <w:t>Shared claim-specific concepts: them, both, actions; EU scope visible. This is a provisional connection, not an outcome finding.</w:t>
      </w:r>
    </w:p>
    <w:p>
      <w:r>
        <w:t>Available abstract (not full text): This study addresses the satisfaction of housing-related needs in single-person households across European countries. The primary objective is to assess the housing satisfaction of single-person households in European countries, specifically within the Visegrad Group. The study seeks to identify trends in housing conditions, create a ranking of countries based on these conditions, and categorize countries with similar levels of unmet housing needs. The study employs statistical measures and methods to achieve its objectives. Time series are constructed for European countries, and linear trends are analyzed to identify statistically significant changes in selected housing aspects from 2005 to 2022. Various research tasks, including ranking countries and grouping them based on housing conditions, are accomplished using established methods like linear ranking and Ward's cluster analysis. Key findings include significant variations in financial burdens related to housing costs, thermal comfort, environmental pollution, and safety issues across European countries. The study reveals both improvements and challenges in housing conditions from 2005 to 2022 in one-person households. For instance, financial stress due to housing costs decreased in some countries, while thermal comfort issues improved in several nations. The results also highlight the heterogeneity within the Visegrad Gro</w:t>
      </w:r>
    </w:p>
    <w:p>
      <w:r>
        <w:t>POSSIBLE 2023: Fighting depopulation in Europe by analyzing the financial risks of local governments — https://doi.org/10.1177/00208523231158982</w:t>
      </w:r>
    </w:p>
    <w:p>
      <w:r>
        <w:t>Shared claim-specific concepts: analyzing, them, one, specific; EU scope visible. This is a provisional connection, not an outcome finding.</w:t>
      </w:r>
    </w:p>
    <w:p>
      <w:r>
        <w:t>Available abstract (not full text): Throughout Europe, one of the main problems facing policymakers is that of falling rural populations. In many cases, this is aggravated by high levels of local government borrowing. Although researchers have sought to determine the causes of this debt, much remains to be known about the factors influencing the default risk of small- and medium-sized towns, information that would help them formulate policies to combat the loss of population. The aim of our study is to identify factors relevant to this default risk. We analyzed demographic, socioeconomic, and financial factors in a sample of 6456 Spanish local governments by their population size. Our findings show that financial policies applied to reduce this risk should vary according to the population size, as certain factors exert a specific influence on smaller municipalities. Nevertheless, socioeconomic and financial variables have more impact on default risk than demographic factors. Our findings are novel and useful for all concerned in combating the depopulation of rural areas in Europe, owing to the relevance of conclusions for the design of public policies based on the sustainability of public services in small municipalities. Points for practitioners The measurement of the default risk in local governments reveals very relevant information for the design of public policies against depopulation. Socioeconomic and fina</w:t>
      </w:r>
    </w:p>
    <w:p>
      <w:r>
        <w:t>POSSIBLE 2023: Leadership styles: a study in Latin America, the United States and Europe — https://doi.org/10.56294/saludcyt2023401</w:t>
      </w:r>
    </w:p>
    <w:p>
      <w:r>
        <w:t>Shared claim-specific concepts: them, one, lead; EU scope visible. This is a provisional connection, not an outcome finding.</w:t>
      </w:r>
    </w:p>
    <w:p>
      <w:r>
        <w:t>Available abstract (not full text): Introduction: leadership styles vary in organizations due to multiple factors, such as policies or organizational culture. Today's globalized world and post-pandemic times require a leader capable of integrating people and motivating them to achieve objectives. Objective: the aim of this study was to analyze leadership styles in organizations in Latin America, the United States and Europe. Method: a sample of eighty-one leaders were administered a questionnaire composed of twenty-one items, in order to evaluate the leadership style with the Blake and Mouton test, in order to identify whether leaders are people-oriented or task-oriented. Results: once the test was applied to the leaders of the study sample, it was found that 1,23 % are social leaders, 4,94 % are authoritarian leaders and 93,83 % are team leaders.Conclusions: today's society demands an integrative leadership style that helps transform the work team. Research on leadership identifies multiple factors that can lead to the selection of a leadership style. In this regard, the results obtained revealed that the team leadership style is the one most used by leaders</w:t>
      </w:r>
    </w:p>
    <w:p>
      <w:r>
        <w:t>POSSIBLE 2023: Membership Trends in European Countries — https://doi.org/10.1353/ben.2023.a923758</w:t>
      </w:r>
    </w:p>
    <w:p>
      <w:r>
        <w:t>Shared claim-specific concepts: them, one, but; EU scope visible. This is a provisional connection, not an outcome finding.</w:t>
      </w:r>
    </w:p>
    <w:p>
      <w:r>
        <w:t>Available abstract (not full text): Membership Trends in European Countries Thomas Piazza (bio) Thomas Piazza Thomas Piazza is a retired survey research designer and statistician from the University of California, Berkeley. He was a Benedictine monk of St. Leo Abbey in Florida during the 1960s. Footnotes 1. Thomas Piazza, "Regional Trends in the Benedictine Confederation," American Benedictine Review 73, no. 3 (September 2022): 322–330. The number of monks considered as being in Europe in that article include 16 monks from Australia (rather than simply dropping them from the analysis) and 9 monks mistakenly classified as being in the UK instead of the U.S. Therefore, the current article counts 25 monks fewer in Europe than the earlier one. 2. See Piazza, "Regional Trends," 329–330. 3. Catalogus Monasteriorum O.S.B. Monachorum (Rome: The Benedictine Confederation, 2020). The Catalogus has been published by the Curia of the Abbot Primate in Rome at Sant'Anselmo approximately every five years since 1880 (except during periods of major wars). The Catalogus reports membership statistics for professed monks plus a few claustral oblates. We are grateful to Fr. Patrick Carter, O.S.B., for carrying out the computer work to digitize the 2020 Catalogus and to Fr. Geraldo González y Lima, O.S.B., for facilitating access to the data file. 4. The number of professed monks in the Confederation declined about 20 percent during t</w:t>
      </w:r>
    </w:p>
    <w:p>
      <w:r>
        <w:t>POSSIBLE 2022: Review and Analysis of National Monitoring Systems for Antimicrobial Resistance in Animal Bacterial Pathogens in Europe: A Basis for the Development of the European Antimicrobial Resistance Surveillance Network in Veterinary Medicine (EARS-Vet) — https://doi.org/10.3389/fmicb.2022.838490</w:t>
      </w:r>
    </w:p>
    <w:p>
      <w:r>
        <w:t>Shared claim-specific concepts: them, one, both, but; EU scope visible. This is a provisional connection, not an outcome finding.</w:t>
      </w:r>
    </w:p>
    <w:p>
      <w:r>
        <w:t>Available abstract (not full text): The monitoring of antimicrobial resistance (AMR) in bacterial pathogens of animals is not currently coordinated at European level. To fill this gap, experts of the European Union Joint Action on Antimicrobial Resistance and Healthcare Associated Infections (EU-JAMRAI) recommended building the European Antimicrobial Resistance Surveillance network in Veterinary medicine (EARS-Vet). In this study, we (i) identified national monitoring systems for AMR in bacterial pathogens of animals (both companion and food-producing) among 27 countries affiliated to EU-JAMRAI, (ii) described their structures and operations, and (iii) analyzed their respective strengths, weaknesses, opportunities and threats (SWOT). Twelve countries reported having at least one national monitoring system in place, representing an opportunity to launch EARS-Vet, but highlighting important gaps in AMR data generation in Europe. In total, 15 national monitoring systems from 11 countries were described and analyzed. They displayed diverse structures and operations, but most of them shared common weaknesses (e.g., data management and representativeness) and common threats (e.g., economic vulnerability and data access), which could be addressed collectively under EARS-Vet. This work generated useful information to countries planning to build or improve their system, by learning from others' experience. It also enabled</w:t>
      </w:r>
    </w:p>
    <w:p>
      <w:r>
        <w:t>POSSIBLE 2021: Sustainability in the European Union: Analyzing the Discourse of the European Green Deal — https://doi.org/10.3390/jrfm14020080</w:t>
      </w:r>
    </w:p>
    <w:p>
      <w:r>
        <w:t>Shared claim-specific concepts: analyzing, one, hand, other; EU scope visible. This is a provisional connection, not an outcome finding.</w:t>
      </w:r>
    </w:p>
    <w:p>
      <w:r>
        <w:t>Available abstract (not full text): In the European Union, the concern for sustainability has been legitimized by its politically and ecologically motivated discourse disseminated through recent policies of the European Commission and the local as well as international media. In the article, we question the very meaning of sustainability and examine the European Green Deal, the major political document issued by the EC in 2019. The main question pursued in the study is whether expectations verbalized in the Green Deal’s plans, programs, strategies, and developments hold up to the scrutiny of critical discourse analysis. We compare the Green Deal’s treatment of sustainability to how sustainability is presented in environmental and social science scholarship and point out that research, on the one hand, and the politically motivated discourse, on the other, do not correlate and often actually contradict each other. We conclude that sustainability discourse and its keywords, lexicon, and phraseology have become a channel through which political institutions in the EU such as the European Commission sideline crucial environmental issues and endorse their own presence. The Green Deal discourse shapes political and institutional power of the Commission and the EU.</w:t>
      </w:r>
    </w:p>
    <w:p>
      <w:r>
        <w:t>POSSIBLE 2021: Possibilities of the Development of Edible Insect-Based Foods in Europe — https://doi.org/10.3390/foods10040766</w:t>
      </w:r>
    </w:p>
    <w:p>
      <w:r>
        <w:t>Shared claim-specific concepts: them, one, valuable, knowledge, both, hand; EU scope visible. This is a provisional connection, not an outcome finding.</w:t>
      </w:r>
    </w:p>
    <w:p>
      <w:r>
        <w:t xml:space="preserve">Available abstract (not full text):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r>
        <w:t>POSSIBLE 2020: Perceptions of plagiarism by biomedical researchers: an online survey in Europe and China — https://doi.org/10.1186/s12910-020-00473-7</w:t>
      </w:r>
    </w:p>
    <w:p>
      <w:r>
        <w:t>Shared claim-specific concepts: them, one, both, but, other, indicate; EU scope visible. This is a provisional connection, not an outcome finding.</w:t>
      </w:r>
    </w:p>
    <w:p>
      <w:r>
        <w:t>Available abstract (not full text): BACKGROUND: Plagiarism is considered as serious research misconduct, together with data fabrication and falsification. However, little is known about biomedical researchers' views on plagiarism. Moreover, it has been argued - based on limited empirical evidence - that perceptions of plagiarism depend on cultural and other determinants. The authors explored, by means of an online survey among 46 reputable universities in Europe and China, how plagiarism is perceived by biomedical researchers in both regions. METHODS: We collected work e-mail addresses of biomedical researchers identified through the websites of 13 reputable universities in Europe and 33 reputable universities in China and invited them to participate in an online anonymous survey. Our questionnaire was designed to assess respondents' views about plagiarism by asking whether they considered specific practices as plagiarism. We analyzed if respondents in China and Europe responded differently, using logistic regression analysis with adjustments for demographic and other relevant factors. RESULTS: The authors obtained valid responses from 204 researchers based in China (response rate 2.1%) and 826 researchers based in Europe (response rate 5.6%). Copying text from someone else's publication without crediting the source, using idea(s) from someone else's publication without crediting the source and republishing one's</w:t>
      </w:r>
    </w:p>
    <w:p>
      <w:r>
        <w:t>POSSIBLE 2020: Youth Participation in Europe — https://doi.org/10.1093/oso/9780190937768.003.0007</w:t>
      </w:r>
    </w:p>
    <w:p>
      <w:r>
        <w:t>Shared claim-specific concepts: them, one, both; EU scope visible. This is a provisional connection, not an outcome finding.</w:t>
      </w:r>
    </w:p>
    <w:p>
      <w:r>
        <w:t>Available abstract (not full text): Abstract In the European context, there is no one accepted definition of youth participation either in the political arena or in academic debates. This chapter analyzes whether the current discourses consider reshaping youth involvement in both public and individual spheres. It presents empirical findings on youth participation’s discourses as they emerge in exemplary interviews with experts, contrasting them with comments from young people collected through focus groups conducted in different youth social spaces in eight European cities. The goal is to analyze whether the claim for youth inclusion and engagement is inspired by the socio-pedagogical principle of participation as an empowering tool for young people, groups, and communities or by an adult-driven agenda focused on young people’s future as adults rather than their actual way of living, their needs, and their desires.</w:t>
      </w:r>
    </w:p>
    <w:p>
      <w:pPr>
        <w:pStyle w:val="Heading2"/>
      </w:pPr>
      <w:r>
        <w:t>From bioethanol containing fuels towards a fuel economy that includes methanol derived from renewable sources and the impact on European Union decision-making on transition pathways</w:t>
      </w:r>
    </w:p>
    <w:p>
      <w:r>
        <w:t>Original source (2019): https://doi.org/10.1016/j.rser.2019.109667</w:t>
      </w:r>
    </w:p>
    <w:p>
      <w:r>
        <w:t>Original wording (abstract; indexed_source_text_not_full_document_verified): Decision-making on the optimum transition pathway to an energy economy that meets agreed carbon reduction goals in the European Union (EU) by 2050 is challenging, because of the size of the infrastructural legacy, technological uncertainties, affordability and assumptions on future energy demand. Rebalancing three different aspects of the social dimension of sustainability is used to demonstrate that a succession of infrastructures based on liquid fuels, with biofuels as an interlock towards an economy that includes methanol-based eFuel, has the potential to bring continuity, reduce dependence on anticipated technological advances and improve cost management.</w:t>
      </w:r>
    </w:p>
    <w:p>
      <w:r>
        <w:t>POSSIBLE 2026: Beyond cost-optimal transitions: behavioural decision-making and policy feedback in shipping decarbonisation — https://doi.org/10.1016/j.jclepro.2026.149608</w:t>
      </w:r>
    </w:p>
    <w:p>
      <w:r>
        <w:t>Shared claim-specific concepts: decision-making, transition, assumptions, three; EU scope not established. This is a provisional connection, not an outcome finding.</w:t>
      </w:r>
    </w:p>
    <w:p>
      <w:r>
        <w:t>Available abstract (not full text): Maritime decarbonisation models commonly assume that shipowners make fully rational investment decisions based on perfect information and lifetime cost optimisation. However, empirical evidence suggests that investment decisions are also shaped by behavioural factors such as bounded foresight, familiarity with emerging technologies and peer influence. This study develops a fleet-evolution model, solved in three-year time steps from 2025 to 2050, for a global fleet representing approximately 32,000 vessels over 5000 GT (covering 88% of global fleet deadweight) grouped into 550 representative ship classes, that differentiates early movers and mass-market actors and integrates empirically grounded behavioural decision-making with endogenous feedback mechanisms linking technology adoption, compliance markets and fuel production. Behavioural assumptions are derived from three semi-structured interview rounds (conducted between October 2025 and May 2026 with 16 shipowners, face-validated with an independent 11-company industry Advisory Group and implemented within a game-theoretic Nash equilibrium to simulate technology adoption under the International Maritime Organization's Net-Zero Framework. The results show that incorporating behavioural decision-making fundamentally alters projected transition pathways. Compared with conventional techno-economic approaches, incorporating behavi</w:t>
      </w:r>
    </w:p>
    <w:p>
      <w:r>
        <w:t>POSSIBLE 2026: Towards a decision-making framework for optimal vehicle lightweighting in the European towed caravan sector — https://doi.org/10.82444/warw.33913783</w:t>
      </w:r>
    </w:p>
    <w:p>
      <w:r>
        <w:t>Shared claim-specific concepts: decision-making, energy, three; EU scope visible. This is a provisional connection, not an outcome finding.</w:t>
      </w:r>
    </w:p>
    <w:p>
      <w:r>
        <w:t>Available abstract (not full text): European leisure vehicle manufacturers have long strived to create lightweight towed caravan tourers as they offer many benefits to customers such as less fuel consumption per journey, opportunities for increased payloads and a better towing experience. The need for lightweight caravans is now greater than ever due to the advent of battery electric powertrains in tow cars, due to their limited towing capability and reduced range when towing heavy loads. Currently, there is no formal decision-making framework available for leisure vehicle manufacturers to reach optimal decisions when considering lightweighting initiatives. To address this problem this research has developed a novel decision-making model for leisure vehicle lightweighting, extending and enhancing previous work in the field of complexity management. The model has been created as four discrete steps through which caravan manufacturers can make well-considered and optimal decisions concerning their approach to lightweighting for both existing and future products. The model steps include three initial assessments: (1) product strategy and lifecycle, (2) technical, economical, and environmental benchmarking and (3) a macro environment assessment followed by a final step (4) in which guidelines for action are derived. The research also looked in detail at the key drivers for lightweighting initiatives using a focus gro</w:t>
      </w:r>
    </w:p>
    <w:p>
      <w:r>
        <w:t>POSSIBLE 2026: Optimal Energy Transition Planning: Navigating the Trade-Offs between Short-Term and Long-Term Decision-Making — https://doi.org/10.1021/acs.iecr.5c03999</w:t>
      </w:r>
    </w:p>
    <w:p>
      <w:r>
        <w:t>Shared claim-specific concepts: decision-making, transition, energy, uncertainties, different; EU scope not established. This is a provisional connection, not an outcome finding.</w:t>
      </w:r>
    </w:p>
    <w:p>
      <w:r>
        <w:t>Available abstract (not full text): Transforming emission-intensive energy systems into low-carbon configurations requires strategic planning that balances efficiency, costs, and emissions reductions. While many capacity expansion models support long-term investment planning, only a few integrate multiple energy vectors, spatial distribution optimization, and foresight approaches to identify realistic pathways. This work presents a multivector, multinodal optimization model for least-cost capacity expansion and retirement planning, formulated as a mixed-integer linear programming model. The model incorporates different foresight approaches to examine their influences on technology choices, investment timing, technology deployment sites, and system-wide costs and emissions. Applied to a case study in Sarawak, Malaysia, results show that perfect foresight supports smoother transitions with lower costs, whereas myopic foresight risks overshooting emissions and missing long-term targets. Importantly, incorporating intermediate emissions targets under myopic foresight helps align near-term actions with long-term objectives, which is essential when short-term uncertainties make myopic decision-making unavoidable. Although myopic planning raises the capital expenditure by 18.1%, incorporating intermediate emissions targets provides structured transition pathways and prevents capacity overexpansion.</w:t>
      </w:r>
    </w:p>
    <w:p>
      <w:r>
        <w:t>POSSIBLE 2024: Sea Level Rise in Europe: Adaptation measures and decision-making principles — https://doi.org/10.5194/sp-3-slre1-6-2024</w:t>
      </w:r>
    </w:p>
    <w:p>
      <w:r>
        <w:t>Shared claim-specific concepts: decision-making, technological, different; EU scope visible. This is a provisional connection, not an outcome finding.</w:t>
      </w:r>
    </w:p>
    <w:p>
      <w:r>
        <w:t xml:space="preserve">Available abstract (not full text): Abstract. Sea level rise (SLR) will increasingly impact European countries in the coming decades, posing challenges for coastal decision-making and the design and implementation of adaptation measures to address coastal risks. This chapter aims to provide guidance for the design and implementation of adaptation policies in European basins, and does so by, first, assessing the state-of-the-art of SLR adaptation measures in Europe, and second, presenting approaches suitable for supporting coastal adaptation decision making and addressing uncertainty. Assessment of SLR adaptation in Europe is carried out by developing a typology of measures based on the IPCC classification of accommodate, protect, advance, and retreat responses to SLR, supplemented with sub-types measures socio-economic, physical and technological, nature- and ecosystem-based characteristics. Surveying relevant literature measures being implemented in Europe are identified and characterised according to their effectiveness and location within the European sea basins. We find that adaptation strategies on Europe’s coasts constitute a mix of hard and soft measures, planning measures, policy developments, and stakeholder and community engagements. Across all basins, a common theme is the shift towards a combination of traditional engineering solutions with soft measures, including nature-based solutions, integrating </w:t>
      </w:r>
    </w:p>
    <w:p>
      <w:r>
        <w:t>POSSIBLE 2023: Decision-making in Transition to Sustainable Energy — https://doi.org/10.7250/9789934229091</w:t>
      </w:r>
    </w:p>
    <w:p>
      <w:r>
        <w:t>Shared claim-specific concepts: decision-making, transition, energy; EU scope not established. This is a provisional connection, not an outcome finding.</w:t>
      </w:r>
    </w:p>
    <w:p>
      <w:r>
        <w:t>Available abstract (not full text): The goal of the Thesis is to create an algorithm of decision-making, which takes into account existing knowledge about barriers and policies that hamper or facilitate development of sustainable energy by focusing on identifying and analysing stages and steps of decision-making throughout policy lifecycle, as well as identifying suitable methods of analysis at each stage and step of making decisions to support decision-making about energy and climate policy, and integrating those in the decision-making process with the purpose of ensuring a policy lifecycle leading to sustainable energy system.</w:t>
      </w:r>
    </w:p>
    <w:p>
      <w:r>
        <w:t>POSSIBLE 2021: Decision-making in sustainable energy transition in Southeastern Europe: probabilistic network-based model — https://doi.org/10.1186/s13705-021-00315-3</w:t>
      </w:r>
    </w:p>
    <w:p>
      <w:r>
        <w:t>Shared claim-specific concepts: decision-making, transition, energy, challenging, different; EU scope visible. This is a provisional connection, not an outcome finding.</w:t>
      </w:r>
    </w:p>
    <w:p>
      <w:r>
        <w:t>Available abstract (not full text): Abstract Background Sustainable energy transition of a country is complex and long-term process, which requires decision-making in all stages and at all levels, including a large number of different factors, with different causality. The main objective of this paper is the development of a probabilistic model for decision-making in sustainable energy transition in developing countries of SE Europe. The model will be developed according to the specificities of the countries for which it is intended—SE Europe. These are countries where energy transition is slower and more difficult due to many factors: high degree of uncertainty, low transparency, corruption, investment problems, insufficiently reliable data, lower level of economic development, high level of corruption and untrained human resources. All these factors are making decision-making more challenging and demanding. Methods Research was done by using content analysis, artificial intelligence methods, software development method and testing. The model was developed by using MSBNx—Microsoft Research’s Bayesian Network Authoring and Evaluation Tool. Results Due to the large number of insufficiently clear, but interdependent factors, the model is developed on the principle of probabilistic (Bayesian) networks of factors of interest. The paper presents the first model for supporting decision-making in the field of energy sus</w:t>
      </w:r>
    </w:p>
    <w:p>
      <w:r>
        <w:t>POSSIBLE 2021: Overcoming decision paralysis—A digital twin for decision making in energy system design — https://doi.org/10.1016/j.apenergy.2021.117954</w:t>
      </w:r>
    </w:p>
    <w:p>
      <w:r>
        <w:t>Shared claim-specific concepts: energy, uncertainties, different; EU scope not established. This is a provisional connection, not an outcome finding.</w:t>
      </w:r>
    </w:p>
    <w:p>
      <w:r>
        <w:t>Available abstract (not full text): The design of efficient energy systems, through the development of new technologies and the improvement of current ones, requires the use of rigorous process synthesis methods for generating and analysing design alternatives. We introduce a digital twin of process and energy system design that interactively translates needs and preferences of decision makers into an optimization-based model and generates meaningful solutions. The Interactive Digital Twin (InDiT) assists decision makers in steering the exploration of the solution space and guiding them towards relevant system design decisions, taking into account multiple aspects such as the impact of uncertainties and multi-criteria analysis. InDiT enhances step-by-step communication with the decision maker, relying on visual aids to keep the communication during solution generation and exploration intuitive and flexible. In this way, decision makers are guided towards relevant solutions and improve their understanding of relations between the problem definition and system design decisions, while InDiT builds on the decision makers’ preferences and can, after training, suggest solutions that are best-suited to their interests. The novelty of this work lies in the holistic approach of addressing both (i) the systematic generation and exploration of solutions with the assistance of a digital consultant, which translates the decis</w:t>
      </w:r>
    </w:p>
    <w:p>
      <w:r>
        <w:t>POSSIBLE 2020: Decision making on regional energy transition : models, tools and approaches — https://openalex.org/W3034318633</w:t>
      </w:r>
    </w:p>
    <w:p>
      <w:r>
        <w:t>Shared claim-specific concepts: transition, energy, technological; EU scope not established. This is a provisional connection, not an outcome finding.</w:t>
      </w:r>
    </w:p>
    <w:p>
      <w:r>
        <w:t>Available abstract (not full text): Since the industrial revolution we have relied heavily on fossil fuels as feedstock and energy source. A major drawback in using fossil fuels is the emission of anthropogenic greenhouse gases. Deep reductions in these greenhouse gas emissions are needed if climate change is to be limited to 1.5-2°C above pre-industrial levels. These reductions will require a drastic transformation of the energy system as indicated by scenario studies which have evaluated possible roadmaps for this transformation. There is no straightforward solution to make a transition from a fossil-driven energy system to one based on renewables. There are many technological options to consider and which options work best depends to a great extent on local and regional circumstances. Therefore, it is increasingly recognized that the energy transition will take place at the local and regional level. This is where major decisions will have to be made.</w:t>
      </w:r>
    </w:p>
    <w:p>
      <w:r>
        <w:t>POSSIBLE 2020: Energy transition in the South East Europe: The case of the Romanian power system — https://doi.org/10.1016/j.egyr.2020.07.032</w:t>
      </w:r>
    </w:p>
    <w:p>
      <w:r>
        <w:t>Shared claim-specific concepts: decision-making, transition, energy, three; EU scope visible. This is a provisional connection, not an outcome finding.</w:t>
      </w:r>
    </w:p>
    <w:p>
      <w:r>
        <w:t xml:space="preserve">Available abstract (not full text): With the exception of Albania, the countries of South-Eastern Europe (SEE) have high shares of electricity generation from an ageing fleet of coal-fired power units with quite low efficiencies. Energy planning-related decision-making regarding whether to modernize or replace a significant share of this old generating capacity has to be fixed within a global clean energy transition context. At the same time, the SEE region has a huge potential for renewable energy deployment and energy efficiency implementation. This work presents a generic mixed integer linear programming model to determine the optimal energy scheduling of a multi-zonal power system following the roadmaps of its energy transition process. Through a detailed unit commitment model implementing a co-optimization of energy and reserves market with a cost minimization objective function, the developed approach determines the optimal annual energy mixes of the Romanian power system through the day by day iterative solution of all the dates of three specific time milestones (2020, 2030, and 2040), where the outputs of a specific date comprise the inputs of the next one. The model outputs highlight the impacts on the power system in terms of technical, economic, and environmental performance. The energy transition towards a renewables dominant capacity and production mix guarantees the system’s security of supply, and </w:t>
      </w:r>
    </w:p>
    <w:p>
      <w:r>
        <w:t>POSSIBLE 2020: The International Energy Security Risk Index in Sustainable Energy and Economy Transition Decision Making—A Reliability Analysis — https://doi.org/10.3390/en13143691</w:t>
      </w:r>
    </w:p>
    <w:p>
      <w:r>
        <w:t>Shared claim-specific concepts: decision-making, transition, energy, economy, different; EU scope not established. This is a provisional connection, not an outcome finding.</w:t>
      </w:r>
    </w:p>
    <w:p>
      <w:r>
        <w:t>Available abstract (not full text): The world economy and society are in a complex process of transition characterized by a high degree of uncertainty. Therefore, further development and management of the transition will largely depend on the quality of the decisions made and, accordingly, on the decision-making process itself. The main goal of this study is to analyze the reliability of International Energy Security Risk Index as a tool to support the process of energy and economy transition decision making, as closely related and highly interdependent phenomena. The index is composed of 29 aggregated variables (grouped into eight categories), and the research is conducted on a research sample of 25 countries over a period of 36 years. The reliability assessment is performed by using Multiple Regression Analysis. Multicollinearity test, plus Multicollinearity test with Variance Inflation Factors, is used for methodological verification. The test results indicate a high degree of unreliability of the Index, as is concluded based on the observed errors in its methodological settings. These errors primarily relate to a high degree of multicollinearity in all 29 variables, whereby independent variables lose their independence and thus jeopardize reliability of the total Index. Out of the eight groups of variables, the fuel imports group is the only one that does not show big methodological errors. The paper presents</w:t>
      </w:r>
    </w:p>
    <w:p>
      <w:r>
        <w:t>POSSIBLE 2020: Stakeholder involvement through national panels and surveys to address the issues and uncertainties arising in the preparedness and management of the transition phase — https://doi.org/10.1051/radiopro/2020022</w:t>
      </w:r>
    </w:p>
    <w:p>
      <w:r>
        <w:t>Shared claim-specific concepts: decision-making, transition, uncertainties; EU scope visible. This is a provisional connection, not an outcome finding.</w:t>
      </w:r>
    </w:p>
    <w:p>
      <w:r>
        <w:t>Available abstract (not full text): Under the framework of the CONFIDENCE project, work package 4 was focusing on the transition to long-term recovery, involving stakeholders in decision-making processes. The essential research was performed using a participatory approach, which combined scenario-based stakeholder discussion panels and transnational stakeholder surveys following the Delphi methodology. The objective was to identify and address the issues and uncertainties arising in the preparedness and management of the transition phase and to explore ways to facilitate the incorporation of stakeholders’ expertise, points of view and interests in the decision-making processes. The final goal was to build best practices for planning optimal remediation strategies during the transition phase considering stakeholder involvement in the decision-making process. The results obtained from the work undertaken in nine European countries are presented.</w:t>
      </w:r>
    </w:p>
    <w:p>
      <w:pPr>
        <w:pStyle w:val="Heading2"/>
      </w:pPr>
      <w:r>
        <w:t>Future Scenarios of European Forests</w:t>
      </w:r>
    </w:p>
    <w:p>
      <w:r>
        <w:t>Original source (2019): https://doi.org/10.2478/jlecol-2018-0020</w:t>
      </w:r>
    </w:p>
    <w:p>
      <w:r>
        <w:t>Original wording (abstract; indexed_source_text_not_full_document_verified): Abstract Scenarios based on contrasting storylines can be used as a tool to explore the different ways in which the future may develop and their impacts on the sustainability of European forestry. Here we discuss characteristics of scenario studies forest large scale forest resources in general and focus on a few recent trends and their long term impact on European forests, as e.g. nature oriented management, carbon credits, and extra demand for bioenergy.</w:t>
      </w:r>
    </w:p>
    <w:p>
      <w:r>
        <w:t>POSSIBLE 2026: Contrasting mechanisms driving the northward expansion of African raptors in Europe — https://doi.org/10.1111/jzo.70124</w:t>
      </w:r>
    </w:p>
    <w:p>
      <w:r>
        <w:t>Shared claim-specific concepts: abstract, based, contrasting, explore, different, few; EU scope visible. This is a provisional connection, not an outcome finding.</w:t>
      </w:r>
    </w:p>
    <w:p>
      <w:r>
        <w:t>Available abstract (not full text): Abstract The contrasting mechanisms driving the northward expansion of African raptors into Europe provide a unique opportunity to understand how these species overcome substantial geographical barriers and a major biogeographic boundary. To explore these mechanisms, we analysed three species currently expanding across the Afro‐Palaearctic system: the Atlas Long‐legged Buzzard ( Buteo rufinus cirtensis ), Rüppell's Vulture ( Gyps rueppelli ), and White‐backed Vulture ( Gyps africanus ). Using species distribution models based on topo‐climatic predictors, we estimated environmental favourability for breeding across 6203 operational geographic units and compared outputs with breeding records, recent sightings, ecological traits, and evidence of interspecific interactions. Our results reveal contrasting colonization pathways. The Atlas Long‐legged Buzzard shows broad climatic favourability across North Africa and parts of southern Europe, indicating a climate‐driven range expansion facilitated by increasingly favourable environmental conditions. By contrast, African vultures exhibit negligible climatic favourability in Europe, despite multiple field observations, including hybrid breeding attempts with Griffon Vultures ( Gyps fulvus ) in the case of Rüppell's Vultures, while observations of immature White‐backed Vultures remain few and anecdotal per se, yet they have been recorded</w:t>
      </w:r>
    </w:p>
    <w:p>
      <w:r>
        <w:t>POSSIBLE 2024: A Climatology of Convective Precipitation over Europe — https://doi.org/10.1175/mwr-d-23-0156.1</w:t>
      </w:r>
    </w:p>
    <w:p>
      <w:r>
        <w:t>Shared claim-specific concepts: abstract, used, large; EU scope visible. This is a provisional connection, not an outcome finding.</w:t>
      </w:r>
    </w:p>
    <w:p>
      <w:r>
        <w:t xml:space="preserve">Available abstract (not full text): Abstract The annual, seasonal, and diurnal spatiotemporal heavy convective precipitation patterns over a pan-European domain are analyzed in this study using a combination of datasets, including the Integrated Multi-satellitE Retrievals for Global Precipitation Measurement (GPM) (IMERG) precipitation rate product, E-OBS ground-based precipitation gauge data, European climatological gauge-adjusted radar precipitation dataset (EURADCLIM), Operational Programme for the Exchange of Weather Radar Information (OPERA) ground-based radar-derived precipitation rates, and fifth major global reanalysis produced by ECMWF (ERA5) total and convective precipitation products. Arrival Time Difference Network (ATDnet) lightning data are used in conjunction with IMERG and EURADCLIM precipitation rates, with an imposed threshold of 10 mm h−1 to classify precipitation as convective. Annually, the largest convective precipitation accumulations are over the European seas and coastlines. In summer, convective precipitation is more common over the European continent, though relatively large accumulations exist over the northern coastal waters and the southern seas, with a seasonal localized maximum over the northern Adriatic Sea. Activity shifts southward to the Mediterranean and its coastlines in autumn and winter, with maxima over the Ionian Sea, the eastern Adriatic Sea, and the adjacent coastline. </w:t>
      </w:r>
    </w:p>
    <w:p>
      <w:r>
        <w:t>POSSIBLE 2024: Use of synanthropic roosts by bats in Europe and North America — https://doi.org/10.1111/mam.12380</w:t>
      </w:r>
    </w:p>
    <w:p>
      <w:r>
        <w:t>Shared claim-specific concepts: abstract, based, contrasting, used, ways; EU scope visible. This is a provisional connection, not an outcome finding.</w:t>
      </w:r>
    </w:p>
    <w:p>
      <w:r>
        <w:t>Available abstract (not full text): ABSTRACT Diurnal roosts are vital to bats and growing evidence suggests that bats increasingly exploit synanthropic structures, such as buildings. The use of synanthropic roosts (SRs) has been explained as a consequence of the decreased availability of natural roosts imposed by habitat destruction, although growing evidence suggests that the use of SRs may be beneficial to bats in many ways, including enabling the expansion of distributional ranges. Based on data from Europe and North America, our study aimed to (1) analyse the proportion of use of synanthropic vs. natural roosts, (2) test the hypothesis that bats are forced to use SRs in response to the destruction of natural habitats, (3) analyse latitudinal variation of the proportion of use of SRs and (4) address the highly contrasting pattern in the proportion of use of SRs between the two continents in the light of historical aspects of coexistence between bats and humans. We compiled published data on day roosts obtained by means of radio‐telemetry, providing unbiased evidence of the proportion of synanthropic and natural roosts. We compared the obtained patterns between the two continents, analysed the relationship between the proportion of use of SRs, land cover and latitude and analysed historical reconstruction of anthropogenic land use. In Europe (n = 3385 roosts), SRs were used by twice more (26) bat species and we</w:t>
      </w:r>
    </w:p>
    <w:p>
      <w:r>
        <w:t>POSSIBLE 2023: Performance-based sub-selection of CMIP6 models for impact assessments in Europe — https://doi.org/10.5194/esd-14-457-2023</w:t>
      </w:r>
    </w:p>
    <w:p>
      <w:r>
        <w:t>Shared claim-specific concepts: abstract, based, used, trends; EU scope visible. This is a provisional connection, not an outcome finding.</w:t>
      </w:r>
    </w:p>
    <w:p>
      <w:r>
        <w:t>Available abstract (not full text): Abstract. We have created a performance-based assessment of CMIP6 models for Europe that can be used to inform the sub-selection of models for this region. Our assessment covers criteria indicative of the ability of individual models to capture a range of large-scale processes that are important for the representation of present-day European climate. We use this study to provide examples of how this performance-based assessment may be applied to multi-model ensemble of CMIP6 models to a) filter the ensemble for performance against these climatological/ processed-based criteria and, b) create a smaller sub-set of models based on performance, that also maintains model diversity and the filtered projection range as far as possible. Filtering by excluding the least realistic models leads to higher sensitivity models remaining in the ensemble as an emergent consequence of the assessment. This results in both the 25th percentile and the median of the projected temperature range being shifted toward greater warming for the filtered set of models. We also weight the unfiltered ensemble against global trends. In contrast this shifts both the distribution of towards less warming. This highlights a tension for regional model selection in terms of selection based on regional climate processes versus the global mean warming trend.</w:t>
      </w:r>
    </w:p>
    <w:p>
      <w:r>
        <w:t>POSSIBLE 2023: Supporting Nature-Based Solutions via Nature-Based Thinking across European and Latin American cities — https://doi.org/10.1007/s13280-023-01920-6</w:t>
      </w:r>
    </w:p>
    <w:p>
      <w:r>
        <w:t>Shared claim-specific concepts: based, used, explore, develop; EU scope visible. This is a provisional connection, not an outcome finding.</w:t>
      </w:r>
    </w:p>
    <w:p>
      <w:r>
        <w:t>Available abstract (not full text): Nature-Based Solutions concepts and practices are being used worldwide as part of attempts to address societal challenges but have also been criticised for not dealing with deeper transformations needed to face urgent issues including biodiversity loss, climate change and inclusion. In this paper, we explore how an inclusive, integrated and long-sighted approach, emphasising a more radical integration of nature within cities, might support the transformations needed to endure major contemporary challenges. Addressing important emerging critiques of Nature-Based Solutions, we consider the potential of a more incisive form of Nature-Based Thinking (NBT) in cities, based on more holistic perspectives. The paper draws on a reflective and iterative research process that engaged both the research and practice communities through a symposium and a series of futures workshops that together explored the potential of NBT to develop future nature-cities relations in Europe and Latin America. The results of the reflective process suggest that notions of nature with people-not for people- new organisational structures, and the intention and capacity to apply long-term perspectives, are needed when planning for NBS interventions aimed at sustainable urban development. This includes developing a cultural-structural change based on new and inclusive understandings of human-nature relations, an</w:t>
      </w:r>
    </w:p>
    <w:p>
      <w:r>
        <w:t>POSSIBLE 2022: Contrasting future lightning stories across Europe — https://doi.org/10.1088/1748-9326/ac9b78</w:t>
      </w:r>
    </w:p>
    <w:p>
      <w:r>
        <w:t>Shared claim-specific concepts: abstract, contrasting, here, general; EU scope visible. This is a provisional connection, not an outcome finding.</w:t>
      </w:r>
    </w:p>
    <w:p>
      <w:r>
        <w:t>Available abstract (not full text): Abstract Thunderstorms are the most common source of hazardous weather at local scales, but are poorly represented in conventional climate models, resulting in high uncertainty in future changes. How these changes manifest in terms of lightning is even more uncertain, with previous studies giving conflicting projections. Here, for the first time, we use a km-scale model that explicitly resolves convection across Europe; suggesting more convection by 2100 under RCP8.5. Our ice-based lightning scheme indicates a highly altered lightning climatology-the consequence of general increases in instability, partly limited by convective inhibition, along with huge increases in melting level height and less cloud ice. A northward shift in favourable weather regimes increases lightning frequency at higher latitudes, and favours more thunderstorms over the Alps, but lightning decreases over lower terrain elsewhere and over the sea. Our results suggest the need to re-evaluate lightning risk to wildfires, properties, and human life across Europe.</w:t>
      </w:r>
    </w:p>
    <w:p>
      <w:r>
        <w:t>POSSIBLE 2021: Climate change impacts on solar power generation and its spatial variability in Europe based on CMIP6 — https://doi.org/10.5194/esd-12-1099-2021</w:t>
      </w:r>
    </w:p>
    <w:p>
      <w:r>
        <w:t>Shared claim-specific concepts: abstract, based, different, impacts, large, recent; EU scope visible. This is a provisional connection, not an outcome finding.</w:t>
      </w:r>
    </w:p>
    <w:p>
      <w:r>
        <w:t>Available abstract (not full text):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r>
        <w:t>POSSIBLE 2021: Keeping Up or Giving Up? Income Inequality and Materialism in Europe and the United States — https://doi.org/10.1007/s11205-021-02760-1</w:t>
      </w:r>
    </w:p>
    <w:p>
      <w:r>
        <w:t>Shared claim-specific concepts: abstract, based, used, different, trends; EU scope visible. This is a provisional connection, not an outcome finding.</w:t>
      </w:r>
    </w:p>
    <w:p>
      <w:r>
        <w:t>Available abstract (not full text): Abstract We examine the extent to which income inequality is associated with materialistic values and behavior in Europe and the United States (US). In the US, existing research on materialistic behavior is largely focused on the study of shopping behavior and shows that, when income inequality is higher, individuals search for and buy products that are more luxury. In Europe, the evidence for this phenomenon is mainly based on survey questions on people’s values, and results are mixed. To determine whether these conflicting findings are rooted in methodology or reflect structural differences between the situation of Americans and Europeans, we measure materialistic behavior and values in both the US and Europe. Different types of data are used to test our arguments. In study 1, we use information on materialistic values from the European Social Survey (ESS) and the World Values Survey (WVS) to study the relationship between income inequality and materialistic values, examining the same research question in the contexts of Europe and the United States. In study 2, we use information from Google Trends to examine the relationship between income inequality and internet searching behavior both in Europe and in the United States. Hybrid multilevel models analyzing the variation in these relationships both over time and across regions show that in Europe as well as in the US, income</w:t>
      </w:r>
    </w:p>
    <w:p>
      <w:r>
        <w:t>POSSIBLE 2020: Diverging hydrological drought traits over Europe with global warming — https://doi.org/10.5194/hess-24-5919-2020</w:t>
      </w:r>
    </w:p>
    <w:p>
      <w:r>
        <w:t>Shared claim-specific concepts: abstract, different, develop, impacts, large; EU scope visible. This is a provisional connection, not an outcome finding.</w:t>
      </w:r>
    </w:p>
    <w:p>
      <w:r>
        <w:t>Available abstract (not full text):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r>
        <w:t>POSSIBLE 2020: Is There a Crisis of Democracy in Europe? — https://doi.org/10.1007/s11615-020-00231-9</w:t>
      </w:r>
    </w:p>
    <w:p>
      <w:r>
        <w:t>Shared claim-specific concepts: abstract, large, trends; EU scope visible. This is a provisional connection, not an outcome finding.</w:t>
      </w:r>
    </w:p>
    <w:p>
      <w:r>
        <w:t>Available abstract (not full text):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r>
        <w:t>POSSIBLE 2020: Biogeophysical impacts of forestation in Europe: first results from the LUCAS (Land Use and Climate Across Scales) regional climate model intercomparison — https://doi.org/10.5194/esd-11-183-2020</w:t>
      </w:r>
    </w:p>
    <w:p>
      <w:r>
        <w:t>Shared claim-specific concepts: abstract, based, used, explore, impacts, here; EU scope visible. This is a provisional connection, not an outcome finding.</w:t>
      </w:r>
    </w:p>
    <w:p>
      <w:r>
        <w:t>Available abstract (not full text):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r>
        <w:t>POSSIBLE 2020: Attribution of precipitation to cyclones and fronts over Europe in a kilometer-scale regional climate simulation — https://doi.org/10.5194/wcd-1-675-2020</w:t>
      </w:r>
    </w:p>
    <w:p>
      <w:r>
        <w:t>Shared claim-specific concepts: abstract, based, contrasting, characteristics; EU scope visible. This is a provisional connection, not an outcome finding.</w:t>
      </w:r>
    </w:p>
    <w:p>
      <w:r>
        <w:t>Available abstract (not full text): Abstract. This study presents a detailed analysis of the climatological distribution of precipitation in relation to cyclones and fronts over Europe for the nine-year period 2000–2008. The analysis uses hourly output of a COSMO (Consortium for Small-scale Modeling) model simulation with 2.2 km grid spacing and resolved deep convection. Cyclones and fronts are identified as two-dimensional features in 850 hPa geopotential, equivalent potential temperature, and wind fields, and subsequently tracked over time based on feature overlap and size. Thermal heat lows and local thermal fronts are removed based on track properties. This data set then serves to define seven mutually exclusive precipitation components: high-pressure (e.g., summer convection), cyclonic (near cyclone center), cold-frontal, warm-frontal, collocated (e.g., occlusion area), far-frontal, and residual. The approach is illustrated with two case studies with contrasting precipitation characteristics. The climatological analysis for the nine-year period shows that frontal precipitation peaks in fall and winter over the eastern North Atlantic, with cold frontal precipitation also being crucial year-round near the Alps; cyclonic precipitation is largest over the North Atlantic (especially in summer) and in the northern Mediterranean (except in summer); high-pressure precipitation occurs almost exclusively over land and</w:t>
      </w:r>
    </w:p>
    <w:p>
      <w:pPr>
        <w:pStyle w:val="Heading2"/>
      </w:pPr>
      <w:r>
        <w:t>Future projections of temperature and mixing regime of  European temperate lakes</w:t>
      </w:r>
    </w:p>
    <w:p>
      <w:r>
        <w:t>Original source (2019): https://doi.org/10.5194/hess-23-1533-2019</w:t>
      </w:r>
    </w:p>
    <w:p>
      <w:r>
        <w:t>Original wording (abstract; indexed_source_text_not_full_document_verified): By mid-century, the frequency of ice and stratification-free winters was projected to increase by about 20 %, making ice cover rare and shifting the two deeper dimictic lakes to a predominantly monomictic regime. We forced the model with an ensemble of 12 climate projections (RCP4.5) up to 2100.</w:t>
      </w:r>
    </w:p>
    <w:p>
      <w:r>
        <w:t>POSSIBLE 2023: The Mid-Pleistocene Climate Transition — https://doi.org/10.1146/annurev-earth-032320-104209</w:t>
      </w:r>
    </w:p>
    <w:p>
      <w:r>
        <w:t>Shared claim-specific concepts: ice, about, climate; EU scope not established. This is a provisional connection, not an outcome finding.</w:t>
      </w:r>
    </w:p>
    <w:p>
      <w:r>
        <w:t>Available abstract (not full text): The timing of ice ages over the past ∼2,600 thousand years (kyr) follows pacing by cyclical changes in three aspects of Earth's orbit that influence the solar energy received as a function of latitude and season. Explaining the large magnitude of the climate changes is challenging, particularly so across the period of time from ∼1,250 to 750 ka—the Mid-Pleistocene Transition or MPT. The average repeat time of ice age cycles changed from an earlier 41-kyr rhythm to longer and more intense glaciations at a spacing of about 100 kyr. Explaining this change is very difficult because there was no corresponding change in the orbital pacing that would trigger a change in timing. While the first generation of hypotheses looked largely to changes in the behavior of Northern Hemisphere ice sheets, more recent work integrates ice behavior with new data capturing the evolution of other important aspects of past climate. A full explanation is still lacking, but attention increasingly focuses on the ocean carbon cycle and atmospheric CO2 levels as the crucial agents involved in the MPT. ▪The pattern of climate changes connected to the ice ages of the past few million years changed radically between about 1,250 and 750 thousand years ago, a time known as the Mid-Pleistocene Transition or MPT.▪While the glacial cycles were ultimately triggered by cyclical changes in Earth's orbit, the changes a</w:t>
      </w:r>
    </w:p>
    <w:p>
      <w:r>
        <w:t>POSSIBLE 2022: Global wood anatomical perspective on the onset of the Late Antique Little Ice Age (LALIA) in the mid-6th century CE — https://doi.org/10.1016/j.scib.2022.10.019</w:t>
      </w:r>
    </w:p>
    <w:p>
      <w:r>
        <w:t>Shared claim-specific concepts: ice, two, climate; EU scope not established. This is a provisional connection, not an outcome finding.</w:t>
      </w:r>
    </w:p>
    <w:p>
      <w:r>
        <w:t>Available abstract (not full text): Linked to major volcanic eruptions around 536 and 540 CE, the onset of the Late Antique Little Ice Age has been described as the coldest period of the past two millennia. The exact timing and spatial extent of this exceptional cold phase are, however, still under debate because of the limited resolution and geographical distribution of the available proxy archives. Here, we use 106 wood anatomical thin sections from 23 forest sites and 20 tree species in both hemispheres to search for cell-level fingerprints of ephemeral summer cooling between 530 and 550 CE. After cross-dating and double-staining, we identified 89 Blue Rings (lack of cell wall lignification), nine Frost Rings (cell deformation and collapse), and 93 Light Rings (reduced cell wall thickening) in the Northern Hemisphere. Our network reveals evidence for the strongest temperature depression between mid-July and early-August 536 CE across North America and Eurasia, whereas more localised cold spells occurred in the summers of 532, 540-43, and 548 CE. The lack of anatomical signatures in the austral trees suggests limited incursion of stratospheric volcanic aerosol into the Southern Hemisphere extra-tropics, that any forcing was mitigated by atmosphere-ocean dynamical responses and/or concentrated outside the growing season, or a combination of factors. Our findings demonstrate the advantage of wood anatomical inves</w:t>
      </w:r>
    </w:p>
    <w:p>
      <w:r>
        <w:t>POSSIBLE 2022: Tunnel valley formation beneath deglaciating mid-latitude ice sheets: Observations and modelling — https://doi.org/10.1016/j.quascirev.2022.107680</w:t>
      </w:r>
    </w:p>
    <w:p>
      <w:r>
        <w:t>Shared claim-specific concepts: ice, climate; EU scope not established. This is a provisional connection, not an outcome finding.</w:t>
      </w:r>
    </w:p>
    <w:p>
      <w:r>
        <w:t xml:space="preserve">Available abstract (not full text): The geological record of landforms and sediments produced beneath deglaciating ice sheets offers insights into inaccessible glacial processes. Large subglacial valleys formed by meltwater erosion of sediments (tunnel valleys) are widespread in formerly glaciated regions such as the North Sea. Obtaining a better understanding of these features may help with the parameterisation of basal melt rates and the interplay between basal hydrology and ice dynamics in numerical models of past, present, and future ice-sheet configurations. However, the mechanisms and timescales over which tunnel valleys form remain poorly constrained. Here, we present a series of numerical modelling experiments, informed by new observations from high-resolution 3D seismic data (6.25 m bin size, ∼4 m vertical resolution), which test different hypotheses of tunnel valley formation and calculate subglacial water routing, seasonal water discharges, and the rates at which tunnel valleys are eroded beneath deglaciating ice sheets. Networks of smaller or abandoned channels, pervasive slump deposits, and subglacial landforms are imaged inside and at the base of larger tunnel valleys, indicating that these tunnel valleys were carved through the action of migrating smaller channels within tens of kilometres of the ice margin and were later widened by ice-contact erosion. Our model results imply that the drainage of </w:t>
      </w:r>
    </w:p>
    <w:p>
      <w:r>
        <w:t>POSSIBLE 2022: Split westerlies over Europe in the early Little Ice Age — https://doi.org/10.1038/s41467-022-32654-w</w:t>
      </w:r>
    </w:p>
    <w:p>
      <w:r>
        <w:t>Shared claim-specific concepts: ice, cover, climate; EU scope visible. This is a provisional connection, not an outcome finding.</w:t>
      </w:r>
    </w:p>
    <w:p>
      <w:r>
        <w:t>Available abstract (not full text): Abstract The Little Ice Age (LIA) was the coldest period of the past millennium, characterized by high-density volcanism, low solar activity, and increased Northern Hemisphere sea-ice cover. Past studies of LIA circulation changes over the North Atlantic sector have typically referenced the North Atlantic Oscillation (NAO), though recent studies have noted that LIA climate patterns appear to be possess complexity not captured by an NAO analog. Here, we present a new precipitation-sensitive stalagmite record from northern Italy that covers the past 800 years at high resolution. Combined with terrestrial and marine records in the North Atlantic realm, we show that in the early LIA (1470-1610 C.E.), a multi-decadal scale atmospheric blocking over northern Europe split the westerlies away from central and northern Europe, and towards the Arctic and the Mediterranean. This enhanced blocking results in a cold and dry climate over central and northern Europe, and wetter conditions over the Mediterranean. The LIA atmospheric blocking could be caused by the concurrent sea-ice reduction in the Arctic and the Spörer solar minimum. With ongoing ice melting in the northern high latitudes and decreasing solar irradiance in the coming years, the early LIA may potentially serve as an analog for European hydroclimatic conditions in the coming decades.</w:t>
      </w:r>
    </w:p>
    <w:p>
      <w:r>
        <w:t>POSSIBLE 2022: Global tree-ring response and inferred climate variation following the mid-thirteenth century Samalas eruption — https://doi.org/10.1007/s00382-022-06141-3</w:t>
      </w:r>
    </w:p>
    <w:p>
      <w:r>
        <w:t>Shared claim-specific concepts: predominantly, climate; EU scope visible. This is a provisional connection, not an outcome finding.</w:t>
      </w:r>
    </w:p>
    <w:p>
      <w:r>
        <w:t>Available abstract (not full text): Abstract The largest explosive volcanic eruption of the Common Era in terms of estimated sulphur yield to the stratosphere was identified in glaciochemical records 40 years ago, and dates to the mid-thirteenth century. Despite eventual attribution to the Samalas (Rinjani) volcano in Indonesia, the eruption date remains uncertain, and the climate response only partially understood. Seeking a more global perspective on summer surface temperature and hydroclimate change following the eruption, we present an analysis of 249 tree-ring chronologies spanning the thirteenth century and representing all continents except Antarctica. Of the 170 predominantly temperature sensitive high-frequency chronologies, the earliest hints of boreal summer cooling are the growth depressions found at sites in the western US and Canada in 1257 CE. If this response is a result of Samalas, it would be consistent with an eruption window of circa May–July 1257 CE. More widespread summer cooling across the mid-latitudes of North America and Eurasia is pronounced in 1258, while records from Scandinavia and Siberia reveal peak cooling in 1259. In contrast to the marked post-Samalas temperature response at high-elevation sites in the Northern Hemisphere, no strong hydroclimatic anomalies emerge from the 79 precipitation-sensitive chronologies. Although our findings remain spatially biased towards the western U</w:t>
      </w:r>
    </w:p>
    <w:p>
      <w:r>
        <w:t>POSSIBLE 2022: Tricentennial trends in spring ice break-ups on three rivers in northern Europe — https://doi.org/10.5194/tc-16-2881-2022</w:t>
      </w:r>
    </w:p>
    <w:p>
      <w:r>
        <w:t>Shared claim-specific concepts: ice, cover, two; EU scope visible. This is a provisional connection, not an outcome finding.</w:t>
      </w:r>
    </w:p>
    <w:p>
      <w:r>
        <w:t xml:space="preserve">Available abstract (not full text): Abstract. In Finland, ice breakup observations have been recorded for centuries for Aura River (1749–2020), Torne River (1693–2020) and Kokemäki River (1793–2020). The Kokemäki River is a newly revised, extended, and updated ice breakup series from Pori. The Spearman analysis shows that the correlation between Aura and Kokemäki rivers is strong, while the correlation between the two southern rivers (Aura and Kokemäki) and Torne River is weaker. The difference is attributed to the longitudinal distance between the rivers. Temperature correlations are strong for all three rivers and the long-term trends towards earlier breakups are statistically significant. Aura and Kokemäki rivers show considerable changes. Aura and Kokemäki river have had two respectively three years without a complete ice cover in the 21st century. These are the first non-freeze events in over 270 years of recorded observations. In Torne River, however, the earliest recorded breakup date has changed only marginally the last 100 years. Moreover, the earliest recorded breakup date in the 21st century occurred only five days earlier than the earliest breakup date in the 18th century. Kokemäki River did not escape the hydroelectric power plant boom in the mid-1900s, and this has speeded up the breakup process. A qualitative analysis shows that exceptionally late ice breakups occurred in all three rivers in 1807, </w:t>
      </w:r>
    </w:p>
    <w:p>
      <w:r>
        <w:t>POSSIBLE 2021: Exposure of mammal genetic diversity to mid‐21st century global change — https://doi.org/10.1111/ecog.05588</w:t>
      </w:r>
    </w:p>
    <w:p>
      <w:r>
        <w:t>Shared claim-specific concepts: increase, climate, projections; EU scope not established. This is a provisional connection, not an outcome finding.</w:t>
      </w:r>
    </w:p>
    <w:p>
      <w:r>
        <w:t>Available abstract (not full text): Accelerating climate and land‐use change are rapidly transforming Earth's biodiversity. While there is substantial evidence on the exposure and vulnerability of biodiversity to global change at the species level, the global exposure of intraspecific genetic diversity (GD) is still unknown. Here, we assess the exposure of mitochondrial GD to mid‐21st century climate and land‐use change in terrestrial mammal assemblages at grid‐cell and bioclimatic region scales under alternative narratives of future societal development. We used global predictions of mammal GD distribution based on thousands of georeferenced mitochondrial genes for hundreds of mammal species, the latest generation of global climate models from the ongoing sixth phase of the Coupled Model Intercomparison Project (CMIP6), and global future projections of land‐use prepared for CMIP6. We found that more than 50% of the genetically poorest geographic areas (grid‐cells), primarily distributed in tundra, boreal forests/taiga and temperate bioclimatic regions, will be exposed to mean annual temperature rise that exceeds 2°C compared to the baseline period under all considered future scenarios. We also show that at least 30% of the most genetically rich areas in tropical, subtropical and montane regions will be exposed to an increase of mean annual temperature &gt; 2°C under less optimal scenarios. Genetic diversity in thes</w:t>
      </w:r>
    </w:p>
    <w:p>
      <w:r>
        <w:t>POSSIBLE 2021: Limnological changes in Lake Victoria since the mid‐20th century — https://doi.org/10.1111/fwb.13780</w:t>
      </w:r>
    </w:p>
    <w:p>
      <w:r>
        <w:t>Shared claim-specific concepts: increase, about, deeper, climate; EU scope not established. This is a provisional connection, not an outcome finding.</w:t>
      </w:r>
    </w:p>
    <w:p>
      <w:r>
        <w:t>Available abstract (not full text): Abstract Lake Victoria experienced a strong degradation of water quality between the 1960s and the 1990s and, as a consequence of eutrophication, the dominant phytoplankton group changed from diatoms to N2‐fixing cyanobacteria and there was a 2‐ to 10‐fold increase in chlorophyll‐a. The goal of this study is to determine whether the 2018–2019 physical (light, stratification) and ecological (nutrient, chlorophyll‐a, phytoplankton composition) conditions in Lake Victoria changed from the 1990s. Samples were collected in 2018–2019 in nearshore and offshore waters (Uganda), during three contrasting seasons: heavy rains (March), low rains (October), and dry (June), which corresponded to distinct water column mixing regimes, respectively, late‐stratified, early‐stratified, and mixed regimes. At each station (48 nearshore and 25 offshore), we measured vertical profiles of temperature, oxygen, phytoplankton biomass and composition, inorganic nutrients, and particulate organic carbon, particulate nitrogen (N), and phosphorus (P). Chlorophyll‐a concentrations in 2018–2019 were 10.3 ± 7.1 and 2.8 ± 1.1 µg/L in the nearshore and offshore surface waters, respectively, close to those measured in the 1960s before eutrophication, but distinctly lower than those measured in the 1990s (71 ± 100 and 14 ± 6 µg/L). The phytoplankton of Lake Victoria in 2018–2019 still appears dominated by diatoms a</w:t>
      </w:r>
    </w:p>
    <w:p>
      <w:r>
        <w:t>POSSIBLE 2020: Increased European heat waves in recent decades in response to shrinking Arctic sea ice and Eurasian snow cover — https://doi.org/10.1038/s41612-020-0110-8</w:t>
      </w:r>
    </w:p>
    <w:p>
      <w:r>
        <w:t>Shared claim-specific concepts: ice, increase, cover, climate; EU scope visible. This is a provisional connection, not an outcome finding.</w:t>
      </w:r>
    </w:p>
    <w:p>
      <w:r>
        <w:t>Available abstract (not full text): Abstract In recent decades, unprecedented extreme summer heat waves have occurred in Europe, and they have exhibited an increasing trend since 1970s. Although previous studies have suggested that these recent hot European summers could have been instigated by the underlying surface thermal conditions, the possible influence of shrinking Arctic sea ice and Eurasian snow cover on heat waves are not well understood. Herein, we present evidence obtained via observational analyses and numerical experiments indicating that the interdecadal increase in European heat waves is closely linked to the reductions in Arctic sea ice concentration (ASIC) and Eurasian snow cover fraction (EASC) across mid–high latitudes via the excitation of the anomalous Eurasian wave train. The combined effects of declined ASIC and EASC, accompanied by the drier soil and the stronger heat flux, tend to weaken the poleward temperature gradient at mid–high latitudes and affect the midlatitude jet stream and transient eddy activities. These dynamic and thermodynamic circulations increase the likelihood of more persistent European blocking events that favor frequent and strengthened heat waves. Further projection analysis of simulations from 13 CMIP5 climate models suggests that Europe may experience more hot summers as the ASIC and EASC continue to decline over the next century.</w:t>
      </w:r>
    </w:p>
    <w:p>
      <w:r>
        <w:t>POSSIBLE 2020: Six hundred years of South American tree rings reveal an increase in severe hydroclimatic events since mid-20th century — https://doi.org/10.1073/pnas.2002411117</w:t>
      </w:r>
    </w:p>
    <w:p>
      <w:r>
        <w:t>Shared claim-specific concepts: increase, climate, projections; EU scope not established. This is a provisional connection, not an outcome finding.</w:t>
      </w:r>
    </w:p>
    <w:p>
      <w:r>
        <w:t>Available abstract (not full text): South American (SA) societies are highly vulnerable to droughts and pluvials, but lack of long-term climate observations severely limits our understanding of the global processes driving climatic variability in the region. The number and quality of SA climate-sensitive tree ring chronologies have significantly increased in recent decades, now providing a robust network of 286 records for characterizing hydroclimate variability since 1400 CE. We combine this network with a self-calibrated Palmer Drought Severity Index (scPDSI) dataset to derive the South American Drought Atlas (SADA) over the continent south of 12°S. The gridded annual reconstruction of austral summer scPDSI is the most spatially complete estimate of SA hydroclimate to date, and well matches past historical dry/wet events. Relating the SADA to the Australia-New Zealand Drought Atlas, sea surface temperatures and atmospheric pressure fields, we determine that the El Niño-Southern Oscillation (ENSO) and the Southern Annular Mode (SAM) are strongly associated with spatially extended droughts and pluvials over the SADA domain during the past several centuries. SADA also exhibits more extended severe droughts and extreme pluvials since the mid-20th century. Extensive droughts are consistent with the observed 20th-century trend toward positive SAM anomalies concomitant with the weakening of midlatitude Westerlies, whi</w:t>
      </w:r>
    </w:p>
    <w:p>
      <w:pPr>
        <w:pStyle w:val="Heading2"/>
      </w:pPr>
      <w:r>
        <w:t>How much can societal turning points affect forecasts’ accuracy in Europe? Case of post-communistic transformation in Slovakia and the Czech Republic</w:t>
      </w:r>
    </w:p>
    <w:p>
      <w:r>
        <w:t>Original source (2019): https://doi.org/10.1186/s40309-019-0158-z</w:t>
      </w:r>
    </w:p>
    <w:p>
      <w:r>
        <w:t>Original wording (abstract; indexed_source_text_not_full_document_verified): Here, the alternative future is built and simulated in terms of what the populations would have looked like if the socialist system had not collapsed.</w:t>
      </w:r>
    </w:p>
    <w:p>
      <w:r>
        <w:t>POSSIBLE 2023: Probiotic-Based Sanitation in the Built Environment—An Alternative to Chemical Disinfectants — https://doi.org/10.3390/applmicrobiol3020038</w:t>
      </w:r>
    </w:p>
    <w:p>
      <w:r>
        <w:t>Shared claim-specific concepts: here, alternative, built; EU scope not established. This is a provisional connection, not an outcome finding.</w:t>
      </w:r>
    </w:p>
    <w:p>
      <w:r>
        <w:t>Available abstract (not full text): The use of conventional chemical disinfectants is a common practice in built environments and has drastically increased in response to the COVID-19 pandemic. While effective for instantaneous disinfection, the application of chemical disinfectants to indoor surfaces is associated with recontamination and is prone to select for antimicrobial-resistant pathogens. In contrast, probiotic-based sanitation (PBS) relies on the premise that probiotic bacteria, namely apathogenic Bacillus spp., when combined with eco-friendly detergents and applied to indoor surfaces can outcompete and exclude pathogens. Recent in situ studies assessing PBS in healthcare settings have demonstrated overwhelmingly positive results, including significant reductions in pathogen burden, antimicrobial-resistant genes and nosocomial infections, yet these studies are limited in duration and scope. Here, we review results of Bacillus-based PBS in practice, identify knowledge gaps and discuss the considerations for the widespread use of PBS in built environments. In a time when indoor cleaning and disinfection has come to the forefront, PBS may offer an attractive, effective and sustainable alternative to conventional chemical disinfectants.</w:t>
      </w:r>
    </w:p>
    <w:p>
      <w:r>
        <w:t>POSSIBLE 2023: Ecospirituality in French-Speaking Europe: Linking Ecological Thought with Alternative Spirituality — https://doi.org/10.3390/rel14040510</w:t>
      </w:r>
    </w:p>
    <w:p>
      <w:r>
        <w:t>Shared claim-specific concepts: here, alternative, built; EU scope visible. This is a provisional connection, not an outcome finding.</w:t>
      </w:r>
    </w:p>
    <w:p>
      <w:r>
        <w:t>Available abstract (not full text): Contemporary ecospirituality is built on a double articulation between ecology (science) and spirituality (religion) and can be intertwined with practices and beliefs stemming from neopaganism and, more broadly, an animist vision. The study presented here is anchored in social anthropology, which adds an important empirical dimension that is often underrepresented within the contemporary debates of ecospirituality and the philosophical approaches to science and religion. I therefore propose to begin by describing the methodology I am using. Then, I will outline the sociological (and historical) roots of ecospirituality. Thirdly, I will present the main different currents that make up ecospirituality. Finally, I will end this article by exposing the different types of knowledge produced by ecospiritual actors, reconciling intuitive knowledge and rational knowledge.</w:t>
      </w:r>
    </w:p>
    <w:p>
      <w:r>
        <w:t>POSSIBLE 2023: Temporal PROMETHEE II — New multi-criteria approach to sustainable management of alternative fuels consumption — https://doi.org/10.1016/j.jclepro.2023.137445</w:t>
      </w:r>
    </w:p>
    <w:p>
      <w:r>
        <w:t>Shared claim-specific concepts: here, alternative, built, like, not; EU scope visible. This is a provisional connection, not an outcome finding.</w:t>
      </w:r>
    </w:p>
    <w:p>
      <w:r>
        <w:t>Available abstract (not full text): Alternative fuels are the subject of growing interest among both researchers and practitioners. In this aspect, to properly handle the problem of proper evaluating alternative fuels, appropriate methods, and tools are undoubtedly needed. Since the evaluation of sustainable alternative fuels similarly, like most sustainability problems, has a multi-criteria character, multi-criteria methods have the potential to be employed here. Analysis of the alternative fuels domain indicates that classical multi-criteria methods are not exactly suitable for use in cases where, instead of a single matrix for evaluating alternatives, we have a set of them collected for particular periods. Therefore, developing a dedicated approach that considers the specifics of a given problem is necessary. For this purpose, the paper proposes a new Temporal Preference Ranking Organization Method for Enrichment Evaluations II (PROMETHEE II) method for multi-criteria temporal evaluation. Hence, the presented method solves the limitations occurring in previously developed multi-criteria methods. In addition to the classical aspect of evaluating the options under consideration, the proposed method makes it possible to accurately grasp the dynamics of the outcomes and put them into an easy-to-interpret result. A practical contribution of the paper is applying the developed method to a multi-criteria temporal eva</w:t>
      </w:r>
    </w:p>
    <w:p>
      <w:r>
        <w:t>POSSIBLE 2020: Right‐Wing Populism in Rural Europe. Introduction to the Special Issue — https://doi.org/10.1111/soru.12306</w:t>
      </w:r>
    </w:p>
    <w:p>
      <w:r>
        <w:t>Shared claim-specific concepts: here, built, system; EU scope visible. This is a provisional connection, not an outcome finding.</w:t>
      </w:r>
    </w:p>
    <w:p>
      <w:r>
        <w:t>Available abstract (not full text): Abstract This special issue aims to understand the rise of right‐wing populism in the European countryside, as well as the forms of resistance and the alternatives being built against it. In this short introduction, we briefly present the main objectives and conceptual position of the special issue and introduce its articles. Each article is discussed here based on its contribution to one of the following themes: (1) analysis of the existing socio‐economic system and power relations that gave rise to right‐wing populism in rural Europe; (2) critical examination of the major assumptions about rural support for populist movements; (3) problematic overlap between politics and rhetoric of right‐wing populist parties and left‐wing (green) parties and agrarian movements; (4) agrarian populism and food sovereignty movement as progressive alternatives to right‐wing politics in the European countryside.</w:t>
      </w:r>
    </w:p>
    <w:p>
      <w:r>
        <w:t>POSSIBLE 2020: Alternative lenses for viewing how China has built its accounting and auditing profession — https://doi.org/10.1108/jaee-01-2019-0029</w:t>
      </w:r>
    </w:p>
    <w:p>
      <w:r>
        <w:t>Shared claim-specific concepts: here, alternative, built; EU scope not established. This is a provisional connection, not an outcome finding.</w:t>
      </w:r>
    </w:p>
    <w:p>
      <w:r>
        <w:t>Available abstract (not full text): Purpose The paper reviews some theoretical approaches that have been adopted for understanding the drivers and achievements of the Chinese professional project and the challenges it faces for the future, as a complement and a contrast to previous histories of China and to studies of other developing economies. Design/methodology/approach Based mainly on evaluating the information as obtained from the interviews in mainland China, in Hong Kong and in London reported by Macve (2020), complemented by other published histories. Findings China remains a paradox. Since the “reform and open” policy began in 1978 it has been transformed from one of the poorest countries to one of the economically most powerful in just some 40 years. However it remains (per capita) a “developing country”/”emerging economy” and ideologically a Communist country. While the accounting profession in the USA and UK has developed “from the bottom up” over more than a century and a half, the Chinese profession has effectively been created “from the top down” in under 25 years. The paper outlines alternative theorizations of the major stages in this achievement, in the context of the continuing rapid growth of China's economy and its stock markets, and of the overseas expansion of its manufacturing and increasingly service-oriented base. Research limitations/implications Space has restricted the analysis here t</w:t>
      </w:r>
    </w:p>
    <w:p>
      <w:r>
        <w:t>POSSIBLE 2020: Flood exposure and vulnerability estimation methods for residential and commercial assets in Europe — https://doi.org/10.5194/egusphere-egu2020-4753</w:t>
      </w:r>
    </w:p>
    <w:p>
      <w:r>
        <w:t>Shared claim-specific concepts: here, alternative, built; EU scope visible. This is a provisional connection, not an outcome finding.</w:t>
      </w:r>
    </w:p>
    <w:p>
      <w:r>
        <w:t>Available abstract (not full text): Floods affect many types of tangible assets in Europe. Here, we present novel methods of estimating exposure and vulnerability of four important categories of assets: (1) residential buildings, (2) household contents, (3) non-residential buildings, (4) machinery and equipment. One set of models was developed for “residential” assets (1+2) and another one for “commercial” assets (3+4) within the activities of EIT Climate-KIC “SaferPLACES” project. All methods are applicable within Europe using only openly-available datasets at the level of individual buildings. Residential exposure is calculated through combination of estimated useful flood space of buildings and average national replacement costs of buildings and household contents. We devised a method for estimating building height using OpenStreetMap and pan-European raster datasets and transforming it into floor space area. Combining economic and demographic data, we calculated replacement costs of residential assets per m2 of floor space in 30 European countries, covering years 2000–2017. Regarding commercial assets, we created a method to disaggregate economic statistics to obtain detailed building-level estimates of replacement costs of non-residential buildings and machinery/equipment. Finally, we developed two Bayesian Network-based, probabilistic, multivariate models to estimate relative losses to residential and comme</w:t>
      </w:r>
    </w:p>
    <w:p>
      <w:pPr>
        <w:pStyle w:val="Heading2"/>
      </w:pPr>
      <w:r>
        <w:t>Implementing Dynamics of Immigration Integration in Labor Force Participation Projection in EU28</w:t>
      </w:r>
    </w:p>
    <w:p>
      <w:r>
        <w:t>Original source (2019): https://doi.org/10.1007/s11113-019-09537-y</w:t>
      </w:r>
    </w:p>
    <w:p>
      <w:r>
        <w:t>Original wording (abstract; indexed_source_text_not_full_document_verified): Then, the microsimulation model is used to project EU labor force population for the period 2015–2060 under different scenarios illustrating how implementing sex- and country-specific dynamics of immigrants’ integration may affect the future labor force in terms of size, rates, and gender composition. An increase in immigration levels leads obviously to an increase in the total labor force size, but may also widen gender inequalities in labor force participation and has limited impact on the total labor force participation rate.</w:t>
      </w:r>
    </w:p>
    <w:p>
      <w:r>
        <w:t>POSSIBLE 2025: The burden of informal family caregiving in Europe, 2000–2050: a microsimulation modelling study — https://doi.org/10.1016/j.lanepe.2025.101295</w:t>
      </w:r>
    </w:p>
    <w:p>
      <w:r>
        <w:t>Shared claim-specific concepts: microsimulation, project, population, dynamics, gender, increase; EU scope visible. This is a provisional connection, not an outcome finding.</w:t>
      </w:r>
    </w:p>
    <w:p>
      <w:r>
        <w:t>Available abstract (not full text): Background: The demand for informal care in Europe is increasing, with family members often providing essential support. However, the future burden of informal family caregiving remains unclear. This study estimates and projects trends in the burden of family caregiving across 31 European countries from 2000 to 2050. Methods: We developed a demographic microsimulation model to estimate and project family care burden. The model produces virtual populations with realistic kinship networks and health trajectories over time. From these kinship structures, we defined a novel metric - Years Lived Caregiving for older relatives (YLCs). It accounts for care recipients' disability severity, care dynamics within kinship networks, and national institutional care capacity. Model inputs included demographic data from UN World Population Prospects, marital statistics from Eurostat, disease prevalence from the Global Burden of Disease study, and microdata from the SHARE survey. Findings: From 2000 to 2050, in Europe the overall burden for informal care is projected to increase by +49.7% (95% UI 45-53.6), from 7.98 (7.65-8.28) to 11.9 (11.4-12.5) million YLC. Musculoskeletal disorders are the largest cause of care burden, contributing to 2.3 (2.18-2.42) million YLC in 2050. Burden of informal care is disproportionally higher for women, although the gender gap is in a descending trend. Interpre</w:t>
      </w:r>
    </w:p>
    <w:p>
      <w:r>
        <w:t>POSSIBLE 2025: Long-term impact of a sugar-sweetened beverage tax and increased physical activity on obesity and diabetes burden in Central and Eastern European Countries: a microsimulation model — https://doi.org/10.1016/j.diabres.2025.113002</w:t>
      </w:r>
    </w:p>
    <w:p>
      <w:r>
        <w:t>Shared claim-specific concepts: microsimulation, increase; EU scope visible. This is a provisional connection, not an outcome finding.</w:t>
      </w:r>
    </w:p>
    <w:p>
      <w:r>
        <w:t>Available abstract (not full text): AIMS: This study models the potential health impacts of combining fiscal and behavioral policies, specifically, sugar-sweetened beverage (SSB) taxation and increases in physical activity (PA), across six Central and Eastern European (CEE) countries. METHODS: We simulated the effects of a 20 % SSB tax combined with a 15 % increase in PA on obesity, type 2 diabetes mellitus (T2DM), and mortality over 30 years in Bulgaria, Czechia, Hungary, Poland, Romania, and Slovakia. Sensitivity analyses examined alternative scenarios, including SSB substitution with water, a 30 % fruit and vegetable subsidy. RESULTS: Combined SSB taxation and PA increases would have a significant impact on low-income adults aged 15-49 in Czechia, Hungary, and Romania, whereas high-income groups benefit most in Bulgaria, Poland, and Slovakia. It could prevent between 7,344 (95 % UI: 4,520, 10,168) T2DM cases in Slovakia and 24,142 (95 % UI: 18,809, 29,474) in Poland. Obesity reductions are projected to peak in the early to mid-2030 s, with T2DM and mortality benefits accruing more gradually. CONCLUSIONS: Integrating fiscal and behavioural policies could reduce the burden of obesity, T2DM, and related inequalities in CEE countries, supporting strategies aligned with the WHO and Sustainable Development Goals.</w:t>
      </w:r>
    </w:p>
    <w:p>
      <w:r>
        <w:t>POSSIBLE 2023: QuantMig microsimulation population projection model and migration scenarios for 31 European countries — https://doi.org/10.5281/zenodo.7728048</w:t>
      </w:r>
    </w:p>
    <w:p>
      <w:r>
        <w:t>Shared claim-specific concepts: microsimulation, project, population, immigration; EU scope visible. This is a provisional connection, not an outcome finding.</w:t>
      </w:r>
    </w:p>
    <w:p>
      <w:r>
        <w:t>Available abstract (not full text): This open data deposit contains the data and model code of QuantMig-Mic microsimulation population projection model for 31 European countries and accompanies deliverables D8.3: Model outputs for dissemination and D8.1: Microsimulation projection model. This Zenodo deposit contains datasets of model input (baseline population and immigration database) and output data (demography and components output tables) and model code with parameters of the Baseline scenario (termed Default in the model code) deposited in QuantMig_mic.zip file. To view the code the users must first install MODGEN software (or can view code files in Visual Studio). All scenarios share the same parameters except the immigrant population - to change the immigration assumptions the users can import immigration assumptions for any other scenario from the ImmigDataBase.csv and change it in the immigration module using the MODGEN user interface or using Visual Studio. The file structure and codebook for the data files is included in the cover note file "readme_quantmig_datasets.pdf" Detailed information about the QuantMig-Mic microsimulation model, its modules and parameters: Marois, G., Potančoková, M., González-Leonardo, M. (2023) QuantMig-Mic microsimulation population projection model. QuantMig Project Deliverable D8.2. International Institute for Applied Systems Analysis (IIASA), Austria. Available at:http://</w:t>
      </w:r>
    </w:p>
    <w:p>
      <w:r>
        <w:t>POSSIBLE 2023: MicSim, a microsimulation model for population dynamics — https://doi.org/10.21203/rs.3.rs-2986170/v1</w:t>
      </w:r>
    </w:p>
    <w:p>
      <w:r>
        <w:t>Shared claim-specific concepts: microsimulation, used, project, population, different, dynamics; EU scope visible. This is a provisional connection, not an outcome finding.</w:t>
      </w:r>
    </w:p>
    <w:p>
      <w:r>
        <w:t>Available abstract (not full text): Abstract Demographers use microsimulation for studying individual life courses and their attributes; events are specified to be the result of stochastic processes based on predetermined probabilistic rules. In this study, we developed and validated a microsimulation model to reconstruct individual’s life courses and their interactions in different regions of the European Union. One of the main objectives of this study was to track migrants’ pathways in the context of three population systems, namely Sweden, the Netherlands and Spain, from 2014 to 2018. We used official datasets as data inputs to analyze and project future population dynamics. A revised version of the MicSim package which is part of the statistical software R has been used to model mobility and migration patterns at large scale. For this purpose, among other things new functions were added to make the software more efficient concerning runtimes and data handling. By analyzing the modelling results we conclude that MicSim has the potential to be applied for modelling migration and also more general population movements at a large scale. The application of the MicSim package would provide policy makers with a valid instrument for the governance of migration accounting for the demographic and social patterns of migrants and their origin-destination contextual environments.</w:t>
      </w:r>
    </w:p>
    <w:p>
      <w:r>
        <w:t>POSSIBLE 2022: Health Equity and Its Economic Determinants (HEED): protocol for a pan-European microsimulation model for health impacts of income and social security policies — https://doi.org/10.1136/bmjopen-2022-062405</w:t>
      </w:r>
    </w:p>
    <w:p>
      <w:r>
        <w:t>Shared claim-specific concepts: microsimulation, project, population, different; EU scope visible. This is a provisional connection, not an outcome finding.</w:t>
      </w:r>
    </w:p>
    <w:p>
      <w:r>
        <w:t>Available abstract (not full text): Introduction Government policies on taxation and social security are important determinants of population health outcomes and health inequalities. However, there is a shortage of evidence to inform policymakers of the health consequences of such policies. The Health Equity and Its Economic Determinants project aims to assess the potential impacts of different taxation and social security policies across Europe on population health and health inequalities using a computer-based simulation that provides projections over multiple health domains. Methods and analysis In the first phase, key input parameters for the model will be estimated using estimation techniques that control for the effects of prior exposure on time-varying confounders and mediators (g-methods). The second phase will involve developing and validating the microsimulation model for the UK. Policy proposals, developed with policymakers, will be simulated in the third phase to investigate the impacts of income tax and social security changes on population health and health inequalities. In the final phase, the microsimulation model will be extended across other European countries. Ethics and dissemination This project will use deidentified secondary data for which ethical approval and consents were received by the original data collectors. No further ethical approval will be required for our main analytical dataset</w:t>
      </w:r>
    </w:p>
    <w:p>
      <w:r>
        <w:t>POSSIBLE 2022: Modeling Fuzzy Fidelity: Using Microsimulation to Explore Age, Period, and Cohort Effects in Secularization — https://doi.org/10.1163/2589742x-bja10012</w:t>
      </w:r>
    </w:p>
    <w:p>
      <w:r>
        <w:t>Shared claim-specific concepts: microsimulation, population, period; EU scope visible. This is a provisional connection, not an outcome finding.</w:t>
      </w:r>
    </w:p>
    <w:p>
      <w:r>
        <w:t>Available abstract (not full text): Abstract This article presents a microsimulation that explores age, period, and cohort effects in the decline of religiosity in contemporary societies. The model implements a well-known and previously empirically validated theory of secularization that highlights the role of “fuzzy fidelity,” i.e., the percentage of a population whose religiosity is moderate (Voas 2009). Validation of the model involved comparing its simulation results to shifts in religiosity over 9 waves of the European Social Survey. Simulation experiments suggest that a cohort effect, based on weakened transmission of religiosity as a function of the social environment, appears to be the best explanation for secularization in the societies studied, both for the population as a whole and for the proportions of religious, fuzzy, and secular people.</w:t>
      </w:r>
    </w:p>
    <w:p>
      <w:r>
        <w:t>POSSIBLE 2021: Projecting health-ageing trajectories in Europe using a dynamic microsimulation model — https://doi.org/10.1038/s41598-021-81092-z</w:t>
      </w:r>
    </w:p>
    <w:p>
      <w:r>
        <w:t>Shared claim-specific concepts: microsimulation, used, project, population, period; EU scope visible. This is a provisional connection, not an outcome finding.</w:t>
      </w:r>
    </w:p>
    <w:p>
      <w:r>
        <w:t>Available abstract (not full text): The extent of the challenges and opportunities that population ageing presents depends heavily on the population's health. Hence, for the development of appropriate strategies that enable countries to adopt the emerging demographic and epidemiological realities, information on future health trajectories of elderly population is a natural requirement. This study presents an innovative methodological framework for projecting the health of individuals using a dynamic microsimulation model that considers interactions between sociodemographic characteristics, health, mortality, bio-medical and behavioral risk factors. The model developed, called ATHLOS-Mic, is used to project the health of cohorts born before 1960 for the period 2015-2060 for selected European Countries using SHARE data to illustrate the possible effects of some selected risk factors and education on future health trajectories. Results show that, driven by a better educational attainment, each generation will be healthier than the previous one at same age. Also, we see that, on average, an individual of our base population will live about 18 more years since the start of the projection period, but only 5 years in good health. Finally, we find that a scenario that removes the effect of having a low level of education on individual health has the largest impact on the projected average health, the average number of ye</w:t>
      </w:r>
    </w:p>
    <w:p>
      <w:r>
        <w:t>POSSIBLE 2021: Development and Validation of Three Regional Microsimulation Models for Predicting Colorectal Cancer Screening Benefits in Europe — https://doi.org/10.1177/2381468320984974</w:t>
      </w:r>
    </w:p>
    <w:p>
      <w:r>
        <w:t>Shared claim-specific concepts: microsimulation, period, different, rates; EU scope visible. This is a provisional connection, not an outcome finding.</w:t>
      </w:r>
    </w:p>
    <w:p>
      <w:r>
        <w:t>Available abstract (not full text):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r>
        <w:t>POSSIBLE 2021: Development and Validation of Three Regional Microsimulation Models for Predicting Colorectal Cancer Screening Benefits in Europe — https://doi.org/10.25384/sage.c.5291471</w:t>
      </w:r>
    </w:p>
    <w:p>
      <w:r>
        <w:t>Shared claim-specific concepts: microsimulation, period, different, rates; EU scope visible. This is a provisional connection, not an outcome finding.</w:t>
      </w:r>
    </w:p>
    <w:p>
      <w:r>
        <w:t>Available abstract (not full text): Background. Validated microsimulation models have been shown to be useful tools in providing support for colorectal cancer (CRC) screening decisions. Aiming to assist European countries in reducing CRC mortality, we developed and validated three regional models for evaluating CRC screening in Europe. Methods. Microsimulation Screening Analysis–Colon (MISCAN-Colon) model versions for Italy, Slovenia, and Finland were quantified using data from different national institutions. These models were validated against the best available evidence for the effectiveness of screening from their region (when available): the Screening for COlon REctum (SCORE) trial and the Florentine fecal immunochemical test (FIT) screening study for Italy; the Norwegian Colorectal Cancer Prevention (NORCCAP) trial and the guaiac fecal occult blood test (gFOBT) Finnish population-based study for Finland. When published evidence was not available (Slovenia), the model was validated using cancer registry data. Results. Our three models reproduced age-specific CRC incidence rates and stage distributions in the prescreening period. Moreover, the Italian and Finnish models replicated CRC mortality reductions (reasonably) well against the best available evidence. CRC mortality reductions were predicted slightly larger than those observed (except for the Florentine FIT study), but consistently within the correspon</w:t>
      </w:r>
    </w:p>
    <w:p>
      <w:r>
        <w:t>POSSIBLE 2021: POS-323 INSIDE CKD: PROJECTING THE FUTURE BURDEN OF CHRONIC KIDNEY DISEASE IN EUROPE USING MICROSIMULATION MODELLING — https://doi.org/10.1016/j.ekir.2021.03.339</w:t>
      </w:r>
    </w:p>
    <w:p>
      <w:r>
        <w:t>Shared claim-specific concepts: microsimulation, project, period; EU scope visible. This is a provisional connection, not an outcome finding.</w:t>
      </w:r>
    </w:p>
    <w:p>
      <w:r>
        <w:t>Available abstract (not full text): Chronic kidney disease (CKD) is a debilitating and costly condition, affecting about 10% of people globally. Progression of CKD is associated with increased incidence of cardiovascular events, adverse renal outcomes and mortality, as well as high costs from renal replacement therapy (RRT) in end-stage renal disease. The future trajectories of CKD prevalence, progression and outcomes and their related costs, are critical considerations for public health and policy planning. Inside CKD aims to project, for the 2020–2025 period, the public health burden of CKD in Europe using a patient-level microsimulation-based model.</w:t>
      </w:r>
    </w:p>
    <w:p>
      <w:r>
        <w:t>POSSIBLE 2021: Developing an integrated microsimulation model for the impact of fiscal policies on child health in Europe: the example of childhood obesity in Italy — https://doi.org/10.1186/s12916-021-02155-6</w:t>
      </w:r>
    </w:p>
    <w:p>
      <w:r>
        <w:t>Shared claim-specific concepts: microsimulation, population, different, increase; EU scope visible. This is a provisional connection, not an outcome finding.</w:t>
      </w:r>
    </w:p>
    <w:p>
      <w:r>
        <w:t>Available abstract (not full text): BACKGROUND: We developed an integrated model called Microsimulation for Income and Child Health (MICH) that provides a tool for analysing the prospective effects of fiscal policies on childhood health in European countries. The aim of this first MICH study is to evaluate the impact of alternative fiscal policies on childhood overweight and obesity in Italy. METHODS: MICH model is composed of three integrated modules. Firstly, module 1 (M1) simulates the effects of fiscal policies on disposable household income using the tax-benefit microsimulation program EUROMOD fed with the Italian EU-SILC 2010 data. Secondly, module 2 (M2) exploits data provided by the Italian birth cohort called Nascita e Infanzia: gli Effetti dell'Ambiente (NINFEA), translated as Birth and Childhood: the Effects of the Environment study, and runs a series of concatenated regressions in order to estimate the prospective effects of income on child body mass index (BMI) at different ages. Finally, module 3 (M3) uses dynamic microsimulation techniques that combine the population structure and incomes obtained by M1, with regression model specifications and estimated effect sizes provided by M2, projecting BMI distributions according to the simulated policy scenarios. RESULTS: Both universal benefits, such as universal basic income (BI), and targeted interventions, such as child benefit (CB) for poorer househol</w:t>
      </w:r>
    </w:p>
    <w:p>
      <w:r>
        <w:t>POSSIBLE 2021: MO494INSIDE CKD: MODELLING THE ECONOMIC BURDEN OF CHRONIC KIDNEY DISEASE IN EUROPE USING PATIENT-LEVEL MICROSIMULATION — https://doi.org/10.1093/ndt/gfab087.0014</w:t>
      </w:r>
    </w:p>
    <w:p>
      <w:r>
        <w:t>Shared claim-specific concepts: microsimulation, used, population, country-specific, rates, increase; EU scope visible. This is a provisional connection, not an outcome finding.</w:t>
      </w:r>
    </w:p>
    <w:p>
      <w:r>
        <w:t>Available abstract (not full text): Abstract Background and Aims Chronic kidney disease (CKD) is a debilitating and costly condition, affecting approximately 10% of people globally. Progression of CKD is associated with an increased incidence of adverse renal and cardiovascular outcomes, and premature mortality, as well as increased requirement for renal replacement therapies (RRTs), which are associated with significant healthcare costs and resource use. The trajectories of CKD prevalence, progression, outcomes and the related costs are therefore critical considerations for public health and policy planning. Using country-specific, patient-level microsimulation, Inside CKD aims to model the global clinical and economic burden of CKD from 2020 to 2025. Method We used the Inside CKD microsimulation to model the economic burden of CKD in Europe. A virtual general population was developed for each country using national survey data and relevant data from published literature. Data inputs included country demographics, the prevalence of CKD and RRT, comorbidities and complication rates, as well as associated healthcare costs. CKD stages were defined according to Kidney Disease Improving Global Outcomes (KDIGO) 2012 recommendations and patients were categorized according to estimated glomerular filtration rate and albuminuria status. RRT modelling was calibrated against historical trends from country-specific renal re</w:t>
      </w:r>
    </w:p>
    <w:p>
      <w:pPr>
        <w:pStyle w:val="Heading2"/>
      </w:pPr>
      <w:r>
        <w:t>Life cycle assessment integration into energy system models: An application for Power-to-Methane in the EU</w:t>
      </w:r>
    </w:p>
    <w:p>
      <w:r>
        <w:t>Original source (2019): https://doi.org/10.1016/j.apenergy.2019.114160</w:t>
      </w:r>
    </w:p>
    <w:p>
      <w:r>
        <w:t>Original wording (abstract; indexed_source_text_not_full_document_verified): This study does an ex-post LCA analysis of results from JRC-EU-TIMES and estimates the environmental impact indicators across 18 categories in scenarios that achieve 80–95% CO2 emission reduction by 2050.</w:t>
      </w:r>
    </w:p>
    <w:p>
      <w:r>
        <w:t>POSSIBLE 2026: Prospective Environmental Assessment of Citric Acid Production: An Integrated Framework of Ex-Ante LCA and Technological Learning — https://doi.org/10.3390/su18062848</w:t>
      </w:r>
    </w:p>
    <w:p>
      <w:r>
        <w:t>Shared claim-specific concepts: lca, environmental, categories, co2; EU scope not established. This is a provisional connection, not an outcome finding.</w:t>
      </w:r>
    </w:p>
    <w:p>
      <w:r>
        <w:t xml:space="preserve">Available abstract (not full text): Citric acid (CA) necessitates the investigation of the environmental footprint from its production. This study compared three recovery technologies at different readiness levels, industrial calcium hydrogen salt precipitation–ion exchange (CHP-IE), pilot-scale solvent extraction (SE), and laboratory-scale bipolar membrane electrodialysis (BMED), to evaluate the life cycle environmental impacts of CA production when employing each recovery technology. SE and BMED were selected as emerging alternatives, as both are potential candidates to offer environmental or economic advantages over CHP-IE. By modeling the continuous improvement in the key production parameters as cumulative production experience increases, technological learning curves capture the efficiency gains that occur as technologies mature. This study pioneers an integrated ex-ante LCA framework that couples technological learning curves with energy transition scenarios to prospectively compare emerging CA recovery technologies against an industrialized process. Currently, CHP-IE shows the highest profit of 1078 CNY/t CA and the lowest global warming potential (GWP) of 1.79 t CO2 eq/t CA, with the latter advantage projected to persist until 2030. By 2050, under deep decarbonization, BMED becomes the lowest-carbon option with 0.78 t CO2 eq/t CA. Furthermore, with maize as the primary raw material, improved cultivation </w:t>
      </w:r>
    </w:p>
    <w:p>
      <w:r>
        <w:t>POSSIBLE 2026: All LCA models are wrong. Are some of them useful? Towards open computational LCA in ICT — https://doi.org/10.1145/3801488.3807497</w:t>
      </w:r>
    </w:p>
    <w:p>
      <w:r>
        <w:t>Shared claim-specific concepts: lca, environmental, achieve; EU scope not established. This is a provisional connection, not an outcome finding.</w:t>
      </w:r>
    </w:p>
    <w:p>
      <w:r>
        <w:t>Available abstract (not full text): Life Cycle Assessment (LCA) is increasingly used to quantify and regulate the environmental impacts of Information and Communication Technology (ICT) systems. Since direct biosphere measurements are complicated to perform, we claim that the environmental impact assessment of ICT relies heavily on models. In this paper, we first revisit the fundamentals of LCA: we emphasize that ICT LCAs effectively form systems of models, and we argue that such systems require an “extra‑high” level of carefulness in construction, calibration, integration, and interpretation. We then document how this level of rigor is challenging to achieve with current practices. This is illustrated with emblematic examples of model misuse and an analysis of structural challenges related to database choice, scope mismatches, opaque aggregation, and model integration. From this analysis, we derive four key requirements for credible ICT LCA: explicit model lineage, clearly defined model scope, end‑to‑end traceability, and managed non‑obsolescence. Finally, we propose a framework that operationalizes these requirements using explicit dependency graphs, an open and versioned LCA-oriented model repository, automatic enforcement of integrity constraints, and a well‑defined model taxonomy.</w:t>
      </w:r>
    </w:p>
    <w:p>
      <w:r>
        <w:t>POSSIBLE 2025: Background report of ex-ante LCAs for CBE JU application IRIS — https://openalex.org/W7112006283</w:t>
      </w:r>
    </w:p>
    <w:p>
      <w:r>
        <w:t>Shared claim-specific concepts: lca, environmental, categories, co2, reduction; EU scope visible. This is a provisional connection, not an outcome finding.</w:t>
      </w:r>
    </w:p>
    <w:p>
      <w:r>
        <w:t xml:space="preserve">Available abstract (not full text): To assess the environmental sustainability aspects of the IRIS technologies, ex-ante LCAs were carried out, considering a broad range of environmental impact categories like climate, resource efficiency and pollution (emissions to air, soil and water). The overall goal was to quantify the potential environmental effects from upscaling the technologies, in reference to a conventional benchmark considering the potential benefit of the IRIS innovations. A second goal was to identify critical issues of each technology early on, so that risks could be identified and IRIS could steer the development in the right direction. The data availability for the ex-ante LCAs varied greatly for different reasons, so each assessment should be discussed and interpreted separately. Biobased indigo: This ex-ante LCA is based on a recent internal study (2024). The alternative with the highest climate mitigation potential was the 2023 process (50%), followed by the fermentation process (46%) and finally the 2020 process (15%). The overall results from the study indicate that the proposed indigo solution has significant potential for environmental impact mitigation. Microbial dyes derived from atmospheric CO2 :This ex-ante LCA was modelled using specific process data obtained from partner’s pilot production. The results show that the climate impact of the biobased dye (2.5 kg CO2-eq/kg of dye) is 13% </w:t>
      </w:r>
    </w:p>
    <w:p>
      <w:r>
        <w:t>POSSIBLE 2025: Anticipating uncertainty in infrastructure LCC, LCA, and S-LCA: A systematic, context-aware early identification framework — https://doi.org/10.1016/j.eiar.2025.108175</w:t>
      </w:r>
    </w:p>
    <w:p>
      <w:r>
        <w:t>Shared claim-specific concepts: lca, indicators, across; EU scope not established. This is a provisional connection, not an outcome finding.</w:t>
      </w:r>
    </w:p>
    <w:p>
      <w:r>
        <w:t>Available abstract (not full text): Uncertainty undermines the reliability of Life Cycle Costing (LCC), Life Cycle Assessment (LCA), and Social Life Cycle Assessment (S-LCA) in Infrastructure Asset Management (IAM). Many methods for uncertainty analysis exist, but practitioners often lack systematic guidance to anticipate how uncertainties will unfold in specific assessments and thereby how to manage them. We propose a pre-emptive framework that anchors uncertainty analysis in the shared modelling structure of product systems, processes, and flows, making it transferable across the three methodologies. The framework links assessment context to uncertainty through three profiling indicators—instance count, intensity level, and prospective needs—and eleven infrastructure-specific dimensions that shape them. Mapping these dimensions across IAM decision-making levels illustrates how uncertainty escalates in the assessment contexts in which individual studies are embedded. A practitioner's checklist translates the framework into an early uncertainty profiling tool, guiding analysts to target rigorous modelling and quantification where it matters most. The discussion highlights the critical interdependencies between dimensions and identifies prospective needs as the dominant driver of uncertainty. Ultimately, by making uncertainty profiles explicit up front, the framework fosters proportionate, transparent, and context</w:t>
      </w:r>
    </w:p>
    <w:p>
      <w:r>
        <w:t>POSSIBLE 2024: Ex-ante LCA of magnet recycling: Progressing towards sustainable industrial-scale technology — https://doi.org/10.1016/j.jclepro.2024.142453</w:t>
      </w:r>
    </w:p>
    <w:p>
      <w:r>
        <w:t>Shared claim-specific concepts: lca, environmental, categories; EU scope not established. This is a provisional connection, not an outcome finding.</w:t>
      </w:r>
    </w:p>
    <w:p>
      <w:r>
        <w:t>Available abstract (not full text): To alleviate the pressure on the rare earth supply chain, new technologies are under development for recovering, recycling and remanufacturing NdFeB magnets. In this study, the anticipated environmental performance of large-scale recycling is investigated and compared to the production of primary magnets. To do so, this ex-ante life cycle assessment combines input from measurements of pilot processes, expert technology forecasts, thermodynamic modelling, and equipment data from manufacturers. We examined the effect of four technology developments: process changes, size scaling, internal recycling, and optimization. The results show that at pilot scale, recovered NdFeB powders have lower impacts than primary powders for almost all impact categories. This demonstrates that the recovery of NdFeB alloys is environmentally beneficial. Magnets from anticipated large-scale recycling have over 80% lower impacts than primary magnets in most of the impact categories analyzed. All four investigated types of technology development contributed to this improved performance. The final configuration was validated by comparison with an industrial reference and theoretical optimum configuration. Four magnet manufacturing routes (sintering, extrusion, metal injection molding, bonding) have distinct environmental profiles, but all can progress to similarly low levels of impact. The choice among ro</w:t>
      </w:r>
    </w:p>
    <w:p>
      <w:r>
        <w:t>POSSIBLE 2023: Waste LCA and the future — https://doi.org/10.1016/j.wasman.2023.11.021</w:t>
      </w:r>
    </w:p>
    <w:p>
      <w:r>
        <w:t>Shared claim-specific concepts: lca, environmental; EU scope not established. This is a provisional connection, not an outcome finding.</w:t>
      </w:r>
    </w:p>
    <w:p>
      <w:r>
        <w:t>Available abstract (not full text): Life cycle assessment (LCA) models quantifying the environmental aspects of waste management have become an integral part of waste management decision-making over the last two decades and have provided ample knowledge on both environmental benefits and drawbacks in the way we handle waste. Waste management and LCA modelling of waste management systems will soon be challenged by profound changes necessary in our societies and sectors to meet sustainable development goals. Foreseen changes in energy, material, and nutrient provision will directly and indirectly affect waste management in terms of its operation and goals. This study reflects on anticipated changes in society and industrial sectors and how these changes may affect waste management and LCA modelling of waste management systems in terms of waste input, the modelling of technologies and systems and exchanges of energy, materials, and nutrients, as well as how it may affect impact assessment and the interpretation of results. The study provides practical recommendations for LCA modelling of future waste management systems, which will hopefully lead to robust assessments that can support decision-making in an evolving society subject to great changes.</w:t>
      </w:r>
    </w:p>
    <w:p>
      <w:r>
        <w:t>POSSIBLE 2023: A LCA and LCC analysis of pure subtractive manufacturing, wire arc additive manufacturing, and selective laser melting approaches — https://doi.org/10.1016/j.jmapro.2023.05.102</w:t>
      </w:r>
    </w:p>
    <w:p>
      <w:r>
        <w:t>Shared claim-specific concepts: lca, environmental; EU scope not established. This is a provisional connection, not an outcome finding.</w:t>
      </w:r>
    </w:p>
    <w:p>
      <w:r>
        <w:t>Available abstract (not full text): The development of sustainable manufacturing solutions is gaining attention in the manufacturing sector due to increased awareness about climate change and the formulation of stricter environmental legislation. Sustainable manufacturing involves the development of solutions that are environmentally friendly and cost-effective at the same time. Considering the opportunities and limitations of metal subtractive and additive manufacturing approaches from a sustainability perspective, this study aims to compare the environmental impact and production costs associated with the manufacture of a marine propeller using pure subtractive CNC milling along with additive Wire arc additive manufacturing (WAAM) and Selective Laser Melting (SLM) approaches. Life Cycle Assessment (LCA) and Life Cycle Costing (LCC) are used to quantify the environmental and economic impacts, respectively for each manufacturing approach. Based on the LCA and LCC models formulated, and the input data collected, the WAAM approach is observed to be the most environmentally and cost-efficient approach for the marine propeller analyzed. WAAM shows an environmental impact about 2.5 times and 3.4 times lower than pure CNC milling and SLM approaches, respectively mainly due to its better material and energy efficiencies. The effect of key variables on the environmental impact and production cost such as raw material, el</w:t>
      </w:r>
    </w:p>
    <w:p>
      <w:r>
        <w:t>POSSIBLE 2022: Stochastic Ex-Ante LCA under Multidimensional Uncertainty: Anticipating the Production of Undiscovered Microalgal Compounds in Europe — https://doi.org/10.1021/acs.est.2c04849</w:t>
      </w:r>
    </w:p>
    <w:p>
      <w:r>
        <w:t>Shared claim-specific concepts: lca, environmental; EU scope visible. This is a provisional connection, not an outcome finding.</w:t>
      </w:r>
    </w:p>
    <w:p>
      <w:r>
        <w:t>Available abstract (not full text): Due to their biodiversity, microalgae represent a promising source of high-value compounds that bioprospecting is aiming to reveal. Performing an ex-ante Life Cycle Assessment (LCA) to anticipate and potentially minimize the environmental burden associated with the European production of a bioprospected microalgal compound is subject to substantial and multi-factorial uncertainty as the compound remains undiscovered. Given that any microalgal strain could potentially host the compound of interest, the ex-ante LCA should consider this bioprospecting uncertainty together with the uncertainty on the technology and the production mix. Using a parameterized cultivation simulation and consequential LCA model and an extensive stochastic pseudo Monte Carlo approach, we define and propagate techno-operational, bioprospecting, and production mix uncertainties for a microalgal compound being currently bioprospected in Europe. We perform global sensitivity analysis using different sampling strategies to identify the main contributors to the total output variance. Overall, the uncertainty propagation allowed us to define and analyze the probabilistic scope for the potential environmental impacts in the emerging production of high-value microalgal compounds in Europe based on current knowledge. These findings can support policy-making as well as actors in the microalgal sector toward technol</w:t>
      </w:r>
    </w:p>
    <w:p>
      <w:r>
        <w:t>POSSIBLE 2022: Closing gaps in LCA of lithium-ion batteries: LCA of lab-scale cell production with new primary data — https://doi.org/10.1016/j.jclepro.2022.135510</w:t>
      </w:r>
    </w:p>
    <w:p>
      <w:r>
        <w:t>Shared claim-specific concepts: lca, environmental; EU scope not established. This is a provisional connection, not an outcome finding.</w:t>
      </w:r>
    </w:p>
    <w:p>
      <w:r>
        <w:t xml:space="preserve">Available abstract (not full text): Battery storage systems have become an important pillar in the transformation of the energy and transportation sector over the last decades. Lithium-ion batteries (LIBs) are the dominating technology in this process making them a constant subject of analysis regarding their sustainability. To assess their environmental performance, several Life Cycle Assessments (LCA) of LIBs have been performed over the last years. Yet, the amount of available primary data on their production remains low, leading to recurrent reliance on a few disclosed datasets, mostly at industrial scale. Thus, there is a need for new LCA studies at different scales (lab, pilot, industrial) using transparent datasets to facilitate more reliable and robust assessments. This work presents a screening of recent environmental assessments for LIBs at different production scales aiming at identifying remaining gaps and challenges, and deriving a detailed LCA of a lab-scale battery cell production. For the first time the environmental impact of a lab-scale battery production based on process-oriented primary data is investigated. The results are flanked by sensitivity analyses and scenarios and compared with literature values. The hotspots identified in this study, cathode slurry, anode current collector, as well as the energy demand of the dry room and coating process, are consistent with the literature, although </w:t>
      </w:r>
    </w:p>
    <w:p>
      <w:r>
        <w:t>POSSIBLE 2022: Exploring the photocatalytic total oxidation of methane through the lens of a prospective LCA — https://doi.org/10.1016/j.aeaoa.2022.100190</w:t>
      </w:r>
    </w:p>
    <w:p>
      <w:r>
        <w:t>Shared claim-specific concepts: lca, environmental, emission; EU scope not established. This is a provisional connection, not an outcome finding.</w:t>
      </w:r>
    </w:p>
    <w:p>
      <w:r>
        <w:t>Available abstract (not full text): Hundreds of megatons of the second most important greenhouse gas (GHG), methane, are released annually to the atmosphere, often from emission sources which are difficult to abate. Research on post-emission mitigation technology is scarce and still in its infancy. This paper proposes a self-sufficient photocatalytic system to mitigate atmospheric methane via total oxidation to CO 2 and analyzes its future viability and feasibility using environmental as well as physicochemical metrics. A four-step, explorative, scaled-up, prospective life cycle assessment (LCA) for the year 2050 shows that, in the best-case scenario, the market-ready photocatalytic module will amortize the produced GHG emissions in 1.5 years, while under more conservative assumptions, the physicochemical properties hinder a climate reasonable implementation. Targets like photocatalytic turnover numbers as well as reaction rates are calculated and compared to values reported in the literature to enable goal-oriented research and development. It is shown that more R&amp;D is needed to have the proposed photocatalyst ready by 2050. The importance of methane mitigation development is highlighted and avenues for doing so are presented.</w:t>
      </w:r>
    </w:p>
    <w:p>
      <w:r>
        <w:t>POSSIBLE 2022: A Modular Tool to Support Data Management for LCA in Industry: Methodology, Application and Potentialities — https://doi.org/10.3390/su14073746</w:t>
      </w:r>
    </w:p>
    <w:p>
      <w:r>
        <w:t>Shared claim-specific concepts: lca, environmental, across; EU scope not established. This is a provisional connection, not an outcome finding.</w:t>
      </w:r>
    </w:p>
    <w:p>
      <w:r>
        <w:t>Available abstract (not full text): Life Cycle Assessment (LCA) computes potential environmental impacts of a product or process. However, LCAs in the industrial sector are generally delivered through static yearly analyses which cannot capture any temporal dynamics of inventory data. Moreover, LCA must deal with differences across background models, Life Cycle Impact Assessment (LCIA) methods and specific rules of environmental labels, together with their developments over time and the difficulty of the non-expert organization staff to effectively interpret LCA results. A case study which discusses how to manage these barriers and their relevance is currently lacking. Here, we fill this gap by proposing a general methodology to develop a modular tool which integrates spreadsheets, LCA software, coding and visualization modules that can be independently modified while leaving the architecture unchanged. We test the tool within the ORI Martin secondary steelmaking plant, finding that it can manage (i) a high amount of primary foreground data to build a dynamic LCA; (ii) different background models, LCIA methods and environmental labels rules; (iii) interactive visualizations. Then, we outline the relevance of these capabilities since (i) temporal dynamics of foreground inventory data affect monthly LCA results, which may vary by ±14% around the yearly value; (ii) background datasets, LCIA methods and environmental</w:t>
      </w:r>
    </w:p>
    <w:p>
      <w:r>
        <w:t>POSSIBLE 2021: Environmental assessments of scales: The effect of ex-ante and ex-post data on life cycle assessment of wood torrefaction — https://doi.org/10.1016/j.resconrec.2021.105906</w:t>
      </w:r>
    </w:p>
    <w:p>
      <w:r>
        <w:t>Shared claim-specific concepts: ex-post, lca, environmental; EU scope not established. This is a provisional connection, not an outcome finding.</w:t>
      </w:r>
    </w:p>
    <w:p>
      <w:r>
        <w:t>Available abstract (not full text): Life Cycle Assessment (LCA) is a powerful tool for achieving sustainability. Traditional LCAs analyze well defined and developed industrial systems, but recent developments of LCA focus on analyzing emerging technologies which are not yet optimized with respect to energy and materials. Therefore, LCA results of ex-ante applications can be very different from ex-post applications for the same system. The purpose of this study is to show the different effects of data scales on LCA results regarding global warming, fine particulate matter formation, terrestrial acidification and freshwater eutrophication potentials. For this purpose torrefaction technology was selected as the case study and assessed based on bench scale data, lab scale data, data derived from process simulations, pilot scale data and commercial scale data. Considered environmental impacts were global warming, fine particulate matter formation, terrestrial acidification and freshwater eutrophication. Results showed that process efficiencies improved significantly between the bench scale system and systems with higher technology readiness levels (TRLs), such as pilot, process simulations and commercial scale systems. Furthermore, process simulations result in scores closer to commercial scale regarding all considered environmental impacts. However, if LCA practitioners focus only on global warming impact, then pilot</w:t>
      </w:r>
    </w:p>
    <w:p>
      <w:pPr>
        <w:pStyle w:val="Heading2"/>
      </w:pPr>
      <w:r>
        <w:t>Long-Term Projection of Renewable Energy Technology Diffusion</w:t>
      </w:r>
    </w:p>
    <w:p>
      <w:r>
        <w:t>Original source (2019): https://doi.org/10.3390/en12224261</w:t>
      </w:r>
    </w:p>
    <w:p>
      <w:r>
        <w:t>Original wording (abstract; indexed_source_text_not_full_document_verified): Projecting the future, in this respect, requires a long-term energy modeling which includes a rate of diffusion of novel technologies into the market and the prediction of their costs. A critical analysis of effects of the commonly applied models for a long-term energy projection (REMIND, WITCH) use has been conducted.</w:t>
      </w:r>
    </w:p>
    <w:p>
      <w:r>
        <w:t>POSSIBLE 2021: 72 The butterfly project – improving treatment escalation planning in the emergency department — https://doi.org/10.1136/spcare-2021-pcc.90</w:t>
      </w:r>
    </w:p>
    <w:p>
      <w:r>
        <w:t>Shared claim-specific concepts: respect, requires, rate; EU scope not established. This is a provisional connection, not an outcome finding.</w:t>
      </w:r>
    </w:p>
    <w:p>
      <w:r>
        <w:t>Available abstract (not full text): Background The 2017 End of Life Care Hospital Improvement Programme (ELCHIP) audit of deaths at the Leicester Royal Infirmary (LRI) an Emergency Department (ED) attendance may be an opportunity to proactively identify and plan for deterioration. The clinical frailty scale (CFS) can identify older people at increased risk of deterioration or dying and local data suggests a 1 year mortality rate of 50% in the cohort of patients with CFS 7–9. Methods The Butterfly Project is a multidisciplinary quality improvement project aiming to increase the percentage of older people CFS 7–9 dying in their preferred place of care, with additional outcomes based on early identification of uncertain recovery and treatment escalation planning. ED notes were reviewed for all CFS 7–9 patients dying within 30 days of an ED attendance between February 2019 and May 2020. Interventions were broadly within two streams. The first focused on improving treatment escalation planning including verbal and visual prompts and the introduction of the ReSPECT process. The second was based on improving the skillset of ED staff via educational interventions. Results Between May 2019 and May 2020, although there was no change in the percentage of patients dying in their preferred place of care, statistical process control charts showed sustained upward shift in: Identification and communication of uncertain recovery</w:t>
      </w:r>
    </w:p>
    <w:p>
      <w:r>
        <w:t>POSSIBLE 2020: Minding the gap: identifying values to enable public and patient involvement at the pre-commencement stage of research projects — https://doi.org/10.1186/s40900-020-00220-7</w:t>
      </w:r>
    </w:p>
    <w:p>
      <w:r>
        <w:t>Shared claim-specific concepts: respect, includes, critical, applied; EU scope not established. This is a provisional connection, not an outcome finding.</w:t>
      </w:r>
    </w:p>
    <w:p>
      <w:r>
        <w:t>Available abstract (not full text): BACKGROUND: The University College Dublin (UCD) Public and Patient Invovlement (PPI) ignite program is focused on embedding PPI in health and social care related research, education and training, professional practice and administration. During a PPI knowledge sharing event challenges were noted during the pre-commencement stage of research projects. This stage includes the time before a research projects/partnership starts or when funding is being applied for. As a response, we agreed there was a need to spend time developing a values-based approach to be used from the pre-commencement of PPI projects and partnerships. Values are deeply held ideals that people consider to be important. They are vital in shaping our attitudes and motivating our choices and behaviours. METHODS: Using independent facilitators, we invited a diverse group of participants to a full-day workshop in February. During the workshop, the concept of a values statement and values-based approaches was introduced. The group via a majority consensus, agreed on a core set of values and a shared understanding of them. After the workshop, a draft was shared with participants for further comment and final agreement. RESULTS: The workshop had 22 people representing experts by experience, PPI charity partners, funders, academics and national PPI Ignite partners. The group via consensus identified four values of resp</w:t>
      </w:r>
    </w:p>
    <w:p>
      <w:pPr>
        <w:pStyle w:val="Heading2"/>
      </w:pPr>
      <w:r>
        <w:t>Low-carbon energy scenarios 2050 in north-west European countries: Towards a more harmonised approach to achieve the EU targets</w:t>
      </w:r>
    </w:p>
    <w:p>
      <w:r>
        <w:t>Original source (2019): https://doi.org/10.1016/j.enpol.2019.03.047</w:t>
      </w:r>
    </w:p>
    <w:p>
      <w:r>
        <w:t>Original wording (abstract; indexed_source_text_not_full_document_verified): The analysis has shown that all selected countries have potential for modifying their energy scenarios, which being implemented may help to achieve the joint European targets 2050. The results can be of interest to economists, business and academic representatives, and especially policy makers involved in the long-term energy scenario development on the international, regional and national level.</w:t>
      </w:r>
    </w:p>
    <w:p>
      <w:r>
        <w:t>POSSIBLE 2020: Instrumental Activities of Daily Living (iADL) Limitations in Europe: An Assessment of SHARE Data — https://doi.org/10.3390/ijerph17207387</w:t>
      </w:r>
    </w:p>
    <w:p>
      <w:r>
        <w:t>Shared claim-specific concepts: shown, all, selected, countries, potential; EU scope visible. This is a provisional connection, not an outcome finding.</w:t>
      </w:r>
    </w:p>
    <w:p>
      <w:r>
        <w:t>Available abstract (not full text): This study aims to evaluate the instrumental activities of daily living (iADLs) limitations in Europe and its association with socio-demographic characteristics, economic parameters and physical and mental health status. We used data from the wave 6 of SHARE database. Individuals were classified as having either none or one or more limitations on iADLs. Participants aged 65 or more years who answered all questions for the variables included in this work were selected. A total of 54.8% of participants were female and had a mean age of 74.37 (SD = 7.08) years. A global prevalence of 1 or more iADLs in Europe was shown to be 23.8% and more prevalent in women than in men (27.1% vs. 17.6%) and in people aged 85 years or more (51.5%). Older age, female gender, lower education, physical inactivity, frailty, having two or more chronic diseases, presence of depression, polypharmacy, poor self-perception of health and lower network satisfaction were found to be factors associated with the presence of 1 or more iADLs limitation. This study highlights the burden of iADLs limitations at the European level. These are based on a multidimensional biopsychosocial model and are associated with both health conditions and environmental factors. This intersection between the physical and social world underscores its potential as a health indicator and can, to some extent, explain some of the pronou</w:t>
      </w:r>
    </w:p>
    <w:p>
      <w:r>
        <w:t>POSSIBLE 2020: The burden of neurological diseases in Europe: an analysis for the Global Burden of Disease Study 2017 — https://doi.org/10.1016/s2468-2667(20)30190-0</w:t>
      </w:r>
    </w:p>
    <w:p>
      <w:r>
        <w:t>Shared claim-specific concepts: shown, all, countries; EU scope visible. This is a provisional connection, not an outcome finding.</w:t>
      </w:r>
    </w:p>
    <w:p>
      <w:r>
        <w:t>Available abstract (not full text): BACKGROUND: Neurological disorders account for a large and increasing health burden worldwide, as shown in the Global Burden of Diseases (GBD) Study 2016. Unpacking how this burden varies regionally and nationally is important to inform public health policy and prevention strategies. The population in the EU is older than that of the WHO European region (western, central, and eastern Europe) and even older than the global population, suggesting that it might be particularly vulnerable to an increasing burden of age-related neurological disorders. We aimed to compare the burden of neurological disorders in the EU between 1990 and 2017 with those of the WHO European region and worldwide. METHODS: The burden of neurological disorders was calculated for the year 2017 as incidence, prevalence, mortality, disability-adjusted life-years (DALYs), years of life lost, and years lived with disability for the countries in the EU and the WHO European region, totally and, separately. Diseases analysed were Alzheimer's disease and other dementias, epilepsy, headache (migraine and tension-type headache), multiple sclerosis, Parkinson's disease, brain cancer, motor neuron diseases, neuroinfectious diseases, and stroke. Data are presented as totals and by sex, age, year, location and socio-demographic context, and shown as counts and rates. FINDINGS: In 2017, the total number of DALYs attributab</w:t>
      </w:r>
    </w:p>
    <w:p>
      <w:r>
        <w:t>POSSIBLE 2020: Flood trends in Europe: are changes in small and big floods different? — https://doi.org/10.5194/hess-24-1805-2020</w:t>
      </w:r>
    </w:p>
    <w:p>
      <w:r>
        <w:t>Shared claim-specific concepts: selected, especially, regional; EU scope visible. This is a provisional connection, not an outcome finding.</w:t>
      </w:r>
    </w:p>
    <w:p>
      <w:r>
        <w:t xml:space="preserve">Available abstract (not full text):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r>
        <w:t>POSSIBLE 2020: Mapping interventional cardiology in Europe: the European Association of Percutaneous Cardiovascular Interventions (EAPCI) Atlas Project — https://doi.org/10.1093/eurheartj/ehaa475</w:t>
      </w:r>
    </w:p>
    <w:p>
      <w:r>
        <w:t>Shared claim-specific concepts: shown, countries, international; EU scope visible. This is a provisional connection, not an outcome finding.</w:t>
      </w:r>
    </w:p>
    <w:p>
      <w:r>
        <w:t>Available abstract (not full text): AIMS: The European Association of Percutaneous Cardiovascular Interventions (EAPCI) Atlas of Interventional Cardiology has been developed to map interventional practice across European Society of Cardiology (ESC) member countries. Here we present the main findings of a 16-country survey in which we examine the national availability of interventional infrastructure, human resource, and procedure volumes. METHODS AND RESULTS: Sixteen ESC member countries participated in the EAPCI Atlas survey. Interventional data were collected by the National Cardiac Society of each participating country. An annual median of 5131 [interquartile range (IQR) 4013-5801] diagnostic heart procedures per million people were reported, ranging from &lt;2500 in Egypt and Romania to &gt;7000 in Turkey and Germany. Procedure rates showed significant correlation (r = 0.67, P = 0.013) with gross national income (GNI) per capita. An annual median of 2478 (IQR 1690-2633) percutaneous coronary interventions (PCIs) per million people were reported, ranging from &lt;1000 in Egypt and Romania to &gt;3000 in Switzerland, Poland, and Germany. Procedure rates showed significant correlation with GNI per capita (r = 0.62, P = 0.014). An annual median of 48.2 (IQR 29.1-105.2) transcatheter aortic valve implantation procedures per million people were performed, varying from &lt;25 per million people in Egypt, Romania, Turkey, and Polan</w:t>
      </w:r>
    </w:p>
    <w:p>
      <w:r>
        <w:t>POSSIBLE 2020: Regional climate downscaling over Europe: perspectives from the EURO-CORDEX community — https://doi.org/10.1007/s10113-020-01606-9</w:t>
      </w:r>
    </w:p>
    <w:p>
      <w:r>
        <w:t>Shared claim-specific concepts: shown, international, regional; EU scope visible. This is a provisional connection, not an outcome finding.</w:t>
      </w:r>
    </w:p>
    <w:p>
      <w:r>
        <w:t>Available abstract (not full text):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r>
        <w:t>POSSIBLE 2020: Loess landscapes of Europe – Mapping, geomorphology, and zonal differentiation — https://doi.org/10.1016/j.earscirev.2020.103496</w:t>
      </w:r>
    </w:p>
    <w:p>
      <w:r>
        <w:t>Shared claim-specific concepts: countries, potential, especially, regional; EU scope visible. This is a provisional connection, not an outcome finding.</w:t>
      </w:r>
    </w:p>
    <w:p>
      <w:r>
        <w:t>Available abstract (not full text):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Lyme Disease Risks in Europe under Multiple Uncertain Drivers of Change</w:t>
      </w:r>
    </w:p>
    <w:p>
      <w:r>
        <w:t>Original source (2019): https://doi.org/10.1289/ehp4615</w:t>
      </w:r>
    </w:p>
    <w:p>
      <w:r>
        <w:t>Original wording (abstract; indexed_source_text_not_full_document_verified): RESULTS: The model projections suggest that future temperature increases may not always amplify LD risk: Low emissions scenarios (RCP2.6) combined with a sustainability socioeconomic scenario (SSP1) resulted in reduced LD risk. BACKGROUND: Debates over whether climate change could lead to the amplification of Lyme disease (LD) risk in the future have received much attention.</w:t>
      </w:r>
    </w:p>
    <w:p>
      <w:r>
        <w:t>POSSIBLE 2026: Model Code and Data for "Future projections of burned area in Europe highlight the importance of human action" — https://doi.org/10.5281/zenodo.18740007</w:t>
      </w:r>
    </w:p>
    <w:p>
      <w:r>
        <w:t>Shared claim-specific concepts: projections, increases, not, low, whether, climate; EU scope visible. This is a provisional connection, not an outcome finding.</w:t>
      </w:r>
    </w:p>
    <w:p>
      <w:r>
        <w:t>Available abstract (not full text): This repository contains the LPJmL-SPITFIRE and LPJmL-BASE model code; R-code and data used to generate figures in the manuscript "Future projections of burned area in Europe highlight the importance of human action" The datasets are licensed under CC-BY. The LPJmL model code is licensed under AGPLv3. The R scripts are released under the BSD-2-Clause license. Manuscript abstract Wildfires are often a natural part of many European ecosystems, but human activities through land-use, other socio-economic factors and climate change have significantly changed how fires behave. Anthropogenic climate change is already intensifying fire prone weather and increasing wildfire risk across Europe with risk expected to grow sharply in coming decades. Past experience suggests that human action, such as fuel management and improved fire suppression capacity, can reduce wildfire spread and intensity. However, whether current or future efforts can counter rising risks under continued climate change remains uncertain. In this study, we assess the role of socio-economic factors and biophysical factors in shaping future fire regimes across Europe. Using two fire models (SPITFIRE and BASE) coupled with the fire-enabled Dynamic Global Vegetation Model LPJmL, we simulate future burned area under two socio-economic and greenhouse gas concentration pathways (SSP1-2.6 and SSP3-7.0). We also run experimen</w:t>
      </w:r>
    </w:p>
    <w:p>
      <w:r>
        <w:t>POSSIBLE 2024: Projections and uncertainties of winter windstorm damage in Europe in a changing climate — https://doi.org/10.5194/nhess-24-1555-2024</w:t>
      </w:r>
    </w:p>
    <w:p>
      <w:r>
        <w:t>Shared claim-specific concepts: projections, over, climate; EU scope visible. This is a provisional connection, not an outcome finding.</w:t>
      </w:r>
    </w:p>
    <w:p>
      <w:r>
        <w:t>Available abstract (not full text):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r>
        <w:t>POSSIBLE 2024: European identity's effect on immigration attitudes: Testing the predictions of the common Ingroup identity model versus ingroup projection model — https://doi.org/10.1111/pops.12970</w:t>
      </w:r>
    </w:p>
    <w:p>
      <w:r>
        <w:t>Shared claim-specific concepts: not, always; EU scope visible. This is a provisional connection, not an outcome finding.</w:t>
      </w:r>
    </w:p>
    <w:p>
      <w:r>
        <w:t xml:space="preserve">Available abstract (not full text): Abstract A superordinate identity unites different subgroups into an overarching, common one. But does superordinate identification then improve or worsen attitudes towards the former outgroup? The common ingroup identity model (CIIM) asserts that recategorization ameliorates outgroup bias by reducing perceptions of intergroup threat. It predicts that superordinate identification will improve intergroup relations by promoting tolerance and acceptance of diversity. In contrast, the ingroup project model (IPM) asserts that identifying superordinately will actually exacerbate outgroup bias because ingroup members naturally project their own characteristics onto the superordinate category and will more strongly dislike the former outgroup for not fitting the “correct” superordinate prototype. Existing evidence—largely drawn from psychology lab experiments, not real‐world situations—suggests both models can be correct insofar as ingroup projection only occurs under certain conditions. In that case, which model is correct for European identity? Results from original survey data collected in three European countries (Germany, Poland, and the United Kingdom) show that increased identification with Europe is almost always associated with more favorable attitudes towards outgroup immigrants, even among those most likely to engage in ingroup projection. Future research should continue to </w:t>
      </w:r>
    </w:p>
    <w:p>
      <w:r>
        <w:t>POSSIBLE 2024: Understanding and simulating cropland and non-cropland burning in Europe using the BASE (Burnt Area Simulator for Europe) model — https://doi.org/10.5194/bg-21-5539-2024</w:t>
      </w:r>
    </w:p>
    <w:p>
      <w:r>
        <w:t>Shared claim-specific concepts: projections, suggest, increases, socioeconomic, climate; EU scope visible. This is a provisional connection, not an outcome finding.</w:t>
      </w:r>
    </w:p>
    <w:p>
      <w:r>
        <w:t>Available abstract (not full text): Abstract. Fire interacts with many parts of the Earth system. However, its drivers are myriad and complex, interacting differently in different regions depending on prevailing climate regimes, vegetation types, socioeconomic development, and land use and management. Europe is facing strong increases in projected meteorological fire danger as a consequence of climate change, and has experienced extreme fire seasons and events in recent years. Here, we focus on understanding and simulating burnt area across a European study domain using remote sensing data and Generalised Linear Models (GLMs). We first examined fire occurrence across land cover types and found that all non-cropland vegetation types (NCV, comprising 26 % of burnt area) burned with similar spatial and temporal patterns, which were very distinct from those in croplands (74 % of burned area). We then used GLMs to predict cropland and NCV burnt area at ~9x9 km and monthly spatial and temporal resolution, respectively, which together we termed BASE (Burnt Area Simulator for Europe). Compared to satellite burned area products, BASE effectively captured the general spatial and temporal patterns of burning, explaining 32 % (NCV) and 36 % (cropland) of the deviance, and gave similar performance of state-of-the-art global fire models. The most important drivers were fire weather and monthly indices derived from gross primar</w:t>
      </w:r>
    </w:p>
    <w:p>
      <w:r>
        <w:t>POSSIBLE 2023: Climate change projections of commercial fish distribution and suitable habitat around north western Europe — https://doi.org/10.1111/faf.12773</w:t>
      </w:r>
    </w:p>
    <w:p>
      <w:r>
        <w:t>Shared claim-specific concepts: projections, temperature, climate; EU scope visible. This is a provisional connection, not an outcome finding.</w:t>
      </w:r>
    </w:p>
    <w:p>
      <w:r>
        <w:t>Available abstract (not full text):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r>
        <w:t>POSSIBLE 2022: Model Projections of Increased Severity of Heat Waves in Eastern Europe — https://doi.org/10.1029/2022gl100183</w:t>
      </w:r>
    </w:p>
    <w:p>
      <w:r>
        <w:t>Shared claim-specific concepts: projections, combined, climate; EU scope visible. This is a provisional connection, not an outcome finding.</w:t>
      </w:r>
    </w:p>
    <w:p>
      <w:r>
        <w:t>Available abstract (not full text): Abstract Extreme heat is investigated in a series of high‐resolution time‐slice global simulations comparing the current and late‐21st century climates. An increase in climate‐relative extreme heat is found in the region surrounding the Black Sea. Similarities between the synoptic‐scale flows in current and future heat events combined with a decrease in future summer precipitation suggests that the increased future severity stems from strengthened land‐atmosphere feedbacks driven primarily by the changes in precipitation. The resulting intensification of heat events beyond the mean warming driven by climate change could generate significant future heat hazards in vulnerable regions. Given the continental cool bias in the present‐day simulations, the resulting estimates of future extreme heat are likely to be conservative.</w:t>
      </w:r>
    </w:p>
    <w:p>
      <w:r>
        <w:t>POSSIBLE 2021: Extreme wind projections over Europe from the Euro-CORDEX regional climate models — https://doi.org/10.1016/j.wace.2021.100363</w:t>
      </w:r>
    </w:p>
    <w:p>
      <w:r>
        <w:t>Shared claim-specific concepts: projections, increases, over, climate; EU scope visible. This is a provisional connection, not an outcome finding.</w:t>
      </w:r>
    </w:p>
    <w:p>
      <w:r>
        <w:t>Available abstract (not full text):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r>
        <w:t>POSSIBLE 2021: Projections of temperature-attributable mortality in Europe: a time series analysis of 147 contiguous regions in 16 countries — https://doi.org/10.1016/s2542-5196(21)00150-9</w:t>
      </w:r>
    </w:p>
    <w:p>
      <w:r>
        <w:t>Shared claim-specific concepts: projections, temperature, not, rcp2, combined, background; EU scope visible. This is a provisional connection, not an outcome finding.</w:t>
      </w:r>
    </w:p>
    <w:p>
      <w:r>
        <w:t>Available abstract (not full text): BACKGROUND: Europe has emerged as a major climate change hotspot, both in terms of an increase in seasonal averages and climate extremes. Projections of temperature-attributable mortality, however, have not been comprehensively reported for an extensive part of the continent. Therefore, we aim to estimate the future effect of climate change on temperature-attributable mortality across Europe. METHODS: We did a time series analysis study. We derived temperature-mortality associations by collecting daily temperature and all-cause mortality records of both urban and rural areas for the observational period between 1998 and 2012 from 147 regions in 16 European countries. We estimated the location-specific temperature-mortality relationships by using standard time series quasi-Poisson regression in conjunction with a distributed lag non-linear model. These associations were used to transform the daily temperature simulations from the climate models in the historical period (1971-2005) and scenario period (2006-2099) into projections of temperature-attributable mortality. We combined the resulting risk functions with daily time series of future temperatures simulated by four climate models (ie, GFDL-ESM2M, HadGEM2-ES, IPSL-CM5A-LR, and MIROC5) under three greenhouse gas emission scenarios (ie, Representative Concentration Pathway [RCP]2.6, RCP6.0, and RCP8.5), providing projections o</w:t>
      </w:r>
    </w:p>
    <w:p>
      <w:r>
        <w:t>POSSIBLE 2021: Can we trust CMIP5/6 future projections of European winter precipitation? — https://doi.org/10.1088/1748-9326/abf28a</w:t>
      </w:r>
    </w:p>
    <w:p>
      <w:r>
        <w:t>Shared claim-specific concepts: projections, suggest, over, climate; EU scope visible. This is a provisional connection, not an outcome finding.</w:t>
      </w:r>
    </w:p>
    <w:p>
      <w:r>
        <w:t>Available abstract (not full text):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r>
        <w:t>POSSIBLE 2021: Climate model projections from the Scenario Model Intercomparison Project (ScenarioMIP) of CMIP6 — https://doi.org/10.5194/esd-12-253-2021</w:t>
      </w:r>
    </w:p>
    <w:p>
      <w:r>
        <w:t>Shared claim-specific concepts: projections, suggest, temperature, not, over, climate; EU scope not established. This is a provisional connection, not an outcome finding.</w:t>
      </w:r>
    </w:p>
    <w:p>
      <w:r>
        <w:t>Available abstract (not full text):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r>
        <w:t>POSSIBLE 2021: The influence of anthropogenic climate change on wet and dry summers in Europe — https://doi.org/10.1016/j.scib.2021.01.020</w:t>
      </w:r>
    </w:p>
    <w:p>
      <w:r>
        <w:t>Shared claim-specific concepts: projections, suggest, temperature, climate; EU scope visible. This is a provisional connection, not an outcome finding.</w:t>
      </w:r>
    </w:p>
    <w:p>
      <w:r>
        <w:t>Available abstract (not full text):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r>
        <w:t>POSSIBLE 2020: Causal networks for climate model evaluation and constrained projections — https://doi.org/10.1038/s41467-020-15195-y</w:t>
      </w:r>
    </w:p>
    <w:p>
      <w:r>
        <w:t>Shared claim-specific concepts: projections, over, climate; EU scope visible. This is a provisional connection, not an outcome finding.</w:t>
      </w:r>
    </w:p>
    <w:p>
      <w:r>
        <w:t>Available abstract (not full text): Global climate models are central tools for understanding past and future climate change. The assessment of model skill, in turn, can benefit from modern data science approaches. Here we apply causal discovery algorithms to sea level pressure data from a large set of climate model simulations and, as a proxy for observations, meteorological reanalyses. We demonstrate how the resulting causal networks (fingerprints) offer an objective pathway for process-oriented model evaluation. Models with fingerprints closer to observations better reproduce important precipitation patterns over highly populated areas such as the Indian subcontinent, Africa, East Asia, Europe and North America. We further identify expected model interdependencies due to shared development backgrounds. Finally, our network metrics provide stronger relationships for constraining precipitation projections under climate change as compared to traditional evaluation metrics for storm tracks or precipitation itself. Such emergent relationships highlight the potential of causal networks to constrain longstanding uncertainties in climate change projections.</w:t>
      </w:r>
    </w:p>
    <w:p>
      <w:pPr>
        <w:pStyle w:val="Heading2"/>
      </w:pPr>
      <w:r>
        <w:t>Nutrient criteria for surface waters under the European Water Framework Directive: Current state-of-the-art, challenges and future outlook</w:t>
      </w:r>
    </w:p>
    <w:p>
      <w:r>
        <w:t>Original source (2019): https://doi.org/10.1016/j.scitotenv.2019.133888</w:t>
      </w:r>
    </w:p>
    <w:p>
      <w:r>
        <w:t>Original wording (abstract; indexed_source_text_not_full_document_verified): The aim of European water policy is to achieve good ecological status in all rivers, lakes, coastal and transitional waters by 2027.</w:t>
      </w:r>
    </w:p>
    <w:p>
      <w:r>
        <w:t>POSSIBLE 2026: Agriculture Contributions to Water Pollution and Sustainable Policy Solutions in Europe — https://doi.org/10.3390/earth7040115</w:t>
      </w:r>
    </w:p>
    <w:p>
      <w:r>
        <w:t>Shared claim-specific concepts: water, achieve, good, ecological, status, waters; EU scope visible. This is a provisional connection, not an outcome finding.</w:t>
      </w:r>
    </w:p>
    <w:p>
      <w:r>
        <w:t>Available abstract (not full text): Freshwater is essential for sustaining the health of humans, animals, and ecosystems; however, agricultural activities remain a major source of water pollution globally. This review examines how crop production, livestock farming, and aquaculture contribute to water contamination, the effectiveness of current European policies, and the potential of sustainable mitigation strategies. Evidence from the research identified pesticides, herbicides, veterinary antibiotics, nutrient runoff, aquaculture effluents, and microplastics as the primary agricultural pollutants affecting surface and groundwater quality. These contaminants have been linked to ecosystem degradation, biodiversity loss, endocrine disruption, antimicrobial resistance, and adverse human health outcomes. Despite extensive regulatory frameworks, including the Water Framework Directive, Nitrates Directive, Farm to Fork Strategy, and European Green Deal, significant implementation and monitoring challenges remain. Current evidence indicates that only 40% of European surface waters achieve “good” ecological status, highlighting persistent water quality concerns across the region. The review further identified precision irrigation, Internet of Things (IoT)-enabled monitoring, biopesticides, hydroponic systems, and integrated multi-trophic aquaculture as promising solutions for reducing agricultural impacts on water resour</w:t>
      </w:r>
    </w:p>
    <w:p>
      <w:r>
        <w:t>POSSIBLE 2025: Water Security in North America and Europe — https://doi.org/10.1002/9781394176748.ch6</w:t>
      </w:r>
    </w:p>
    <w:p>
      <w:r>
        <w:t>Shared claim-specific concepts: water, status; EU scope visible. This is a provisional connection, not an outcome finding.</w:t>
      </w:r>
    </w:p>
    <w:p>
      <w:r>
        <w:t>Available abstract (not full text): Water security and availability are critical issues affecting societies worldwide, with North America and Europe being no exceptions. This review paper aims to analyze the current status, challenges, and potential solutions regarding water security and availability in these regions. By examining existing literature, policies, and practices, this paper provides insights into the complex interplay of factors influencing water resources management, including climate change, population growth, urbanization, pollution, and governance. In addition, it explores various strategies such as conservation measures, technological innovations, policy frameworks, and international cooperation to address the challenges and ensure sustainable water management in North America and Europe. Through a comprehensive examination of research findings and case studies, this review contributes to understanding the dynamics of water security and availability in these regions and offers recommendations for future actions.</w:t>
      </w:r>
    </w:p>
    <w:p>
      <w:r>
        <w:t>POSSIBLE 2025: Comparative analysis of adaptation policies and policy instruments for water management in Europe — https://doi.org/10.1016/j.ejrh.2025.102819</w:t>
      </w:r>
    </w:p>
    <w:p>
      <w:r>
        <w:t>Shared claim-specific concepts: water, all; EU scope visible. This is a provisional connection, not an outcome finding.</w:t>
      </w:r>
    </w:p>
    <w:p>
      <w:r>
        <w:t>Available abstract (not full text): Ten European countries, including Finland, Austria, Switzerland, Belgium, the Netherlands, Denmark, Estonia, Spain, Latvia, and Lithuania Adaptation policies are deeply structured and shaped by contextual climatic, environmental, social, and governance factors, making them inherently sector-specific. Their effective implementation requires integrated, cross-sectoral approaches, strong governmental engagement, and active citizen engagement. This study conducts a content analysis of adaptation strategies and plans in the water sector across European countries, aiming to identify key themes, policy types, and dominant instruments. Two main documents, the National Adaptation Strategy (NAS) and the National Adaptation Plan (NAP), available on the Climate-ADAPT-2023 platform, have been analyzed. All countries in the study use a mix of adaptation strategies, plans, and policy instruments, each focusing on specific instruments. Information-based instruments such as mapping flood risk are the most widely policy instruments by European countries to address adaptation. Many countries rely on infrastructural and technical instruments, particularly for drinking water supply networks, sewage and stormwater systems, irrigation, and flood risk management. Most countries have employed policies such as promoting responsible water use, enhancing water conservation and recycling, assessing flood r</w:t>
      </w:r>
    </w:p>
    <w:p>
      <w:r>
        <w:t>POSSIBLE 2023: The role of urban agriculture in food-energy-water nexus policies: Insights from Europe and the U.S — https://doi.org/10.1016/j.landurbplan.2023.104848</w:t>
      </w:r>
    </w:p>
    <w:p>
      <w:r>
        <w:t>Shared claim-specific concepts: water, all; EU scope visible. This is a provisional connection, not an outcome finding.</w:t>
      </w:r>
    </w:p>
    <w:p>
      <w:r>
        <w:t>Available abstract (not full text): The growth of urban agriculture (UA) has raised the awareness of city officials and civil society organizations of its potential effects on food systems. This has led to various policies to regulate and support UA. This research characterizes existing food, energy and water (FEW nexus) policies based on policy data from five case study cities in Europe and the U.S. (Dortmund, Gorzów Wielkopolski, London, Nantes, and New York City) to analyze their relationships to UA, and to identify policy types that support resource-efficient UA. The paper presents the results of an analysis of 78 policy documents related to UA and the FEW nexus, and the results of a Q-sort ranking by UA policy experts on the effectiveness of 16 generalized UA policies in promoting resource-efficient UA. The number, type, and degree of support for nexus policies vary among the five case studies. The results show that the majority of policies (36) are implemented at the local scale, that few policies (19) incorporate all elements of the nexus, yet many nexus policies include UA indirectly. Regulations are more prevalent and are considered more effective at ensuring resource-efficient UA than incentives or awareness-raising policies. The study offers guidance to policy makers who want to improve resource use in future UA pointing at the increasing importance of local food policies.</w:t>
      </w:r>
    </w:p>
    <w:p>
      <w:r>
        <w:t>POSSIBLE 2023: European Union Policy on Climate Change Framework — https://doi.org/10.59168/vrer2863</w:t>
      </w:r>
    </w:p>
    <w:p>
      <w:r>
        <w:t>Shared claim-specific concepts: aim, water; EU scope visible. This is a provisional connection, not an outcome finding.</w:t>
      </w:r>
    </w:p>
    <w:p>
      <w:r>
        <w:t>Available abstract (not full text): The aim of the paper is to study the European policies in the matter of climate change and water resources management, especially Common Agricultural Policy, Environmental Policy, EU Emission Trading System (ETS), climate and energy policies nexus with international agreements in climate action and world global warming, and the way these European policies are settled and applied in national countries. The paper studies the manner these policies are implemented in European Union countries, funding resources for climate action, with impact on decisionmaking level and good-governance.</w:t>
      </w:r>
    </w:p>
    <w:p>
      <w:r>
        <w:t>POSSIBLE 2023: A conceptual model for enabling sustainable management of soil-sediment-water ecosystems in support of European policy — https://doi.org/10.14321/aehm.026.02.063</w:t>
      </w:r>
    </w:p>
    <w:p>
      <w:r>
        <w:t>Shared claim-specific concepts: water, achieve, all; EU scope visible. This is a provisional connection, not an outcome finding.</w:t>
      </w:r>
    </w:p>
    <w:p>
      <w:r>
        <w:t>Available abstract (not full text): Abstract The health of soil-sediment-water ecosystems is under pressure from economic activities and a changing climate. This decreases health and hampers the service provision capacity of these ecosystems and thus impacts human well-being. Protecting and where feasible restoring of ecosystem health has currently become the key European environmental policy objective and for this it is needed to take an entire system approach and engage stakeholders. ‘Entire’ means that soil, sediment and water are regarded as closely interlinked environmental matrices that need to be managed by taking a ‘river (or mountain) to sea’ perspective, crossing spatial, discipline, political and cultural boundaries. This paper presents a conceptual model to support that purpose. Essentially, the conceptual model presents an approach for ecosystem-based management aimed to achieve healthy ecosystems, i.e. soil-sediment-water ecosystems that have the continued capacity to support ecosystem services to the benefit of their users. The model proposes a cyclic (iterative, learning-by-doing) approach and integrates soil-sediment-water, ecosystems, ecosystem services, users (stakeholders), pressures, information, management strategy and program of measures as building blocks. To successfully apply the model, it is above all needed to take an entrepreneurial approach, i.e. leave comfort zones, take an adventur</w:t>
      </w:r>
    </w:p>
    <w:p>
      <w:r>
        <w:t>POSSIBLE 2021: IMPLEMENTING EUROPEAN ENVIRONMENTAL POLICY IN THE EUROPEAN UNION AND TURKEY: THE COST AND EXPENDITURES OF THE POLICY COMPLIANCE — https://doi.org/10.30546/2616-4418.bitd.2021.86</w:t>
      </w:r>
    </w:p>
    <w:p>
      <w:r>
        <w:t>Shared claim-specific concepts: aim, water, good, all; EU scope visible. This is a provisional connection, not an outcome finding.</w:t>
      </w:r>
    </w:p>
    <w:p>
      <w:r>
        <w:t>Available abstract (not full text): This paper examines the European environmental policy and the tools that the European Union (EU) uses for the aim of protecting the environment. Environmental policy is of crucial importance indeed as it has direct impact on human’s health, on the quality of environment, on the well-being of all living creatures and species and on the preservation of our natural resources around the world. The EU is quite active in environmental protection policy making and the scope of her environmental policy expanded with time, including nowadays many aspects such as air, water and soil pollution, waste management, protection of the environment, industrial pollution, chemicals, climate change and noise pollution. The methodology of the study consists of the review and analysis of primary and secondary sources regarding EU legislation on European environmental policy. The requirements of environmental policy are exposed and evaluated at the European level and other international engagements at the global level such as the United Nations Framework Convention on Climate Change (UNFCC), Kyoto Protocol and Paris Agreement are also evaluated in our paper. European statistics and reports are evaluated to provide a good understanding and assessment of the relation between governments and corporations’ expenditures and the protection of environment in EU member states and in Turkey. Our paper also in</w:t>
      </w:r>
    </w:p>
    <w:p>
      <w:r>
        <w:t>POSSIBLE 2021: WATER PRODUCTIVITY, EXPLOITATION AND FOOTPRINT: OBSOLETE CONCEPTS OR REPRESENTATIVE TOOLS IN UNDERSTANDING EUROPEAN ENVIRONMENTAL POLICY? — https://doi.org/10.15666/aeer/1903_25412564</w:t>
      </w:r>
    </w:p>
    <w:p>
      <w:r>
        <w:t>Shared claim-specific concepts: aim, water; EU scope visible. This is a provisional connection, not an outcome finding.</w:t>
      </w:r>
    </w:p>
    <w:p>
      <w:r>
        <w:t>Available abstract (not full text): In contemporary economies, water represents a key resource in ensuring the sustainable economic development, being equally a factor of production in the economic branches, and also a relevant indicator in shaping the evolution of human activity.Water resources are vital for humanity, ecosystems and the economy, and its inefficient use is a serious problem.The main aim of the present research was to analyse and evaluate the impact of water use, from the perspective of a sustainable economic development, and to determine to what extent it can become a relevant indicator in this respect.For this purpose, three indicators were considered: water productivity, water exploitation index and water footprint.Based on the findings highlighted in the research, it can be concluded that the considered indicators can constitute representative instruments in understanding the European environmental policy.</w:t>
      </w:r>
    </w:p>
    <w:p>
      <w:r>
        <w:t>POSSIBLE 2020: Perception of bottlenecks in the implementation of the European Water Framework Directive — https://openalex.org/W4390178243</w:t>
      </w:r>
    </w:p>
    <w:p>
      <w:r>
        <w:t>Shared claim-specific concepts: water, achieve, good, ecological, status; EU scope visible. This is a provisional connection, not an outcome finding.</w:t>
      </w:r>
    </w:p>
    <w:p>
      <w:r>
        <w:t>Available abstract (not full text): The European Water Framework Directive (WFD) entered into force in December 2000; it marks a decisive turn in European water governance and related policies, management practices and restoration trends. After 20 years of implementation through two anagement cycles, EU member states have transposed the WFD requirements into national law, performed baseline assessments of water bodies, and implemented first measures such as hydromorphological river restoration which aims to achieve 'good ecological status', or at least the potential level targeted for that particular water body, by 2027. So far, however, WFD implementation has shown limited success; this weak result has given rise to studies, which are mainly discussions about possible technical limitations of WFD implementation and the appropriateness of monitoring procedures. This paper complements these studies by exploring governance-related bottlenecks that have emerged in the last two decades, as perceived by scientists and practitioners. An online survey was conducted which built on a list of 24 barriers to WFD implementation; these barriers had been identified previously by more than 40 researchers during a workshop in January 2019 and through a literature review. In this survey, the list of perceived barriers to WFD implementation was shared to 130 scientists and practitioners, who were asked to prioritise the items on l</w:t>
      </w:r>
    </w:p>
    <w:p>
      <w:r>
        <w:t>POSSIBLE 2020: The Fifth Stage in Water Management: Policy Lessons for Water Governance — https://doi.org/10.1029/2019wr026714</w:t>
      </w:r>
    </w:p>
    <w:p>
      <w:r>
        <w:t>Shared claim-specific concepts: water, achieve; EU scope not established. This is a provisional connection, not an outcome finding.</w:t>
      </w:r>
    </w:p>
    <w:p>
      <w:r>
        <w:t>Available abstract (not full text): Abstract Effective management of water resources is a critical policy issue globally. Using a framework developed by Turton, and a common set of characteristics describing key stages of water demand, we examine the effectiveness of isolated technical (e.g., irrigation upgrades) and allocative (e.g., buyback) efficiency for reducing water demand to sustainable levels. We base our analysis on Australia's water reform context which offers an advanced example of applying these levers to achieve allocative and technical efficiency. The study is motivated by appreciation of the benefits from increased policy flexibility and adaptability in response to the following: potential transformations toward inflexible production systems; uncertainty associated with impacts of climate change on future water reliability; and the need for increased possible future equity between uses/users (productive/consumptive, environmental, cultural). Our results highlight that a balance between technical and allocative efficiency mechanisms is necessary, as neither is sufficient in isolation, when seeking to reduce total water use. This approach also enables a clearer representation of uncertainty in future policy choices in many global settings with respect to water demand reduction.</w:t>
      </w:r>
    </w:p>
    <w:p>
      <w:r>
        <w:t>POSSIBLE 2020: Policy and legislative barriers to close water-related loops in innovative small water and wastewater systems in Europe: A critical analysis — https://doi.org/10.1016/j.jclepro.2020.125604</w:t>
      </w:r>
    </w:p>
    <w:p>
      <w:r>
        <w:t>Shared claim-specific concepts: water, achieve, all; EU scope visible. This is a provisional connection, not an outcome finding.</w:t>
      </w:r>
    </w:p>
    <w:p>
      <w:r>
        <w:t>Available abstract (not full text): Water supply and reuse through non-conventional water resources can significantly decrease the stress on natural water resources. Decentralized systems can help not only to alleviate issues of water security in arid areas, but also to create a sustainable framework within a circular economy. Although these small-scale innovative technologies are able to achieve ready-to-use, high quality of recovered/treated water on-site, the loop cannot be closed in most cases due to legislative barriers. Similarly, the end-use of sewage sludge after treatment in decentralized systems still lacks specific regulations that limit its valorization. This work analyzes the current policy and legislations related to water supply, wastewater treatment, water reuse and resource valorization within the context of decentralized state-of-the-art technologies applied in rural areas. The drawbacks in the current EU legislation that set barriers to close water-related loops in European countries are highlighted. A regulatory fitness check was applied to each type of loop to identify the key factors to accomplish the legislative compliance, and financing pathways were further evaluated at the EU level. As a possible solution, further development of an innovation deal approach is recommended to address the environmental, regulatory and financial gaps in water management through an integrated framework, provi</w:t>
      </w:r>
    </w:p>
    <w:p>
      <w:pPr>
        <w:pStyle w:val="Heading2"/>
      </w:pPr>
      <w:r>
        <w:t>Overview of Existing Heat-Health Warning Systems in Europe</w:t>
      </w:r>
    </w:p>
    <w:p>
      <w:r>
        <w:t>Original source (2019): https://doi.org/10.3390/ijerph16152657</w:t>
      </w:r>
    </w:p>
    <w:p>
      <w:r>
        <w:t>Original wording (abstract; indexed_source_text_not_full_document_verified): Setting long-term planning actions as well as pre-alert levels might prevent and reduce damages due to heat.</w:t>
      </w:r>
    </w:p>
    <w:p>
      <w:r>
        <w:t>POSSIBLE 2025: Financial &amp; Legal Planning: Securing Your Child's Future in the US and Europe — https://doi.org/10.5281/zenodo.19032835</w:t>
      </w:r>
    </w:p>
    <w:p>
      <w:r>
        <w:t>Shared claim-specific concepts: setting, long-term, planning, reduce; EU scope visible. This is a provisional connection, not an outcome finding.</w:t>
      </w:r>
    </w:p>
    <w:p>
      <w:r>
        <w:t>Available abstract (not full text): Every parent of a child with autism worries about the future—Who will take care of my child when I’m gone? Financial and legal planning is one of the most important (and most overwhelming) responsibilities for families.This clear, parent-friendly guide helps you navigate financial security, disability benefits, guardianship, and long-term planning— specifically tailored for families in the US and Europe.Inside this book, you’ll discover:✅ How to access disability benefits and support services inthe US and Europe✅ Creating financial safety nets, savings, and emergencyfunds✅ Step-by-step guidance for setting up special needs trusts and ABLE accounts✅ Legal guardianship, conservatorship, and decision-making options for adulthood✅ Estate planning essentials to protect your child’s future✅ Healthcare and insurance planning for therapies and long-term care✅ Housing, employment, and independence options for adulthood✅ Practical checklists for future planning that reduce worry and confusionWritten in simple language with practical examples, this book gives you the tools to plan ahead with confidence—so your child’s future is secure, safe, and supported. ISBN / Edition / Imprint:• ISBN: [978-81-994064-5-2]• Authored By: Dr. Harshvardhan Singh (https://orcid.org/0000-0002-7224-5707), PsyForU Editorial Collective• Series Editor: Dr. Leah, Managing Editor: Dr. Jonathan Reed; Associate Edit</w:t>
      </w:r>
    </w:p>
    <w:p>
      <w:r>
        <w:t>POSSIBLE 2025: Strategically Linked Decisions in Long-Term Planning and Reinforcement Learning — https://doi.org/10.48550/arxiv.2505.16833</w:t>
      </w:r>
    </w:p>
    <w:p>
      <w:r>
        <w:t>Shared claim-specific concepts: long-term, planning, actions; EU scope not established. This is a provisional connection, not an outcome finding.</w:t>
      </w:r>
    </w:p>
    <w:p>
      <w:r>
        <w:t>Available abstract (not full text): Long-term planning, as in reinforcement learning (RL), involves finding strategies: actions that collectively work toward a goal rather than individually optimizing their immediate outcomes. As part of a strategy, some actions are taken at the expense of short-term benefit to enable future actions with even greater returns. These actions are only advantageous if followed up by the actions they facilitate, consequently, they would not have been taken if those follow-ups were not available. In this paper, we quantify such dependencies between planned actions with strategic link scores: the drop in the likelihood of one decision under the constraint that a follow-up decision is no longer available. We demonstrate the utility of strategic link scores through three practical applications: (i) explaining black-box RL agents by identifying strategically linked pairs among decisions they make, (ii) improving the worst-case performance of decision support systems by distinguishing whether recommended actions can be adopted as standalone improvements or whether they are strategically linked hence requiring a commitment to a broader strategy to be effective, and (iii) characterizing the planning processes of non-RL agents purely through interventions aimed at measuring strategic link scores - as an example, we consider a realistic traffic simulator and analyze through road closures the ef</w:t>
      </w:r>
    </w:p>
    <w:p>
      <w:r>
        <w:t>POSSIBLE 2025: EMTReK Model for Advance Care Planning in Long-Term Care: Qualitative Findings from mySupport Study — https://doi.org/10.3390/geriatrics10060171</w:t>
      </w:r>
    </w:p>
    <w:p>
      <w:r>
        <w:t>Shared claim-specific concepts: long-term, planning, actions; EU scope visible. This is a provisional connection, not an outcome finding.</w:t>
      </w:r>
    </w:p>
    <w:p>
      <w:r>
        <w:t>Available abstract (not full text): Background/Objectives: Conversations about end-of-life care or advance care planning are often difficult and emotionally challenging to initiate. Tailoring messages to the specific audiences can make these sensitive discussions more manageable and effective. The Evidence-based Model for the Transfer and Exchange of Research Knowledge (EMTReK), compromising six core components (message, stakeholders, processes, context, facilitation, and evaluation) offers a structured framework for research dissemination and knowledge transfer in palliative and long-term care settings. Knowledge translation bridges research and practice, with its effectiveness depending on stakeholder engagement, tailored communication, and systematic application of evidence in policy and practice. This study explores stakeholder perspectives on a dementia care intervention, using EMTReK as an analytical framework to examine how knowledge transfer and exchange (KTE) actions were implemented across long-term care settings. Methods: A qualitative analysis was conducted on primary data comprising case narratives from multinational research groups involved in the “Caregiver Decision Support” (mySupport) study (2019–2023). Teams from Canada, the Czech Republic, Ireland, Italy, the Netherlands, and the United Kingdom evaluated the mySupport intervention through interviews, with analysis guided by components of the EM</w:t>
      </w:r>
    </w:p>
    <w:p>
      <w:r>
        <w:t>POSSIBLE 2023: Reimagining long term care in Europe — https://doi.org/10.5334/ijic.icic23695</w:t>
      </w:r>
    </w:p>
    <w:p>
      <w:r>
        <w:t>Shared claim-specific concepts: setting, long-term, planning, actions, levels; EU scope visible. This is a provisional connection, not an outcome finding.</w:t>
      </w:r>
    </w:p>
    <w:p>
      <w:r>
        <w:t>Available abstract (not full text): Introduction: This 90 minute workshop will be a collaboration between IFICs Ageing and Frailty SIG, Age Platform Europe and a group of experts who supported the government of Bizkaia in developing an empowerment model for long-term care. The session will interest policy makers, researchers, advocates, patients, carers and professionals who plan, commission, fund, provide or regulate long-term care. The European Care Strategy sets out an EU vision on a rights based approach to long-term care with a co-production and preventative approach. It calls for a social protection model for financing care to make it accessible to all. It emphasises the need to integrate and coordinate health and social care, to invest in innovative solutions to improve care and working conditions and to build capacity and skills of the care workforce. The strategy publication coincided with the launch of a report by the Bizkaia council, AGE Platform Europe and a group of European academic experts. The Bay of Care report calls for a stronger commitment to a rights-based approach to long-term care. It proposes a more holistic view of older people’s well-being and quality of life with their goals and preferences central to the design of long term care within a person-centred and integrated system. The model takes a life-course approach to healthy ageing and both gender and social equity. Structure: Welcome a</w:t>
      </w:r>
    </w:p>
    <w:p>
      <w:r>
        <w:t>POSSIBLE 2023: A Confluence of Cultures: Advance Care Planning in Long-Term Care Settings — https://doi.org/10.31389/jltc.203</w:t>
      </w:r>
    </w:p>
    <w:p>
      <w:r>
        <w:t>Shared claim-specific concepts: long-term, planning, actions; EU scope not established. This is a provisional connection, not an outcome finding.</w:t>
      </w:r>
    </w:p>
    <w:p>
      <w:r>
        <w:t>Available abstract (not full text): Context: While policies may promote Advance Care Planning (ACP) discussions in long-term care (LTC) settings, practices often result in outcomes different from residents’ wishes. We attribute this to a confluence of cultures: healthcare; LTC settings; mainstream societal; and individuals’ ethno-cultures. This research explores these cultures as reflected in focus group discussions conducted with residents and family-of-residents in two LTC homes: one exclusively Chinese (EC); one multicultural (MC). Method: Fourteen residents and 13 family members participated in the four focus groups. Discussions were audio-recorded, transcribed, and themes were extracted and compared. Results: Four themes characterized residents’ discussions: 1-Variations in Range/Type of ACP Discussions/Actions; 2-Care of Family; 3-Reliance on Staff; and 4-Quality-of-Life at End-of-Life. Exclusively Chinese residents expressed reluctance to speak about ACP, were more likely to state “family would handle it,” less likely to call upon staff, and more acquiescent concerning death. Multicultural residents were more likely to pejoratively mention pull or absence of family and reliance upon staff; also, wanting personal awareness and control at end-of-life. Family themes were 1-Timing/Focus of ACP Discussions, 2-Communication with Family, 3-Care Home and Staff Influences, and 4-Cultural and Religious Issues. Exclu</w:t>
      </w:r>
    </w:p>
    <w:p>
      <w:r>
        <w:t>POSSIBLE 2023: Determination of Country-Specific Criteria Weights for Long-Term Energy Planning in Europe — https://doi.org/10.3390/en16134920</w:t>
      </w:r>
    </w:p>
    <w:p>
      <w:r>
        <w:t>Shared claim-specific concepts: long-term, planning, well; EU scope visible. This is a provisional connection, not an outcome finding.</w:t>
      </w:r>
    </w:p>
    <w:p>
      <w:r>
        <w:t>Available abstract (not full text): Energy strategies and decision-making studies rely heavily on a system of criteria and their weights of importance, typically determined through stakeholder involvement or surveys. However, the methodology presented in this study considers a reverse approach, as the importance weights are computed based on historical data of each European country’s prevailing decisions on pre-defined aspects. An in-house-developed model was applied to analyze data from the ENTSO-E database for the determination of optimal criteria weights with combination of a linear programming task and Monte Carlo simulations. Applying the new model, the importance weights of seven selected criteria could be calculated for all European countries. The Eastern European region demonstrated exceptional sensitivity towards investment costs, while countries relying heavily on renewable or nuclear energy sources, such as Denmark, Greece, Norway, Slovenia, Spain, and the United Kingdom, exhibited a dominant influence of environmental factors. Moreover, it was observed that the flexibility criterion aligned well with the installed generation capacities. However, the geopolitical factor and the risk of accidents criteria introduced nuances to the overall rating, indicating a somewhat reduced dependence on production data.</w:t>
      </w:r>
    </w:p>
    <w:p>
      <w:r>
        <w:t>POSSIBLE 2023: Are traditional urban greening actions compliant with the European Greening Plans guidance? — https://doi.org/10.1016/j.ufug.2023.128131</w:t>
      </w:r>
    </w:p>
    <w:p>
      <w:r>
        <w:t>Shared claim-specific concepts: setting, long-term, actions, levels, due; EU scope visible. This is a provisional connection, not an outcome finding.</w:t>
      </w:r>
    </w:p>
    <w:p>
      <w:r>
        <w:t>Available abstract (not full text): The Biodiversity Strategy for 2030, embedded in the European Green Deal, is a key policy agenda promoted by the European Commission to protect nature and biodiversity. This strategy sets ambitious goals to protect and restore ecosystems, halt biodiversity decline, and improve monitoring and governance efforts. Notably, municipalities with at least 20,000 inhabitants are now invited to develop comprehensive Urban Greening Plans (UGP). To support this process, the European Commission has recently released a draft guidance document that provides step-by-step assistance in creating long-term UGPs. We conducted semi-structured interviews with 15 European cities to evaluate what kind of UGPs have already been developed and assess compliance with the European guidelines. The findings reveal that many cities have already developed greening or sustainability plans, although certain crucial steps are still lacking to ensure the long-term success of UGPs. These include securing political commitment, establishing a working structure, fostering cross-departmental collaboration, and addressing limitations in human and financial resources. Typically, greening strategies are implemented within broader sustainability initiatives such as climate adaptation or biodiversity strategy. Among the interviewed cities, four cities are in the process of developing a comprehensive greening plan that integ</w:t>
      </w:r>
    </w:p>
    <w:p>
      <w:r>
        <w:t>POSSIBLE 2023: A person‐centred approach to enhance the long‐term health and wellbeing of people living with HIV in Europe — https://doi.org/10.1002/jia2.26117</w:t>
      </w:r>
    </w:p>
    <w:p>
      <w:r>
        <w:t>Shared claim-specific concepts: long-term, actions, prevent; EU scope visible. This is a provisional connection, not an outcome finding.</w:t>
      </w:r>
    </w:p>
    <w:p>
      <w:r>
        <w:t>Available abstract (not full text): Person-centred care is a critical attribute of high-quality healthcare, promoting quality of life, improving an individual's interaction with the health system and valuing people's social networks [1]. Lifesaving antiretroviral therapy is now increasingly widely available around the world, although not all countries have reached their coverage targets related to prevention, diagnosis and linkage to care. As a consequence of the enormous progress made, most people living with HIV are able to grow older rather than dying prematurely [2]. Therefore, it is essential that health systems respond to the changing needs of an ageing population living with HIV, who have comparatively higher multimorbidity (both physical and mental) and experience persistent stigma [3, 4]. To achieve this, person-centred care services for people living with HIV must focus on long-term wellbeing by monitoring and managing multimorbidity, health-related quality of life (HRQoL), stigma and discrimination [5]. In line with WHO's global strategy on HIV for 2022–2030 [2] and UNAIDS' targets set in 2021 [6], a people-centred approach is essential to allow for this transformation of health systems. Health services must offer an integrated response to the evolving health needs and choices of people living with HIV—and this is still not the case in most settings, including high-income countries in Europe [7]. The c</w:t>
      </w:r>
    </w:p>
    <w:p>
      <w:r>
        <w:t>POSSIBLE 2023: Shaping Sustainable Cities: A Long-Term GIS-Emanated Spatial Analysis of Settlement Growth and Planning in a Coastal Mediterranean European City — https://doi.org/10.3390/su151411202</w:t>
      </w:r>
    </w:p>
    <w:p>
      <w:r>
        <w:t>Shared claim-specific concepts: long-term, planning, actions, levels; EU scope visible. This is a provisional connection, not an outcome finding.</w:t>
      </w:r>
    </w:p>
    <w:p>
      <w:r>
        <w:t>Available abstract (not full text): European cities have experienced rapid (and often conflicting) transformations that include, inter alia, the environment, the economy, society, climate change, and access to affordable housing, with implications for their future development. In order to address such issues, assessing the current situation of European metropolises is crucial to understanding new urban development models. In light of these dynamics, our study focused on urban expansion in Pafos, Cyprus, between 1993 and 2021. Such dynamics were examined through photointerpretation (using kernel density estimation) via the ArcGISPro spatial analyst tool. The empirical results of this analysis are considered particularly insightful, especially those regarding urban sprawl and its implications for future land management for the study area, and could help toward shaping specific policies to guide cities towards sustainable and environmentally friendly development. The analysis reveals a gradual increase in settlements over time (55%), although the rate of growth has decreased in recent years, as a consequence of the economic crisis. Density maps revealed varying levels of urban concentration density, highlighting the presence of high-density settlement cores downtown and low-density, dispersed settlements in the surrounding districts. According to the empirical findings of this study, urban growth in Pafos features f</w:t>
      </w:r>
    </w:p>
    <w:p>
      <w:r>
        <w:t>POSSIBLE 2022: A stratified decision-making model for long-term planning: Application in flood risk management in Scotland — https://doi.org/10.1016/j.omega.2022.102803</w:t>
      </w:r>
    </w:p>
    <w:p>
      <w:r>
        <w:t>Shared claim-specific concepts: long-term, planning, due; EU scope not established. This is a provisional connection, not an outcome finding.</w:t>
      </w:r>
    </w:p>
    <w:p>
      <w:r>
        <w:t>Available abstract (not full text): In a standard decision-making model for a game of chance, the best strategy is chosen based on the current state of the system under various conditions. There is however a shortcoming of this standard model, in that it can be applicable only for short-term decision-making periods. This is primarily due to not evaluating the dynamic characteristics and changes in status of the system and the outcomes of nature towards an a priori target or ideal state, which can occur in longer periods. Thus, in this study, a decision-making model based on the concept of stratification (CST), game theory and shared socio-economic pathway (SSP) is developed and its applicability to disaster management is shown. The game of chance and CST have been integrated to incorporate the dynamic nature of the decision environment for long-term disaster risk planning, while accounting for various states of the system and an ideal state. Furthermore, an interactive web application with dynamic user interface is built based on the proposed model to enable decision makers to identify the best choices in their model by a predictive approach. The Monte Carlo simulation is applied to experimentally validate the proposed model. Then, it is demonstrated how this methodology can suitably be applied to obtain ad hoc models, solutions, and analysis in the strategic decision-making process of flooding risk strategy eval</w:t>
      </w:r>
    </w:p>
    <w:p>
      <w:r>
        <w:t>POSSIBLE 2021: Sequential Model for Long-Term Planning of Building Renewal and Capital Improvement — https://doi.org/10.3390/su13179575</w:t>
      </w:r>
    </w:p>
    <w:p>
      <w:r>
        <w:t>Shared claim-specific concepts: long-term, planning, actions, levels; EU scope not established. This is a provisional connection, not an outcome finding.</w:t>
      </w:r>
    </w:p>
    <w:p>
      <w:r>
        <w:t>Available abstract (not full text): The paper puts forward a mixed integer linear programming model to support the long-term planning and budgeting for renewal and capital improvements of residential buildings, i.e., to select the optimal sequence of repair and improvement actions over a predefined planning horizon. The input is provided by the evaluation of the building performance according to a set of criteria. Then a set of possible repairs, replacements and improvements needs to be proposed together with the estimates of their cost and benefits; the latter are expressed by increments of building performance ratings according to predefined criteria. The renewal and modernization measures are not mutually independent: at least some of them are complementary and should be carried out in a specific order. The optimization problem was to define the order of renewal/improvement measures resulting with the highest benefits available within the budget, or to achieve the required levels of building performance at the lowest cost. A unique feature of the model is the approach to the constraints on sequential relationships between the measures and to their selection. The model can be used to construct long-term renewal and capital improvement plans.</w:t>
      </w:r>
    </w:p>
    <w:p>
      <w:r>
        <w:t>POSSIBLE 2020: Long-Term Impact of Disasters on the Public Health System: A Multi-Case Analysis — https://doi.org/10.3390/ijerph17176251</w:t>
      </w:r>
    </w:p>
    <w:p>
      <w:r>
        <w:t>Shared claim-specific concepts: setting, long-term, planning, well; EU scope visible. This is a provisional connection, not an outcome finding.</w:t>
      </w:r>
    </w:p>
    <w:p>
      <w:r>
        <w:t>Available abstract (not full text): As past events have shown, disasters can have a tremendous impact on the affected population's health. However, research regarding the long-term impact on a systems level perspective is still scarce. In this multi-case study, we analyzed and compared the long-term impacts on the public health system of five disasters which took place in Europe: avalanche (Austria), terror attack (Spain), airplane crash (Luxembourg), cable-car tunnel fire (Austria), and a flood in Central Europe. We used a mixed-methods approach consisting of a document analysis and interviews with key stakeholders, to examine the various long-term impacts each of the disasters had on health-system performance, as well as on security and health protection. The results show manifold changes undertaken in the fields of psychosocial support, infrastructure, and contingency and preparedness planning. The holistic approach of this study shows the importance of analyzing long-term impacts from the perspective of the type (e.g., disasters associated with natural hazards) and characteristic (e.g., duration and extent) of a disaster, as well as the regional context where a disaster took place. However, the identified recurring themes demonstrate the opportunity of learning from case studies in order to customize the lessons and apply them to the own-disaster-management setting.</w:t>
      </w:r>
    </w:p>
    <w:p>
      <w:pPr>
        <w:pStyle w:val="Heading2"/>
      </w:pPr>
      <w:r>
        <w:t>Pathway Analysis of a Zero-Emission Transition in the Nordic-Baltic Region</w:t>
      </w:r>
    </w:p>
    <w:p>
      <w:r>
        <w:t>Original source (2019): https://doi.org/10.3390/en12173337</w:t>
      </w:r>
    </w:p>
    <w:p>
      <w:r>
        <w:t>Original wording (abstract; indexed_source_text_not_full_document_verified): The energy system optimizations indicate that most of the investments needed for the zero-emission pathway until 2050 would take place already by 2030. A zero-emission pathway for the Nordic and Baltic region in Europe is described based on the comprehensive policy and scenario analyses, accompanied by energy system modelling.</w:t>
      </w:r>
    </w:p>
    <w:p>
      <w:r>
        <w:t>POSSIBLE 2026: Holistic design &amp; optimization of renewable energy systems - an african-european case study — https://doi.org/10.18154/rwth-2026-03350</w:t>
      </w:r>
    </w:p>
    <w:p>
      <w:r>
        <w:t>Shared claim-specific concepts: energy, system, based; EU scope visible. This is a provisional connection, not an outcome finding.</w:t>
      </w:r>
    </w:p>
    <w:p>
      <w:r>
        <w:t>Available abstract (not full text): The global energy transition requires a large-scale shift to renewable energy carriers worldwide. Since renewable resources are distributed unevenly across the world, future renewable energy systems will inevitably rely on energy trade between regions with abundant renewable potential and those with limited resources but high demand. A prominent example frequently discussed in the literature is the African–European energy systems, where Africa’s vast solar and wind resources could both help bridge domestic energy gaps and support Europe’s decarbonization and diversification goals, thereby contributing to the global energy transition. While the global energy transition offers significant opportunities for both energy suppliers and importers, it also introduces new challenges for the design of future energy systems. Addressing these challenges requires a holistic framework to ensure that the energy transition is not only economically affordable but also equitable, sustainable, and secure. These objectives form the four pillars of the energy transition: affordability, equity, environmental sustainability, and security. Although existing frameworks in the literature emphasize the importance of balancing different pillars of the energy transition conceptually, most quantitative energy system optimization studies—particularly in the African-European context—continue to focus primaril</w:t>
      </w:r>
    </w:p>
    <w:p>
      <w:r>
        <w:t>POSSIBLE 2023: Long-term optimization of the Norwegian energy system under the influence of the European power market — https://doi.org/10.1109/eem58374.2023.10161972</w:t>
      </w:r>
    </w:p>
    <w:p>
      <w:r>
        <w:t>Shared claim-specific concepts: energy, system, indicate, investments, modelling; EU scope visible. This is a provisional connection, not an outcome finding.</w:t>
      </w:r>
    </w:p>
    <w:p>
      <w:r>
        <w:t>Available abstract (not full text): This paper proposes a novel bidirectional linkage between a national energy system model and a European power market model. The combined modelling framework enables long-term energy system investment strategies at the national level that captures the impact and interaction with the European power system. The linking methodology is demonstrated with two models, 1) IFE-TIMES-Norway, a technology-rich model used to analyze the cost-optimal development of the Norwegian energy system, and 2) EMPIRE, a stochastic capacity expansion model optimizing operation and investments of the European power system. Two convergence criteria are used: electricity generation capacities and prices. The linkage is performed for two future transition pathways, in which convergence is reached after 3 and 4 iterations. Results indicate that the pace of convergence greatly depends on the degree of interaction with neighbouring countries, as the European prices are sensitive to the Norwegian energy mix and vice versa. The linkage also led to changes in production and export volumes in Norway, emphasizing the importance of capturing the price elasticity of Europe when designing national energy systems.</w:t>
      </w:r>
    </w:p>
    <w:p>
      <w:r>
        <w:t>POSSIBLE 2022: Indicators for the optimization of sustainable urban energy systems based on energy system modeling — https://doi.org/10.1186/s13705-021-00323-3</w:t>
      </w:r>
    </w:p>
    <w:p>
      <w:r>
        <w:t>Shared claim-specific concepts: energy, system, based; EU scope not established. This is a provisional connection, not an outcome finding.</w:t>
      </w:r>
    </w:p>
    <w:p>
      <w:r>
        <w:t>Available abstract (not full text): Abstract Background Urban energy systems are responsible for 75% of the world’s energy consumption and for 70% of the worldwide greenhouse gas emissions. Energy system models are used to optimize, benchmark and compare such energy systems with the help of energy sustainability indicators. We discuss several indicators for their basic suitability and their response to changing boundary conditions, system structures and reference values. The most suitable parameters are applied to four different supply scenarios of a real-world urban energy system. Results There is a number of energy sustainability indicators, but not all of them are suitable for the use in urban energy system optimization models. Shortcomings originate from the omission of upstream energy supply chains (secondary energy efficiency), from limited capabilities to compare small energy systems (energy productivity), from excessive accounting expense (regeneration rate), from unsuitable accounting methods (primary energy efficiency), from a questionable impact of some indicators on the overall system sustainability (self-sufficiency), from the lack of detailed information content (share of renewables), and more. On the other hand, indicators of absolute greenhouse gas emissions, energy costs, and final energy demand are well suitable for the use in optimization models. However, each of these indicators only represent</w:t>
      </w:r>
    </w:p>
    <w:p>
      <w:r>
        <w:t>POSSIBLE 2022: Optimization of the possible pathways for gradual energy system decarbonization — https://doi.org/10.1016/j.renene.2022.05.005</w:t>
      </w:r>
    </w:p>
    <w:p>
      <w:r>
        <w:t>Shared claim-specific concepts: energy, system; EU scope visible. This is a provisional connection, not an outcome finding.</w:t>
      </w:r>
    </w:p>
    <w:p>
      <w:r>
        <w:t>Available abstract (not full text): The European Union and other signatories to the Paris Climate Accord have agreed to limit global warming to 2° Celsius above pre-industrial levels. Previously published studies have examined the optimal energy system structure required to satisfy carbon neutrality end goals. This research focuses on addressing the intermediate steps towards decarbonization. The steps are quantified as the percentage share of renewable energy sources. The objective of the optimization is to reach a predetermined level of renewable energy and emissions, minimize curtailment of renewable energy sources, minimize system cost, and limit the use of natural resources such as biomass in the energy sector. Considered technologies in the optimization process are energy-generating capacities, demand response technologies, and energy storage. The results of such a method reflect the use of considered technologies and are displayed as a function of renewable energy share and carbon dioxide emissions level, which also represent the decarbonization timeline from 2020 to 2050. The method is carried out with the use of energy planning software EnergyPLAN and highly modified Python-based optimization software EPLANopt. The results presented in the research display the necessity for continuous implementation of variable generating capacities as well as demand response technologies, mainly vehicle to grid.</w:t>
      </w:r>
    </w:p>
    <w:p>
      <w:r>
        <w:t>POSSIBLE 2022: Balancing GHG mitigation and land-use conflicts: Alternative Northern European energy system scenarios — https://doi.org/10.1016/j.apenergy.2022.118557</w:t>
      </w:r>
    </w:p>
    <w:p>
      <w:r>
        <w:t>Shared claim-specific concepts: energy, system; EU scope visible. This is a provisional connection, not an outcome finding.</w:t>
      </w:r>
    </w:p>
    <w:p>
      <w:r>
        <w:t>Available abstract (not full text):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r>
        <w:t>POSSIBLE 2021: Sustainable renewable energy supply networks optimization – The gradual transition to a renewable energy system within the European Union by 2050 — https://doi.org/10.1016/j.rser.2021.111186</w:t>
      </w:r>
    </w:p>
    <w:p>
      <w:r>
        <w:t>Shared claim-specific concepts: energy, system; EU scope visible. This is a provisional connection, not an outcome finding.</w:t>
      </w:r>
    </w:p>
    <w:p>
      <w:r>
        <w:t>Available abstract (not full text): In order to achieve the goal of a carbon neutral EU by 2050 and meet the climate targets of the Paris Agreement, a sustainable, efficient, competitive and secure energy system needs to be developed. This paper presents the synthesis of sustainable renewable energy supply networks within the EU-27, proposing a stepwise energy transition in the transport and power sectors, achieving a carbon net neutral target by 2050. A multi-period mixed-integer programming model is developed, with the objective of maximizing sustainability net present value, considering different biomass and waste resources for the production of biofuels, renewable electricity, hydrogen, food and bioproducts, employing different types of technologies. The results show that, with further development of existing technologies, the goal of a carbon-neutral EU can be achieved without compromising food production. Wind farms have proven to be the most promising solution at present for the rapid expansion of electricity generation from renewable energy sources, while the importance of solar photovoltaics is increasing over the years, reaching the 43% share of electricity generation from RES in 2050. Moreover, the energy transition within the EU could have a significant positive impact on the economic, environmental and also social aspects of sustainability, with more than 1.5 million new job opportunities created acr</w:t>
      </w:r>
    </w:p>
    <w:p>
      <w:r>
        <w:t>POSSIBLE 2021: A modeler's guide to handle complexity in energy systems optimization — https://doi.org/10.1016/j.adapen.2021.100063</w:t>
      </w:r>
    </w:p>
    <w:p>
      <w:r>
        <w:t>Shared claim-specific concepts: energy, system, based; EU scope not established. This is a provisional connection, not an outcome finding.</w:t>
      </w:r>
    </w:p>
    <w:p>
      <w:r>
        <w:t>Available abstract (not full text): Determining environmentally- and economically-optimal energy systems designs and operations is complex. In particular, the integration of weather-dependent renewable energy technologies into energy system optimization models presents new challenges to computational tractability that cannot only be solved by advancements in computational resources. In consequence, energy system modelers must tackle the complexity of their models by applying various methods to manipulate the underlying data and model structure, with the ultimate goal of finding optimal solutions. As which complexity reduction method is suitable for which research question is often unclear, herein we review different approaches for handling complexity. We first analyze the determinants of complexity and note that many drivers of complexity could be avoided a priori with a tailored model design. Second, we conduct a review of systematic complexity reduction methods for energy system optimization models, which can range from simple linearization performed by modelers to sophisticated multi-level approaches combining aggregation and decomposition methods. Based on this overview, we develop a guide for energy system modelers who encounter computational limitations.</w:t>
      </w:r>
    </w:p>
    <w:p>
      <w:r>
        <w:t>POSSIBLE 2021: Application of Markal Model Generator in Optimizing Energy Systems — https://doi.org/10.46873/2300-3960.1307</w:t>
      </w:r>
    </w:p>
    <w:p>
      <w:r>
        <w:t>Shared claim-specific concepts: energy, system, modelling; EU scope visible. This is a provisional connection, not an outcome finding.</w:t>
      </w:r>
    </w:p>
    <w:p>
      <w:r>
        <w:t>Available abstract (not full text): The main objectives of European energy policy include: security of energy supply, reduction of greenhouse gas emissions and the development of efficient and clean energy technologies. The obligation to fulfil these objectives is connected, among others, with the optimization of the development of all energy system i.e. a group of facilities and equipment for the collection, transmission, processing, distribution and use of energy in all its forms. Computer programs such as MARKAL, TIMES, ENPEP, MIDAS are the basic tools for modelling different energy systems. Various simulation, optimization and macro models are created with them. Multi-criteria methods are also used. In this paper the use of MARKAL as a tool for the optimization of an energy system was the matter of research. The article presents the characteristics of MARKAL. Additionally, it includes an example of the use of the program to create a model of the supply of heat for the province of Silesia together with its results.</w:t>
      </w:r>
    </w:p>
    <w:p>
      <w:r>
        <w:t>POSSIBLE 2020: A Novel Modular Optimization Framework for Modelling Investment and Operation of Energy Systems at European Level — https://openalex.org/W3026649545</w:t>
      </w:r>
    </w:p>
    <w:p>
      <w:r>
        <w:t>Shared claim-specific concepts: energy, system, modelling; EU scope visible. This is a provisional connection, not an outcome finding.</w:t>
      </w:r>
    </w:p>
    <w:p>
      <w:r>
        <w:t>Available abstract (not full text): Project plan4res (www.plan4res.eu) involves the development of a modular framework for the modeling and analysis of energy system strategies at the European level. It will include models describing the investment and operation decisions for a wide variety of technologies related to electricity and non-electricity energy sectors across generation, consumption, transmission and distribution. The modularity of the framework allows for detailed modelling of major areas of energy systems that can help stakeholders from different backgrounds to focus on specific topics related to the energy landscape in Europe and to receive relevant outputs and insights tailored to their needs. The current paper presents a qualitative description of key concepts and methods of the novel modular optimization framework and provides insights into the corresponding energy landscape.</w:t>
      </w:r>
    </w:p>
    <w:p>
      <w:pPr>
        <w:pStyle w:val="Heading2"/>
      </w:pPr>
      <w:r>
        <w:t>Perspectives from 2037—Can Environmental Impact Assessment be the Solution for an Early Consideration of Climate Change-related Impacts?</w:t>
      </w:r>
    </w:p>
    <w:p>
      <w:r>
        <w:t>Original source (2019): https://doi.org/10.3390/su11154002</w:t>
      </w:r>
    </w:p>
    <w:p>
      <w:r>
        <w:t>Original wording (abstract; indexed_source_text_not_full_document_verified): Three scenario narratives were elaborated based on nine key impact factors based on literature review, content analysis of EIA documents and interviews with EIA actors.</w:t>
      </w:r>
    </w:p>
    <w:p>
      <w:r>
        <w:t>POSSIBLE 2026: Narratives and Narratologies — https://doi.org/10.14361/9783839453773-177</w:t>
      </w:r>
    </w:p>
    <w:p>
      <w:r>
        <w:t>Shared claim-specific concepts: narratives, key; EU scope not established. This is a provisional connection, not an outcome finding.</w:t>
      </w:r>
    </w:p>
    <w:p>
      <w:r>
        <w:t>Available abstract (not full text): Prologue, or: Narratives Matter!One might as well begin with the observation that narratives matter because they do very important cultural and political work.Narratives have always played a key role not only in politics but also in such different domains as the economy, education, law, and society at large.Therefore, the title of this essay should actually be "Narratives Matter," but since the format of the glossary suggests that it is more appropriate to add another word beginning with the letter "n" we decided to choose either the term narratology, i.e. the logic of narratives, or "narratologies" as the umbrella term for the great variety of approaches that have been developed for the study of narratives.We would like to hasten to add that cultures and narratives are closely intertwined, although the complex ways in which narratives shape cultures, just as much as cultures shape narratives, have not yet received as much attention as they deserve.While the developments of "narratology in the age of cross-disciplinary narrative research" (Heinen and Sommer 2009) include debates about the uses and abuses of contextualist approaches like historical, intercultural, and "postcolonial narratologies" as well as programmatic outlines of "cultural narratologies" (Nünning 2009), such approaches have neither been fully developed nor have they had much impact in the field of the study of</w:t>
      </w:r>
    </w:p>
    <w:p>
      <w:r>
        <w:t>POSSIBLE 2024: Exploring the Narrative and Aesthetic Aspects of Huanglong Opera in Nong'an County Jilin Province China — https://doi.org/10.60027/ijsasr.2024.3930</w:t>
      </w:r>
    </w:p>
    <w:p>
      <w:r>
        <w:t>Shared claim-specific concepts: three, narratives, key; EU scope not established. This is a provisional connection, not an outcome finding.</w:t>
      </w:r>
    </w:p>
    <w:p>
      <w:r>
        <w:t>Available abstract (not full text): Background and Aims: Huanglong Opera is a traditional Chinese opera form deeply rooted in the cultural tapestry of Nong'an County, Jilin Province, China. The objective of this study is to investigate the narrative and aesthetic aspects of Huanglong Opera in Nong'an County, Jilin Province, China. Materials and Methods: With a multidisciplinary approach drawing from sociology and anthropology. The research site, Nong'an County, was chosen for its historical significance in preserving and promoting this traditional art form. Three key informants played a pivotal role in providing insights into the narrative and aesthetic dimensions of Huanglong Opera. The research tools employed observation forms and interview forms to collect comprehensive data on these aspects, with meticulous data analysis to categorize and identify patterns in the observations. Result: The study unveiled historical storytelling, the delicate balance between authenticity and fiction, universal themes, character development, and cultural preservation embedded in Huanglong Opera's narratives. It also highlighted the musical composition, elaborate costumes and makeup, choreographic precision, stage design, and props that constitute the opera's captivating aesthetics. Conclusion: The study's findings underscore the cultural significance and enduring appeal of Huanglong Opera while suggesting avenues for its preserv</w:t>
      </w:r>
    </w:p>
    <w:p>
      <w:r>
        <w:t>POSSIBLE 2023: Elaborating, sharing, narrating: a narrative analysis of three approaches to health communication — https://doi.org/10.1590/interface.230172</w:t>
      </w:r>
    </w:p>
    <w:p>
      <w:r>
        <w:t>Shared claim-specific concepts: three, key, literature; EU scope not established. This is a provisional connection, not an outcome finding.</w:t>
      </w:r>
    </w:p>
    <w:p>
      <w:r>
        <w:t>Available abstract (not full text):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r>
        <w:t>POSSIBLE 2023: Elaborating, sharing, narrating: a narrative analysis of three approaches to health communication — https://doi.org/10.6084/m9.figshare.23584934</w:t>
      </w:r>
    </w:p>
    <w:p>
      <w:r>
        <w:t>Shared claim-specific concepts: three, key, literature; EU scope not established. This is a provisional connection, not an outcome finding.</w:t>
      </w:r>
    </w:p>
    <w:p>
      <w:r>
        <w:t>Available abstract (not full text): Abstract Communication, despite being considered a key aspect in medical practice, has not received the corresponding attention both on literature and medical training as has the technological and biomedical aspects. As a reaction to this context emerged fields of knowledge proposing to reflect and strengthen aspects of communication between the physician and the patient. In this article, we perform a narrative analysis of the literature of three of such approaches to communication in health: the Balint Groups, the Patient Centered Care and Narrative-Based Medicine. The study highlights the approximations and distances between these approaches, along with the recognition of the potency of each of them in the different contexts of medical practice.</w:t>
      </w:r>
    </w:p>
    <w:p>
      <w:r>
        <w:t>POSSIBLE 2022: FRAMING AND NARRATIVES AS ASSISTANTS IN ADVANCING A SCIENCE-ORIENTED MINDSET. THE EXAMPLE OF THE POLICE IN THE BALTICS — https://doi.org/10.17770/acj.v1i93.6492</w:t>
      </w:r>
    </w:p>
    <w:p>
      <w:r>
        <w:t>Shared claim-specific concepts: three, narratives, key, factors; EU scope not established. This is a provisional connection, not an outcome finding.</w:t>
      </w:r>
    </w:p>
    <w:p>
      <w:r>
        <w:t>Available abstract (not full text): Country-specific knowledge offered by police science is a necessary precondition for successful policing. However, cursory data on police science in the Baltic countries raises many questions about the real use of scientific knowledge opportunities in these countries.The paper elaborates on a framework to advance a science-oriented mindset in the police. Principles of narratives and framing were used to overcome a possible conflict between scientists and practitioners, and bridge all the parties related to policing. In this framework, scientists should take the lead. External, internal, and strategic factors, as Alisson’s three key management functions, were used to specify factors of the framework in the research. The framing process that holds a focusing function allows the use of discovered narratives and presents a variety of possible future directions. Creating a metanarrative with beginning, middle, and end grasps all the agents and ties into future developments.</w:t>
      </w:r>
    </w:p>
    <w:p>
      <w:r>
        <w:t>POSSIBLE 2022: For a narrative hospital : a training model to narrative medicine at the hospital — https://openalex.org/W4399152333</w:t>
      </w:r>
    </w:p>
    <w:p>
      <w:r>
        <w:t>Shared claim-specific concepts: three, narratives, elaborated, based; EU scope not established. This is a provisional connection, not an outcome finding.</w:t>
      </w:r>
    </w:p>
    <w:p>
      <w:r>
        <w:t>Available abstract (not full text): Today, the Narrative Medicine training of health providers has three main challenges. How to overcome the limitations of individual training? How to promote the spread of Narrative Medicine? How to build narrative environments? This dissertation provides theoretical and pragmatic answers by considering the Narrative Medicine training that we have been carrying out at the Centre Hospitalier Intercommunal de Créteil (CHIC) since 2019.At first, we explain the methodology of this project based on the principles and practice of Narrative Medicine, as Rita Charon has elaborated them at Columbia University. At the CHIC, five interprofessional groups attend a two-hour Narrative Medicine workshop once a month: they read, write, and share texts and narratives of different nature (literary, clinical, artistic, and musical). At least, a «literary consultant» and a health professional provide the facilitation.In the light of experience, we developed an innovative three-phase model (Basic Workshops, Creative Workshops, Cofacilitated Workshops), and we describe it broadly. Our goal is to offer a training device that can be transferable and adaptable to other hospitals.Using an approach based on the dialogical research, as established by Arthur Frank, we provide feedback from participants to evaluate the effects of this training on professional wellbeing, narrative competence, and institutiona</w:t>
      </w:r>
    </w:p>
    <w:p>
      <w:r>
        <w:t>POSSIBLE 2021: Elaborating Visual Narrative into Modern Adaptation Concept for Picture Book with Indonesian Folklore Theme — https://doi.org/10.2991/assehr.k.211228.061</w:t>
      </w:r>
    </w:p>
    <w:p>
      <w:r>
        <w:t>Shared claim-specific concepts: three, based, literature, content; EU scope not established. This is a provisional connection, not an outcome finding.</w:t>
      </w:r>
    </w:p>
    <w:p>
      <w:r>
        <w:t>Available abstract (not full text): Folklore shows how a culture brings its point of view and values.It is also an agent of social values such as honesty, kindness, forgiveness, and many more.Through picture book, message from folklore can lead children understanding their society.These aspects are reasons why folklore becomes a favourite genre in picture book.Hence, some argue that folklore also store up cruelty and intimidating content which are not suitable for children.This leads creator and publisher to keep up with new way of adaptation.For example, by combining the method of modern storytelling technique and the art visual narration into the plot.The objective of this study is to design a new adaptation method for Indonesian folklore story by elaborating visual narrative into its story and illustration.By creating the formula, this study will not only help conserving Indonesian folklore stories, but also help delivering social values to children without the need of frighten the readers.This study follows a qualitative method by observing and existing Indonesian folklore books, which then categorized into three genres: Mythology, folktales, and fables.Samples from each category were then picked based on its popularity.A data collection of modern storytelling method and visual narrative literature were also done, which then mapped out into an adaptation concept suitable for children.The results show that vis</w:t>
      </w:r>
    </w:p>
    <w:p>
      <w:r>
        <w:t>POSSIBLE 2021: About narrative: a study of the use of narratives in fashion design — https://doi.org/10.32920/ryerson.14646882</w:t>
      </w:r>
    </w:p>
    <w:p>
      <w:r>
        <w:t>Shared claim-specific concepts: three, narratives, interviews; EU scope not established. This is a provisional connection, not an outcome finding.</w:t>
      </w:r>
    </w:p>
    <w:p>
      <w:r>
        <w:t>Available abstract (not full text):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r>
        <w:t>POSSIBLE 2021: About narrative: a study of the use of narratives in fashion design — https://doi.org/10.32920/ryerson.14646882.v1</w:t>
      </w:r>
    </w:p>
    <w:p>
      <w:r>
        <w:t>Shared claim-specific concepts: three, narratives, interviews; EU scope not established. This is a provisional connection, not an outcome finding.</w:t>
      </w:r>
    </w:p>
    <w:p>
      <w:r>
        <w:t>Available abstract (not full text): This research examines the construction of narratives in fashion design. The intent is to explore how narratives emerge through this practice and how they impact the process of creation and making of fashion artefacts. It is constructed around a series of interviews with three fashion designers whose work reflects the importance of narratives as essential tools in their practice. All participants currently occupy a position in the fashion industry and have significant experiences that allowed them to share and express this area of their work. The analysis of these interviews forms the basis of a short documentary as well as the making of an art piece that are intended to encourage dialogue and deeper reflection about the ways in which narratives manifest themselves in the process of fashion design and how these they are later translated through the fashion industry. It examines how narratives can be used to generate meanings throughout the conception and production of garments and how these meanings can sensitize the consumers to the stories behind the clothes that they wear.</w:t>
      </w:r>
    </w:p>
    <w:p>
      <w:r>
        <w:t>POSSIBLE 2020: The Basic Concept of Narratology and Narrative — https://doi.org/10.15294/lc.v14i2.23247</w:t>
      </w:r>
    </w:p>
    <w:p>
      <w:r>
        <w:t>Shared claim-specific concepts: three, narratives, elaborated, review; EU scope not established. This is a provisional connection, not an outcome finding.</w:t>
      </w:r>
    </w:p>
    <w:p>
      <w:r>
        <w:t xml:space="preserve">Available abstract (not full text): The field of narratology is concerned with the study and analysis of narrative texts. It puts under investigation literary pieces of language and yields an understanding of the components has in its very texture. The aim of this article is to provide insights about the field of ‘narratology’ and its associated subject of study ‘narrative’. It also tries to sketch the main issues concerning these two concepts. For this, the present review is presented in two major sections, each with related discussions about narratology and narrative. The first major part, narratology, will be presented in three sections: the first section, deals with the definitions and origins of narratology. The definitions are inspected and the researchers show how they go from general (encompassing all which is narrated) to more specific (encompassing literary narratives told by a narrator) ones. The second section, focuses on the two phases of narratology which are classical and post-classical ones in which narratology changed its orientations and scope. The last section is devoted to some of the elements and components of which narratology is made up, such as narration, focalization, narrative situation, action, story analysis, tellability, tense, time, and narrative modes which will be elaborated on in more details. The second major part, narrative, will be presented in four sections: first the concept </w:t>
      </w:r>
    </w:p>
    <w:p>
      <w:r>
        <w:t>POSSIBLE 2020: Pastoral care and narrative: Towards a narrative pastoral care approach in intercultural communities — https://doi.org/10.4102/ids.v54i1.2619</w:t>
      </w:r>
    </w:p>
    <w:p>
      <w:r>
        <w:t>Shared claim-specific concepts: three, narratives, literature; EU scope not established. This is a provisional connection, not an outcome finding.</w:t>
      </w:r>
    </w:p>
    <w:p>
      <w:r>
        <w:t>Available abstract (not full text): Narrative therapy, or narrative pastoral care, is one of the approaches of the last three decades that has attempted to address care for our current fluid communities. Stories and narratives play an important role in the meaning making of personhood and identity. Narratives and stories are becoming more used and recognised as an indispensable part of the healing of vulnerable persons within Psychology, Literature, Sociology and Theology. This contribution is an attempt to add to the growing scholarship of story and narrative approaches in Pastoral Care and Counselling by providing markers for a developing model of pastoral care within intercultural contexts. I will give a brief overview of pastoral care within four different contexts. The narrative approaches of Muller and Ganzevoort will be analysed and critically engaged because of their extensive and elaborative research of narrative for pastoral care and counselling. After a brief overview and critique of Muller and Ganzevoort, I will identify additional markers for narrative pastoral care in intercultural contexts.</w:t>
      </w:r>
    </w:p>
    <w:p>
      <w:r>
        <w:t>POSSIBLE 2020: Narratives of the three extant chronicles — https://doi.org/10.1017/9781912961191.003</w:t>
      </w:r>
    </w:p>
    <w:p>
      <w:r>
        <w:t>Shared claim-specific concepts: three, narratives, elaborated; EU scope not established. This is a provisional connection, not an outcome finding.</w:t>
      </w:r>
    </w:p>
    <w:p>
      <w:r>
        <w:t>Available abstract (not full text): The Chronicle of Kamatari THE FIRST SECTION of Tōshi Kaden describes the life of the patriarch of the Fujiwara line, Nakatomi no Kamatari, the eldest son of Nakatomi no Mikeko (?–?), information which is also confirmed in Kugyō bunin . In the context of Sovereign Jomei's (593–641) reign, the Nihon Shoki refers to Kamatari's father as Nakatomi no Muraji Mike , and mentions that he was one of four officials. Virtually nothing is known about his father but it is suggested that he was instrumental in the instalment of Jomei. On the death of Jomei in 641, Kamatari witnessed the dispute regarding his succession, a conflict that resulted in the dismissal and eventual forced suicide of Crown Prince Yamashiro no Ōe (?–643), the son of the illustrious Shōtoku Taishi, and the enthronement of Jomei's consort Kōgyoku. Tōshi Kaden starts exactly at this moment. Having elaborated on Kamatari's intellectual talents and his sense of morality, the chronicle narrates that the courtier Soga no Kuratsukuri (?–645), more commonly referred to as Iruka ‘increased his own fortune’ and controlled the court. Iruka was the son of Soga no Emishi (?–645), the head of the Soga, who was responsible for the removal of Prince Yamashiro and Jomei's enthronement. After having gained ground at court, he was quick to move against Prince Yamashiro, and during the ensuing standoff led by his son Iruka, the prince and</w:t>
      </w:r>
    </w:p>
    <w:p>
      <w:pPr>
        <w:pStyle w:val="Heading2"/>
      </w:pPr>
      <w:r>
        <w:t>Policy-based Population Projections for the European Union: A Complementary Approach</w:t>
      </w:r>
    </w:p>
    <w:p>
      <w:r>
        <w:t>Original source (2019): https://doi.org/10.12765/cpos-2019-14</w:t>
      </w:r>
    </w:p>
    <w:p>
      <w:r>
        <w:t>Original wording (abstract; indexed_source_text_not_full_document_verified): We present new population projections out to 2100 for the countries of the European Union and for the EU as a whole under a wide range of fertility and migration scenarios. We show that demographic policies have the potential to markedly increase or decrease future populations across the EU.</w:t>
      </w:r>
    </w:p>
    <w:p>
      <w:r>
        <w:t>POSSIBLE 2024: Population Genetics and Invasion History of the European Starling Across Aotearoa New Zealand — https://doi.org/10.1111/mec.17579</w:t>
      </w:r>
    </w:p>
    <w:p>
      <w:r>
        <w:t>Shared claim-specific concepts: present, population, countries, range, demographic, across; EU scope visible. This is a provisional connection, not an outcome finding.</w:t>
      </w:r>
    </w:p>
    <w:p>
      <w:r>
        <w:t xml:space="preserve">Available abstract (not full text): The expansion of human settlements over the past few centuries is responsible for an unprecedented number of invasive species introductions globally. An important component of biological invasion management is understanding how introduction history and postintroduction processes have jointly shaped present-day distributions and patterns of population structure, diversity and adaptation. One example of a successful invader is the European starling (Sturnus vulgaris), which was intentionally introduced to numerous countries in the 19th century, including Aotearoa New Zealand, where it has become firmly established. We used reduced representation sequencing to characterise the genetic population structure of the European starling in New Zealand, comparing it to that present in sampling locations in the native range and invasive Australian range. The population structure and genetic diversity patterns we found suggested restricted gene flow from the majority of New Zealand to the northmost sampling location (Auckland). We also profiled genetic bottlenecks and shared outlier genomic regions, which supported historical accounts of translocations between both Australian subpopulations and New Zealand, and provided evidence of which documented translocation events were more likely to have been successful. Using these results as well as historic demographic patterns, we demonstrate how </w:t>
      </w:r>
    </w:p>
    <w:p>
      <w:r>
        <w:t>POSSIBLE 2024: Population exposure to multiple air pollutants and its compound episodes in Europe — https://doi.org/10.1038/s41467-024-46103-3</w:t>
      </w:r>
    </w:p>
    <w:p>
      <w:r>
        <w:t>Shared claim-specific concepts: population, countries, increase, across; EU scope visible. This is a provisional connection, not an outcome finding.</w:t>
      </w:r>
    </w:p>
    <w:p>
      <w:r>
        <w:t>Available abstract (not full text): Abstract Air pollution remains as a substantial health problem, particularly regarding the combined health risks arising from simultaneous exposure to multiple air pollutants. However, understanding these combined exposure events over long periods has been hindered by sparse and temporally inconsistent monitoring data. Here we analyze daily ambient PM 2.5 , PM 10 , NO 2 and O 3 concentrations at a 0.1-degree resolution during 2003–2019 across 1426 contiguous regions in 35 European countries, representing 543 million people. We find that PM10 levels decline by 2.72% annually, followed by NO 2 (2.45%) and PM 2.5 (1.72%). In contrast, O 3 increase by 0.58% in southern Europe, leading to a surge in unclean air days. Despite air quality advances, 86.3% of Europeans experience at least one compound event day per year, especially for PM 2.5 -NO 2 and PM 2.5 -O 3 . We highlight the improvements in air quality control but emphasize the need for targeted measures addressing specific pollutants and their compound events, particularly amidst rising temperatures.</w:t>
      </w:r>
    </w:p>
    <w:p>
      <w:r>
        <w:t>POSSIBLE 2022: Prevalence of most common skin diseases in Europe: a population‐based study — https://doi.org/10.1111/jdv.18050</w:t>
      </w:r>
    </w:p>
    <w:p>
      <w:r>
        <w:t>Shared claim-specific concepts: population, countries, policies, across; EU scope visible. This is a provisional connection, not an outcome finding.</w:t>
      </w:r>
    </w:p>
    <w:p>
      <w:r>
        <w:t>Available abstract (not full text): BACKGROUND: The assessment of the prevalence of diseases is of primary importance in planning health policies. No complete data on the prevalence of skin diseases across European countries are available. OBJECTIVE: To estimate the prevalence of the most frequent skin conditions or diseases in 27 European countries (24 EU countries, plus Norway, Switzerland, and the United Kingdom). METHODS: We conducted a population-based study on representative and extrapolable samples of the general population aged 18 years or more in each of the 27 countries surveyed. Participants were selected using stratified, proportional sampling with a replacement design. Data were collected using a web-based online survey. All participants were asked to fill in a questionnaire with sociodemographic data and to declare if they have had one or more skin conditions or diseases during the previous 12 months. RESULTS: A total of 44 689 participants from 27 countries responded to the questionnaire, 21 887 (48.98%) men and 22 802 (51.02%) women. The proportion of participants who reported having suffered from at least one dermatological condition or disease during the previous 12 months was 43.35% (95% CI: 42.89%, 43.81%). The projection in the total population of the 27 countries included in the study resulted in 185 103 774 individuals affected by at least one dermatological condition or disease. Accordingl</w:t>
      </w:r>
    </w:p>
    <w:p>
      <w:r>
        <w:t>POSSIBLE 2022: Dataset on European diadromous species distributions from 1750 to present time in Europe, North Africa and the Middle East — https://doi.org/10.1016/j.dib.2022.107821</w:t>
      </w:r>
    </w:p>
    <w:p>
      <w:r>
        <w:t>Shared claim-specific concepts: present, population, populations; EU scope visible. This is a provisional connection, not an outcome finding.</w:t>
      </w:r>
    </w:p>
    <w:p>
      <w:r>
        <w:t>Available abstract (not full text): EuroDiad version 4.0 is a set of data tables that store information about the presences/absences and population functionality of diadromous species (lampreys and fish) populations in selected catchments in Europe, the Middle East, and North Africa from 1750 to present time. This database contains distribution and life-history trait information for twenty-eight European diadromous species and geomorphological data for each of the selected catchments, though not every species has data for every catchment and time period. EuroDiad was originally created in 2005–2006 (EuroDiad 1.0 and 2.0), and contained data for 196 catchments and two time periods (1851–1950 and 1951–2010). It underwent a major update in 2009–2010 (EuroDiad 3.2) through a validation process by European fisheries experts. Version 3.2 included the addition of 63 small-sized catchments (&lt; 10,000 km2) and an additional time period (1751–1850) for select species and catchments. This database underwent a second validation process in 2019–2020 and was updated to v 4.0, with the primary goal of providing information for a new generation of species distribution models, referred to as hybrid models, which incorporate both habitat suitability and population dynamics within their framework. Secondary objectives of this update were to: (a) incorporate new catchments for which information was provided by additional experts, (b)</w:t>
      </w:r>
    </w:p>
    <w:p>
      <w:r>
        <w:t>POSSIBLE 2022: Assessing the risk of establishment and transient populations of Spodoptera frugiperda in Europe — https://doi.org/10.1007/s10340-022-01517-0</w:t>
      </w:r>
    </w:p>
    <w:p>
      <w:r>
        <w:t>Shared claim-specific concepts: present, population, demographic, potential, populations; EU scope visible. This is a provisional connection, not an outcome finding.</w:t>
      </w:r>
    </w:p>
    <w:p>
      <w:r>
        <w:t>Available abstract (not full text): Abstract The fall armyworm, Spodoptera frugiperda (J.E. Smith), is an invasive pest threatening crop production and food security worldwide. High concerns are linked to the potential establishment of the species in Europe. The high migratory capacity of S. frugiperda cause concerns about the potential impacts of transient populations invading new areas from suitable hotspots. In the present work, we developed and used a physiologically-based demographic model to quantitatively assess the risks of S. frugiperda in Europe. The risks were assessed considering a best-, a median-, and a worst-case scenario. The Mediterranean coastal areas of Southern Europe resulted suitable for the establishment of the species, with suitable areas reaching even higher latitudes, in the worst-case scenario. In Europe, up to 4 generations per year were predicted. The predicted average yearly adult population was 5 (± 4), 17 (± 5), and 139 (± 22) in the best, median-, and worst-case assessment scenario, respectively. Model results showed that Southern and Central Europe might be exposed to the risk of transient populations, at least up to the 48th parallel north, in the worst-case scenario. Depending on the latitude and on the period of arrival of the propagule, transient populations might be able to originate 1 or more generations per year. The model can be used to define strategies reducing the risk</w:t>
      </w:r>
    </w:p>
    <w:p>
      <w:r>
        <w:t>POSSIBLE 2022: Population Genetics and Signatures of Selection in Early Neolithic European Farmers — https://doi.org/10.1093/molbev/msac108</w:t>
      </w:r>
    </w:p>
    <w:p>
      <w:r>
        <w:t>Shared claim-specific concepts: present, population, migration, show, across; EU scope visible. This is a provisional connection, not an outcome finding.</w:t>
      </w:r>
    </w:p>
    <w:p>
      <w:r>
        <w:t>Available abstract (not full text): Human expansion in the course of the Neolithic transition in western Eurasia has been one of the major topics in ancient DNA research in the last 10 years. Multiple studies have shown that the spread of agriculture and animal husbandry from the Near East across Europe was accompanied by large-scale human expansions. Moreover, changes in subsistence and migration associated with the Neolithic transition have been hypothesized to involve genetic adaptation. Here, we present high quality genome-wide data from the Linear Pottery Culture site Derenburg-Meerenstieg II (DER) (N = 32 individuals) in Central Germany. Population genetic analyses show that the DER individuals carried predominantly Anatolian Neolithic-like ancestry and a very limited degree of local hunter-gatherer admixture, similar to other early European farmers. Increasing the Linear Pottery culture cohort size to ∼100 individuals allowed us to perform various frequency- and haplotype-based analyses to investigate signatures of selection associated with changes following the adoption of the Neolithic lifestyle. In addition, we developed a new method called Admixture-informed Maximum-likelihood Estimation for Selection Scans that allowed us test for selection signatures in an admixture-aware fashion. Focusing on the intersection of results from these selection scans, we identified various loci associated with immune fun</w:t>
      </w:r>
    </w:p>
    <w:p>
      <w:r>
        <w:t>POSSIBLE 2022: Socioeconomic inequalities in cancer mortality between and within countries in Europe: a population-based study — https://doi.org/10.1016/j.lanepe.2022.100551</w:t>
      </w:r>
    </w:p>
    <w:p>
      <w:r>
        <w:t>Shared claim-specific concepts: countries, union, range, policies, across; EU scope visible. This is a provisional connection, not an outcome finding.</w:t>
      </w:r>
    </w:p>
    <w:p>
      <w:r>
        <w:t>Available abstract (not full text): Background: Reducing socioeconomic inequalities in cancer is a priority for the public health agenda. A systematic assessment and benchmarking of socioeconomic inequalities in cancer across many countries and over time in Europe is not yet available. Methods: Census-linked, whole-of-population cancer-specific mortality data by socioeconomic position, as measured by education level, and sex were collected, harmonized, analysed, and compared across 18 countries during 1990-2015, in adults aged 40-79. We computed absolute and relative educational inequalities; temporal trends using estimated-annual-percentage-changes; the share of cancer mortality linked to educational inequalities. Findings: Everywhere in Europe, lower-educated individuals have higher mortality rates for nearly all cancer-types relative to their more highly-educated counterparts, particularly for tobacco/infection-related cancers [relative risk of lung cancer mortality for lower- versus higher-educated = 2.4 (95% confidence intervals: 2.1-2.8) among men; = 1.8 (95% confidence intervals: 1.5-2.1) among women]. However, the magnitude of inequalities varies greatly by country and over time, predominantly due to differences in cancer mortality among lower-educated groups, as for many cancer-types higher-educated have more similar (and lower) rates, irrespective of the country. Inequalities were generally greater in B</w:t>
      </w:r>
    </w:p>
    <w:p>
      <w:r>
        <w:t>POSSIBLE 2021: The New European Political Arithmetic of Inequalities in Education: A History of the Present — https://doi.org/10.17645/si.v9i3.4339</w:t>
      </w:r>
    </w:p>
    <w:p>
      <w:r>
        <w:t>Shared claim-specific concepts: present, population, demographic, policies, across; EU scope visible. This is a provisional connection, not an outcome finding.</w:t>
      </w:r>
    </w:p>
    <w:p>
      <w:r>
        <w:t>Available abstract (not full text): The article describes the emergence and development of positive epistemology and quantification tools in the dynamics of inequalities in education. It contributes to a history of the present at a time when datafication and experimentalism are reappearing in educational policies to justify the reduction of inequalities across international surveys and randomised controlled trials. This socio‐history of metrics also sheds light on transformations about relationships historically established between the welfare state and education that have shaped the representation of inequalities and social programs in education. The use of large‐scale surveys and controlled experiments in social and educational policies developed in the 1920s and 30s, even if their methods and techniques have become more sophisticated due to statistical progress. However, statistical reasoning is today no less persuasive in justifying the measurement of student skills and various forms of state intervention for “at‐risk” children and youth. With the rise of international organisations, notably the European Commission, demographic issues related to school population and the reduction of inequalities have shifted. It is less a question of selecting the most talented or gifted among working‐class students than of investing in human capital from early childhood to improve the education systems’ performance and comp</w:t>
      </w:r>
    </w:p>
    <w:p>
      <w:r>
        <w:t>POSSIBLE 2021: Tinnitus prevalence in Europe: a multi-country cross-sectional population study — https://doi.org/10.1016/j.lanepe.2021.100250</w:t>
      </w:r>
    </w:p>
    <w:p>
      <w:r>
        <w:t>Shared claim-specific concepts: population, countries, union, across; EU scope visible. This is a provisional connection, not an outcome finding.</w:t>
      </w:r>
    </w:p>
    <w:p>
      <w:r>
        <w:t>Available abstract (not full text): BACKGROUND: Tinnitus prevalence studies report large variability across countries that might be due to inconsistent research methods. Our study aimed to report a single Pan-European estimate for tinnitus prevalence and investigate the effect of individual and country-level characteristics on prevalence. We explored the relationships of healthcare resource use and hearing difficulty with tinnitus symptoms. METHODS: Between 2017-2018, a cross-sectional European Tinnitus Survey (ETS) was conducted in 12 European Union nations (Bulgaria, England, France, Germany, Greece, Ireland, Italy, Latvia, Poland, Portugal, Romania, and Spain), using a standardised set of tinnitus-related questions and response options in country-specific languages. We recruited 11,427 adults aged ≥18 years. FINDINGS: Prevalence of any tinnitus was 14·7% (14·0% in men and 15·2% in women), ranging from 8·7% in Ireland to 28·3% in Bulgaria. Severe tinnitus was found in 1·2% participants (1·0% in men and 1·4% in women), ranging from 0·6% in Ireland to 4·2% in Romania. Tinnitus prevalence significantly increased with increasing age and worsening of hearing status. Healthcare resource use for tinnitus increased with increasing tinnitus symptom severity. INTERPRETATION: This is the first multinational report of Pan-European tinnitus prevalence using standardised questions. The overall prevalence estimates refine pre</w:t>
      </w:r>
    </w:p>
    <w:p>
      <w:r>
        <w:t>POSSIBLE 2021: Towards New Horizons: Climate Trends in Europe Increase the Environmental Suitability for Permanent Populations of Hyalomma marginatum (Ixodidae) — https://doi.org/10.3390/pathogens10020095</w:t>
      </w:r>
    </w:p>
    <w:p>
      <w:r>
        <w:t>Shared claim-specific concepts: countries, show, increase, populations; EU scope visible. This is a provisional connection, not an outcome finding.</w:t>
      </w:r>
    </w:p>
    <w:p>
      <w:r>
        <w:t>Available abstract (not full text): Ticks and tick-borne pathogens are changing their current distribution, presumably due to the impact of the climate trends. On a large scale, these trends are changing the environmental suitability of Hyalomma marginatum, the main vector of several pathogens affecting human health. We generated annual models of environmental suitability for the tick in the period 1970–2018, using harmonic regression-derived data of the daily maximum and minimum temperature, soil moisture and water vapor deficit. The results demonstrate an expansion of the suitable area in Mediterranean countries, southeast central Europe and south of the Balkans. Also, the models allowed us to interpret the impact of the ecological variables on these changes. We deduced that (i) maximum temperature was significant for all of the biogeographical categories, (ii) soil humidity has an influence in the Mediterranean climate areas, and (iii) the minimum temperature and deficit water vapor did not influence the environmental suitability of the species. The conclusions clearly show that climate change could create new areas in Europe with suitable climates for H. marginatum, while keeping its “historical” distribution in the Mediterranean. Therefore, it is necessary to further explore possible risk areas for H. marginatum and its associated pathogens.</w:t>
      </w:r>
    </w:p>
    <w:p>
      <w:r>
        <w:t>POSSIBLE 2020: A new typology of small farms in Europe — https://doi.org/10.1016/j.gfs.2020.100389</w:t>
      </w:r>
    </w:p>
    <w:p>
      <w:r>
        <w:t>Shared claim-specific concepts: countries, range, across; EU scope visible. This is a provisional connection, not an outcome finding.</w:t>
      </w:r>
    </w:p>
    <w:p>
      <w:r>
        <w:t>Available abstract (not full text): We propose a new typology of small farms in Europe using a multivariate analysis drawing from household surveys from 14 European countries. The variables to develop the types covered a range of characteristics from farmers' histories and motivations, to farm production, assets and labour, market linkages and access to support. The clustering analysis found five types of small farms, two with relatively weak commercial orientation (peasant and part-time farms) and three with relatively strong commercial orientation (diversified businesses, specialized businesses, and new enterprises). This typology provides a richer picture of the diversity and nature of small farming across Europe beyond assumptions about their role in subsistence and fragile household economies. We find evidence of entrepreneurship and strong market linkages as well as a range of motivations, including lifestyle options. Typologies such as the one presented here can help to better document and understand the role of small-scale farming in Europe, and provide an input for evidence-based policy making that can enhance their livelihoods and contribution.</w:t>
      </w:r>
    </w:p>
    <w:p>
      <w:r>
        <w:t>POSSIBLE 2020: Population of Eurasian beaver (Castor fiber) in Europe — https://doi.org/10.1016/j.gecco.2020.e01046</w:t>
      </w:r>
    </w:p>
    <w:p>
      <w:r>
        <w:t>Shared claim-specific concepts: population, countries, increase, populations; EU scope visible. This is a provisional connection, not an outcome finding.</w:t>
      </w:r>
    </w:p>
    <w:p>
      <w:r>
        <w:t>Available abstract (not full text): The Eurasian beaver (Castor fiber) is an intensely expansionary species. Species reintroductions, which were conducted in various parts of Europe, as well as the rate of natural increase have resulted in the growth of the number of individuals. The dynamic development of the beaver population in Europe means that the available data concerning the quantity of beavers becomes outdated very quickly. The purpose of this manuscript is to update the available information about the beaver populations in all countries of Europe. The information was collected in the second half of 2019. Some of the data collected include generally available studies and articles. For some countries, the author had difficulty obtaining any data; therefore, personal communication was employed with various governmental or scientific units in the given country. The outcomes of the conducted analyses were figures about the Eurasian beaver population throughout Europe. It was found that the Eurasian beaver population in Europe numbered nearly 1,222,000 individuals.</w:t>
      </w:r>
    </w:p>
    <w:p>
      <w:pPr>
        <w:pStyle w:val="Heading2"/>
      </w:pPr>
      <w:r>
        <w:t>Population Projection Revisions and Their Impact on Economic Growth – The Case of Malta</w:t>
      </w:r>
    </w:p>
    <w:p>
      <w:r>
        <w:t>Original source (2019): https://doi.org/10.5296/rae.v11i3.15285</w:t>
      </w:r>
    </w:p>
    <w:p>
      <w:r>
        <w:t>Original wording (abstract; indexed_source_text_not_full_document_verified): Typically, in short-term economic forecasts, population projections, and their related impact on the availability of labour, tend to be the most stable component. Using the standard production function approach to estimate potential output growth, these revisions change very substantially expectations of economic expansion.</w:t>
      </w:r>
    </w:p>
    <w:p>
      <w:r>
        <w:t>POSSIBLE 2026: Economic Burden of Physical Inactivity in Europe — https://doi.org/10.71125/sporteconres.25</w:t>
      </w:r>
    </w:p>
    <w:p>
      <w:r>
        <w:t>Shared claim-specific concepts: population; EU scope visible. This is a provisional connection, not an outcome finding.</w:t>
      </w:r>
    </w:p>
    <w:p>
      <w:r>
        <w:t>Available abstract (not full text): Physical inactivity (PI) is a well-established risk factor for the development of several diseases and represents a major public health challenge in Europe. Beyond this clinical impact, PI is associated with a significant economic burden, both in direct and indirect healthcare (HC) costs. This study aims to evaluate the economic burden of PI in Europe, with a particular focus on HC-related costs. A systematic review was conducted by searching PubMed up to March 2025, following PRISMA guidelines. Of the 319 studies initially identified, 17 met the inclusion criteria. The methodologies were diverse, particularly in terms of physical activity assessment, population characteristics, methodology, and the costs analyzed. Overall, the studies indicate that PI is associated with a higher economic burden, primarily impacting direct HC costs (only three studies addressing indirect costs). In addition to costs, four studies evaluated the Disability-Adjusted Life Years attributable to PI. Cardiovascular diseases and cancer were the most studied conditions. Furthermore, several studies highlighted the beneficial economic effects of interventions aimed at increasing physical activity. In conclusion, PI imposes a significant economic burden on HC systems in Europe, reinforcing its relevance as a public health priority. These findings emphasize the urgent need for effective strategies and poli</w:t>
      </w:r>
    </w:p>
    <w:p>
      <w:r>
        <w:t>POSSIBLE 2023: The Macro Impact of Short‐Termism — https://doi.org/10.3982/ecta15420</w:t>
      </w:r>
    </w:p>
    <w:p>
      <w:r>
        <w:t>Shared claim-specific concepts: forecasts, standard, estimate; EU scope not established. This is a provisional connection, not an outcome finding.</w:t>
      </w:r>
    </w:p>
    <w:p>
      <w:r>
        <w:t>Available abstract (not full text): R&amp;D investment reduces current profits, so short‐term pressure to hit profit targets may distort R&amp;D. In the data, firms just meeting Wall Street forecasts have lower R&amp;D growth and subsequent innovation, while managers just missing receive lower pay. But short‐termist distortions might not quantitatively matter if aggregation or equilibrium dampen their impact. So I build and estimate a quantitative endogenous growth model in which short‐termism arises naturally as discipline on conflicted managers and boosts firm value by about 1%. But short‐termism reduces R&amp;D, and the social return to R&amp;D is higher than the private return due to standard channels including knowledge spillovers and imperfect competition. So at the macro level, short‐termist distortions slow growth by 5 basis points yearly and lower social welfare by about 1%.</w:t>
      </w:r>
    </w:p>
    <w:p>
      <w:r>
        <w:t>POSSIBLE 2022: From Short-Term Risk to Long-Term Strategic Challenges: Reviewing the Consequences of Geopolitics and COVID-19 on Economic Performance — https://doi.org/10.3390/su142114455</w:t>
      </w:r>
    </w:p>
    <w:p>
      <w:r>
        <w:t>Shared claim-specific concepts: short-term, approach; EU scope visible. This is a provisional connection, not an outcome finding.</w:t>
      </w:r>
    </w:p>
    <w:p>
      <w:r>
        <w:t xml:space="preserve">Available abstract (not full text): The COVID-19 crisis and the war between Russia and Ukraine affects the world economy badly. The western countries’ economic sanctions on Russia and the Russian government’s reverse sanctions on western countries create pressure on the world economy. This study was conducted to investigate how the economic performance is responding to COVID-19 and the geopolitical crisis of the era. In doing so, both theoretical and numerical data reviews have been performed. The objective of the study is to investigate the short-term risks and long-term strategic challenges of the crisis. The study used a bibliometric approach with the help of RStudio software. The Web of Science database was used for extracting the resources in line with the grey literature from the Google Search engine. A total of 895 documents were utilized in this bibliometric analysis. At the same time, secondary panel data extracted from the international monetary fund (IMF) for a period of 4 years (2019–2022) were utilized for reviewing numerical implications. The purposive sampling technique is used for data selection and main economic variables. The findings of the study imply that countries over the world registered less economic growth, high inflation rate, and high government debt in 2022 compared to the fiscal period of 2019–2021. The emerging economies and developing countries of Europe were badly affected by the </w:t>
      </w:r>
    </w:p>
    <w:p>
      <w:r>
        <w:t>POSSIBLE 2021: Current and projected regional economic impacts of heatwaves in Europe — https://doi.org/10.1038/s41467-021-26050-z</w:t>
      </w:r>
    </w:p>
    <w:p>
      <w:r>
        <w:t>Shared claim-specific concepts: projections, labour, output; EU scope visible. This is a provisional connection, not an outcome finding.</w:t>
      </w:r>
    </w:p>
    <w:p>
      <w:r>
        <w:t>Available abstract (not full text):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r>
        <w:t>POSSIBLE 2021: Remote Sensing for Short-Term Economic Forecasts — https://doi.org/10.3390/su13179593</w:t>
      </w:r>
    </w:p>
    <w:p>
      <w:r>
        <w:t>Shared claim-specific concepts: short-term, forecasts, potential, very; EU scope not established. This is a provisional connection, not an outcome finding.</w:t>
      </w:r>
    </w:p>
    <w:p>
      <w:r>
        <w:t>Available abstract (not full text): Economic forecasts are an important instrument to judge the nation-wide economic situation. Such forecasts are mainly based on data from statistical offices. However, there is a time lag between the end of the reporting period and the release of the statistical data that arises for instance from the time needed to collect and process the data. To improve the forecasts by reducing the delay, it is of interest to find alternative data sources that provide information on economic activity without significant delays. Among others, satellite images are thought to assist here. This paper addresses the potential of earth observation imagery for short-term economic forecasts. The study is focused on the estimation of investments in the construction sector based on high resolution (HR) (10–20 m) and very high resolution (VHR) (0.3–0.5 m) images as well as on the estimation of investments in agricultural machinery based on orthophotos (0.1 m) simulating VHR satellite imagery. By applying machine learning it is possible to extract the objects of interest to a certain extent. For the detection of construction areas, VHR satellite images are much better suited than HR satellite images. VHR satellite images with a ground resolution of 30–50 cm are able to identify agricultural machinery. These results are promising and provide new and unconventional input for economic forecasting models.</w:t>
      </w:r>
    </w:p>
    <w:p>
      <w:r>
        <w:t>POSSIBLE 2020: Short-term and long-term health impacts of air pollution reductions from COVID-19 lockdowns in China and Europe: a modelling study — https://doi.org/10.1016/s2542-5196(20)30224-2</w:t>
      </w:r>
    </w:p>
    <w:p>
      <w:r>
        <w:t>Shared claim-specific concepts: short-term; EU scope visible. This is a provisional connection, not an outcome finding.</w:t>
      </w:r>
    </w:p>
    <w:p>
      <w:r>
        <w:t>Available abstract (not full text): Background Exposure to poor air quality leads to increased premature mortality from cardiovascular and respiratory diseases. Among the far-reaching implications of the ongoing COVID-19 pandemic, a substantial improvement in air quality was observed worldwide after the lockdowns imposed by many countries. We aimed to assess the implications of different lockdown measures on air pollution levels in Europe and China, as well as the short-term and long-term health impact. Methods For this modelling study, observations of fine particulate matter (PM 2·5 ) concentrations from more than 2500 stations in Europe and China during 2016–20 were integrated with chemical transport model simulations to reconstruct PM 2·5 fields at high spatiotemporal resolution. The health benefits, expressed as short-term and long-term avoided mortality from PM 2·5 exposure associated with the interventions imposed to control the COVID-19 pandemic, were quantified on the basis of the latest epidemiological studies. To explore the long-term variability in air quality and associated premature mortality, we built different scenarios of economic recovery (immediate or gradual resumption of activities, a second outbreak in autumn, and permanent lockdown for the whole of 2020). Findings The lockdown interventions led to a reduction in population-weighted PM 2·5 of 14·5 μg m −3 across China (−29·7%) and 2·2 μg m −3</w:t>
      </w:r>
    </w:p>
    <w:p>
      <w:r>
        <w:t>POSSIBLE 2020: Effect of B Corp Certification on Short-Term Growth: European Evidence — https://doi.org/10.3390/su12208459</w:t>
      </w:r>
    </w:p>
    <w:p>
      <w:r>
        <w:t>Shared claim-specific concepts: short-term, potential; EU scope visible. This is a provisional connection, not an outcome finding.</w:t>
      </w:r>
    </w:p>
    <w:p>
      <w:r>
        <w:t>Available abstract (not full text): This paper investigates the effect of sustainability certification on the short-term growth rates of socially responsible companies. A changing business environment in which stakeholders became more sensitive to the sustainability practices of companies induced a growing popularity of hybrid firms, which use market-based approaches to pursue environmental and social goals. However, stakeholders do not take unsubstantiated claims about companies’ sustainability efforts for granted, creating a potential economic role for independent certification organizations. In addition, the internal processes brought about by the external verification procedure could turn the social mission, which is often creating tension with financial goals, into a strategic advantage. B Lab is one such well-known and rapidly growing organization, granting so-called B Corp certificates across many countries around the world. This paper contributes to the hybrid firm literature by ascertaining the benefit of certification as measured by firm growth. Using a panel dataset of financial data of European firms that obtained B Corp certification between 2012 and 2018 and a quasi-experimental difference-in-difference research design, this paper empirically shows that B Corp certification positively impacts the turnover growth rates one year pre versus one year post certification. No significant effects on employe</w:t>
      </w:r>
    </w:p>
    <w:p>
      <w:pPr>
        <w:pStyle w:val="Heading2"/>
      </w:pPr>
      <w:r>
        <w:t>Scenarios for population health inequalities in 2030 in Europe: the EURO-HEALTHY project experience</w:t>
      </w:r>
    </w:p>
    <w:p>
      <w:r>
        <w:t>Original source (2019): https://doi.org/10.1186/s12939-019-1000-8</w:t>
      </w:r>
    </w:p>
    <w:p>
      <w:r>
        <w:t>Original wording (abstract; indexed_source_text_not_full_document_verified):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w:t>
      </w:r>
    </w:p>
    <w:p>
      <w:r>
        <w:t>POSSIBLE 2026: Landscape Report on Diamond OA Publishing: Europe — https://doi.org/10.5281/zenodo.19236088</w:t>
      </w:r>
    </w:p>
    <w:p>
      <w:r>
        <w:t>Shared claim-specific concepts: objective, three, regions; EU scope visible. This is a provisional connection, not an outcome finding.</w:t>
      </w:r>
    </w:p>
    <w:p>
      <w:r>
        <w:t>Available abstract (not full text): The presentation introduces the Landscape Report on Diamond Open Access Publishing in Africa, Europe, and Latin America and focuses on the findings relating to Europe. The main objective of the report is to describe the systemic conditions and public policies that surround the development of the Diamond OA scholarly publishing model in each country, followed by an analysis of each of the three world regions. The country-level analysis includes a review of legal frameworks, specific policies, funding mechanisms, incentives and recognition systems, digital infrastructures and platforms, institutional support, human resources, the collaboration mechanisms between publishing services and editorial service providers, and editorial quality certification mechanisms. In addition, it includes a set of actions required to develop and strengthen national Diamond OA scholarly publishing systems.</w:t>
      </w:r>
    </w:p>
    <w:p>
      <w:r>
        <w:t>POSSIBLE 2025: Europe as a subject and object of epistemic reflection — https://doi.org/10.30574/wjarr.2025.27.1.2547</w:t>
      </w:r>
    </w:p>
    <w:p>
      <w:r>
        <w:t>Shared claim-specific concepts: three, key, approach; EU scope visible. This is a provisional connection, not an outcome finding.</w:t>
      </w:r>
    </w:p>
    <w:p>
      <w:r>
        <w:t xml:space="preserve">Available abstract (not full text):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r>
        <w:t>POSSIBLE 2025: Europe as a subject and object of epistemic reflection — https://doi.org/10.5281/zenodo.17519703</w:t>
      </w:r>
    </w:p>
    <w:p>
      <w:r>
        <w:t>Shared claim-specific concepts: three, key, approach; EU scope visible. This is a provisional connection, not an outcome finding.</w:t>
      </w:r>
    </w:p>
    <w:p>
      <w:r>
        <w:t xml:space="preserve">Available abstract (not full text): This study proposes a critical and theoretical approach from the social sciences, particularly anthropology and the philosophy of science, to analyze Europe as a subject and object of epistemic reflection. Through a hermeneutic and postfoundational approach, the author examines the emergence of modern science in Europe, its institutional consolidation, and its subsequent questioning from internal (Foucault, Kuhn, Derrida) and external (postcolonial and global south) perspectives. The analysis identifies three key moments: the constitution of the modern European scientific paradigm based on rationality, empiricism, and objectivity; The critique of these foundations from within European tradition itself and from postcolonial thought; and the emergence of a global need to pluralize science by recognizing other forms of knowledge. The text argues that Europe has played a dual role: creator of modern scientific thought and critique of its own heritage. The article's value lies in its ability to interpret Europe as an "epistemic mirror" where continuity and rupture, creation and deconstruction, converge. It introduces a powerful metaphor—the Ouroboros- to describe the self-reflexive dynamics of European science, and links this process to current debates on epistemologies of the South, the pluriverse, and the vital relevance of knowledge. The text concludes that Europe, in facing its </w:t>
      </w:r>
    </w:p>
    <w:p>
      <w:r>
        <w:t>POSSIBLE 2023: Bronchiectasis in Europe: data on disease characteristics from the European Bronchiectasis registry (EMBARC) — https://doi.org/10.1016/s2213-2600(23)00093-0</w:t>
      </w:r>
    </w:p>
    <w:p>
      <w:r>
        <w:t>Shared claim-specific concepts: across, regions, methods;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2022: Branch-and-bound and objective branching with three or more objectives — https://doi.org/10.1016/j.cor.2022.106012</w:t>
      </w:r>
    </w:p>
    <w:p>
      <w:r>
        <w:t>Shared claim-specific concepts: objective, three, inequalities, applied; EU scope not established. This is a provisional connection, not an outcome finding.</w:t>
      </w:r>
    </w:p>
    <w:p>
      <w:r>
        <w:t>Available abstract (not full text): The recent success of bi-objective Branch-and-Bound (B&amp;B) algorithms heavily relies on the efficient computation of upper and lower bound sets. These bound sets are used as a supplement to the classical dominance test to improve the computational time by imposing inequalities derived from (partial) dominance in the objective space. This process is called objective branching since it is mostly applied when generating child nodes. In this paper, we extend the concept of objective branching to multi-objective integer optimization problems with three or more objective functions. Several difficulties arise in this case, as there is no longer a lexicographic order among non-dominated outcome vectors when there are three or more objectives. We discuss the general concept of objective branching in any number of dimensions and suggest a merging operation of local upper bounds to avoid the generation of redundant sub-problems. Finally, results from extensive experimental studies on several classes of multi-objective optimization problems is reported.</w:t>
      </w:r>
    </w:p>
    <w:p>
      <w:r>
        <w:t>POSSIBLE 2022: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r>
        <w:t>Shared claim-specific concepts: three, project, key, methods; EU scope visible. This is a provisional connection, not an outcome finding.</w:t>
      </w:r>
    </w:p>
    <w:p>
      <w:r>
        <w:t>Available abstract (not full text):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r>
        <w:t>POSSIBLE 2022: Meeting the European green deal objective of expanding organic farming — https://doi.org/10.24136/eq.2022.021</w:t>
      </w:r>
    </w:p>
    <w:p>
      <w:r>
        <w:t>Shared claim-specific concepts: objective, three, developed, methods, approach; EU scope visible. This is a provisional connection, not an outcome finding.</w:t>
      </w:r>
    </w:p>
    <w:p>
      <w:r>
        <w:t>Available abstract (not full text): Research background: Economic growth is unsustainable. However, a circular economy has the potential to lead to sustainable development, while decoupling economic growth from the negative consequences of resource depletion and environmental degradation. The EU's strategy of climate neutralization in 2050 developed, inter alia, into a European Green Deal action plan aiming at the efficient use of resources by moving to a cleaner, circular economy. More sustainable EU food system is a cornerstone of the European Green Deal. The European Commission's goal is 25% of agricultural land to be used for organic production in 2030. The question is if it is possible to reach the objective with the use of current incentives. What else may be done to encourage European farmers to convert to organic farming? Purpose of the article: The aim of this research is to review the development of organic agriculture in Europe and the EU and to identify incentives for farmers to convert to organic farming. Methods: First of all, the methodological approach is to iteratively review the existing literature to frame the problem. Secondly, the data on organic agriculture in Europe is to be analyzed to answer the research questions. The analysis is based on international statistics, mainly collected by FiBL, IFOAM, EC Agri-food data portal and Eurostat..Fitting the trend functions to the actual data has be</w:t>
      </w:r>
    </w:p>
    <w:p>
      <w:r>
        <w:t>POSSIBLE 2022: COVID-19 in Europe: from outbreak to vaccination — https://doi.org/10.1186/s12889-022-14454-5</w:t>
      </w:r>
    </w:p>
    <w:p>
      <w:r>
        <w:t>Shared claim-specific concepts: objective, three, affect, across, methods, approach; EU scope visible. This is a provisional connection, not an outcome finding.</w:t>
      </w:r>
    </w:p>
    <w:p>
      <w:r>
        <w:t>Available abstract (not full text): BACKGROUND: COVID-19 is a pandemic of unprecedented proportions in recent human history. To date, the world has paid a high toll in terms of human lives lost, and on economic, financial, and social repercussions. In Europe, countries tried to mobilize all resources available to contain the COVID-19 effects, but the outcomes are diverse across countries. There have also been massive efforts geared towards finding safe and effective vaccines and to distribute them massively to the population. The main objective of this paper is to describe the COVID-19 prevalence in Europe. Secondly, it aims to identify epidemiological typologies allowing to distinguish the countries in terms of their response to the pandemic, and finally assess the effect of vaccination on pandemic control. METHODS: The study covers 30 European countries: EU 27 in addition to Norway, Switzerland, and United Kingdom. Four epidemiological variables are analyzed at two distinct moments, at the end of 2020 and at the beginning of 2022: total number of cases per million, total number of deaths per million, total number of tests per thousand, and case fatality rate. In a second step, it uses a fuzzy approach, namely archetypal analysis, to identify epidemiological typologies, and positions countries by their response to the pandemic. Finally, it assesses how vaccination, stringency measures, booster doses and populati</w:t>
      </w:r>
    </w:p>
    <w:p>
      <w:r>
        <w:t>POSSIBLE 2021: The evolution of life cycle assessment in European policies over three decades — https://doi.org/10.1007/s11367-021-01893-2</w:t>
      </w:r>
    </w:p>
    <w:p>
      <w:r>
        <w:t>Shared claim-specific concepts: three, evolution, methods, identification, stage; EU scope visible. This is a provisional connection, not an outcome finding.</w:t>
      </w:r>
    </w:p>
    <w:p>
      <w:r>
        <w:t>Available abstract (not full text): Abstract Purpose Life cycle thinking (LCT) and life cycle assessment (LCA) are increasingly considered pivotal concept and method for supporting sustainable transitions. LCA plays a relevant role in decision support, for the ambition of a holistic coverage of environmental dimensions and for the identification of hotspots, possible trade-offs, and burden shifting among life cycle stages or impact categories. These features are also relevant when the decision support is needed in policy domain. With a focus on EU policies, the present study explores the evolution and implementation of life cycle concepts and approaches over three decades. Methods Adopting an historical perspective, a review of current European Union (EU) legal acts and communications explicitly mentioning LCT, LCA, life cycle costing (LCC), and environmental footprint (the European Product and Organisation Environmental Footprint PEF/OEF) is performed, considering the timeframe from 1990 to 2020. The documents are categorised by year and according to their types (e.g. regulations, directives, communications) and based on the covered sectors (e.g. waste, energy, buildings). Documents for which life cycle concepts and approaches had a crucial role are identified, and a shortlist of these legal acts and communications is derived. Results and discussion Over the years, LCT and life cycle approaches have been increas</w:t>
      </w:r>
    </w:p>
    <w:p>
      <w:r>
        <w:t>POSSIBLE 2020: Subjective or Objective? How Objective Measures Relate to Subjective Life Satisfaction in Europe — https://doi.org/10.3390/ijgi9050320</w:t>
      </w:r>
    </w:p>
    <w:p>
      <w:r>
        <w:t>Shared claim-specific concepts: objective, factors, across, methods, approach, applied; EU scope visible. This is a provisional connection, not an outcome finding.</w:t>
      </w:r>
    </w:p>
    <w:p>
      <w:r>
        <w:t>Available abstract (not full text): Quality of life and life satisfaction are topics that currently receive a great deal of attention across the globe. Many approaches exist, which use both qualitative and quantitative methods, to capture these phenomena. Historically, quality of life was measured exclusively by economic indicators. However, it is indisputable that other factors influence people’s life satisfaction, which is captured by subjective survey-based data. By contrast, objective data can easily be obtained and cover a wider range, in terms of population and area. In this research, the multiple fuzzy linear regression model is applied in order to explain the relationship between subjective life satisfaction and selected objective indicators used to evaluate quality of life. The great advantage of the fuzzy model lies in its ability to capture uncertainty, which is undoubtedly associated with the vague concept of subjective life satisfaction. The main outcome of the paper is the detection of indicators that have a statistically significant relationship with life satisfaction. Subsequently, a pan-European sub-national prediction of life satisfaction after the consideration of the most relevant input indicators was proposed, including the uncertainty associated with the prediction of such a phenomenon. The study revealed significant regional differences and similarities between the originally reported satis</w:t>
      </w:r>
    </w:p>
    <w:p>
      <w:r>
        <w:t>POSSIBLE 2020: Energy Performance of the European Union Countries in Terms of Reaching the European Energy Union Objectives — https://doi.org/10.3390/en13205317</w:t>
      </w:r>
    </w:p>
    <w:p>
      <w:r>
        <w:t>Shared claim-specific concepts: objective, project, methods; EU scope visible. This is a provisional connection, not an outcome finding.</w:t>
      </w:r>
    </w:p>
    <w:p>
      <w:r>
        <w:t>Available abstract (not full text): European energy policy, especially the project of the Energy Union, is one of the most rapidly developing areas of the EU, and one through which European institutions are obtaining gradually more extensive power over the performance of the national energy sectors. The paper focuses on an analysis of the energy performance of EU member states (MS) with regard to the priorities of the European Energy Union. For an assessment of the energy performance of EU countries, the Technique for Order of Preference by Similarity to Ideal Solution (TOPSIS) was chosen, using the Coefficient of Variation method (CV) as an objective method for determining the weights of eight input indicators, including CO2 intensity, electricity and gas price, energy productivity, energy dependence, consumption of renewables and research and development. The analysis for the period from 2008 to 2016 showed significant changes in the input indicators, which directly influenced the results of both methods mentioned above. Long-term differences between the best- and worst-rated countries are seen mainly in CO2 emissions, energy imports and total consumption of renewable energy sources. It is these aspects of comprehensive energy performance and their convergence at the level of EU countries that we believe should be addressed in the near future.</w:t>
      </w:r>
    </w:p>
    <w:p>
      <w:r>
        <w:t>POSSIBLE 2020: Branch-and-bound and objective branching with three objectives — https://openalex.org/W4412331006</w:t>
      </w:r>
    </w:p>
    <w:p>
      <w:r>
        <w:t>Shared claim-specific concepts: objective, three, inequalities, applied; EU scope not established. This is a provisional connection, not an outcome finding.</w:t>
      </w:r>
    </w:p>
    <w:p>
      <w:r>
        <w:t>Available abstract (not full text): The recent success of bi-objective Branch-and-Bound (B&amp;B) algorithms heavily relies on the efficient computation of upper and lower bound sets. Besides the classical dominance test, bound sets are used to improve the computational time by imposing inequalities derived from (partial) dominance in the objective space. This process is called objective branching since it is mostly applied when generating child nodes. In this paper, we extend the concept of objective branching to tri-objective combinatorial optimization problems. Several difficulties arise in this case, as there is no longer a lexicographic order among nondominated outcome vectors in the multi-objective case, with more than two objectives. We discuss the general concept of objective branching in any number of dimensions and suggest a merging operation of local upper bounds to avoid the generation of redundant subproblems. Numerical experiments on tri-objective knapsack, assignment and facility location problems show a significant speed-up in the B&amp;B framework.</w:t>
      </w:r>
    </w:p>
    <w:p>
      <w:pPr>
        <w:pStyle w:val="Heading2"/>
      </w:pPr>
      <w:r>
        <w:t>Seeds of good anthropocenes: developing sustainability scenarios for Northern Europe</w:t>
      </w:r>
    </w:p>
    <w:p>
      <w:r>
        <w:t>Original source (2019): https://doi.org/10.1007/s11625-019-00714-8</w:t>
      </w:r>
    </w:p>
    <w:p>
      <w:r>
        <w:t>Original wording (abstract; indexed_source_text_not_full_document_verified):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w:t>
      </w:r>
    </w:p>
    <w:p>
      <w:r>
        <w:t>POSSIBLE 2026: Hydrological drought but not flood synchronicity increases over Europe — https://doi.org/10.5194/egusphere-egu26-4770</w:t>
      </w:r>
    </w:p>
    <w:p>
      <w:r>
        <w:t>Shared claim-specific concepts: those, tend, large-scale, driven; EU scope visible. This is a provisional connection, not an outcome finding.</w:t>
      </w:r>
    </w:p>
    <w:p>
      <w:r>
        <w:t>Available abstract (not full text): Spatially synchronized drought or flood events, that is the co-occurrence of drought/flood in multiple locations, can have severe impacts that challenge water and emergency management because they require resources in multiple places at once. Climate change can affect the frequency of such compound events because of its influence on drought and flood generation processes. While the impacts of climate change on local hydrological extreme events are well studied, its impact on event synchronicity remains uncertain. Here, we investigate how hydrological drought and flood synchronicities have changed in Europe during the period 1981-2020 using observations from 4299 streamflow stations. Our results show that drought synchronicity has grown significantly, most strongly in Central Europe, and that years with spatially extensive drought tend to follow one another. In contrast, flood synchronicity has remained relatively stable. Regionally, regions of growing drought synchronicity show decreasing flood synchronicity, and vice versa. Synchronicity trends are mostly in line with those of local frequencies suggesting that trends in synchronicity are mainly driven by overall frequencies, rather than by the spatial distribution of events. The observed growth in drought synchronicity highlights the need to develop adaptation measures to more frequent large-scale droughts.</w:t>
      </w:r>
    </w:p>
    <w:p>
      <w:r>
        <w:t>POSSIBLE 2022: Measuring disparities in air transport access across Europe: An inequality, vulnerability and dependence approach — https://doi.org/10.1016/j.tra.2022.11.016</w:t>
      </w:r>
    </w:p>
    <w:p>
      <w:r>
        <w:t>Shared claim-specific concepts: those, developed, tend; EU scope visible. This is a provisional connection, not an outcome finding.</w:t>
      </w:r>
    </w:p>
    <w:p>
      <w:r>
        <w:t>Available abstract (not full text):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r>
        <w:t>POSSIBLE 2021: Electric vehicle charging network in Europe: An accessibility and deployment trends analysis — https://doi.org/10.1016/j.trd.2021.102813</w:t>
      </w:r>
    </w:p>
    <w:p>
      <w:r>
        <w:t>Shared claim-specific concepts: developed, large-scale, technology, environmental, bottom-up; EU scope visible. This is a provisional connection, not an outcome finding.</w:t>
      </w:r>
    </w:p>
    <w:p>
      <w:r>
        <w:t>Available abstract (not full text):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r>
        <w:t>POSSIBLE 2020: Emergence and spread of a SARS-CoV-2 variant through Europe in the summer of 2020 — https://doi.org/10.1101/2020.10.25.20219063</w:t>
      </w:r>
    </w:p>
    <w:p>
      <w:r>
        <w:t>Shared claim-specific concepts: even, though; EU scope visible. This is a provisional connection, not an outcome finding.</w:t>
      </w:r>
    </w:p>
    <w:p>
      <w:r>
        <w:t>Available abstract (not full text):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r>
        <w:t>POSSIBLE 2020: People in transitions: Energy citizenship, prosumerism and social movements in Europe — https://doi.org/10.1016/j.erss.2020.101718</w:t>
      </w:r>
    </w:p>
    <w:p>
      <w:r>
        <w:t>Shared claim-specific concepts: environmental, initiatives; EU scope visible. This is a provisional connection, not an outcome finding.</w:t>
      </w:r>
    </w:p>
    <w:p>
      <w:r>
        <w:t>Available abstract (not full text):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pPr>
        <w:pStyle w:val="Heading2"/>
      </w:pPr>
      <w:r>
        <w:t>Soft-linking of a behavioral model for transport with energy system cost optimization applied to hydrogen in EU</w:t>
      </w:r>
    </w:p>
    <w:p>
      <w:r>
        <w:t>Original source (2019): https://doi.org/10.1016/j.rser.2019.109349</w:t>
      </w:r>
    </w:p>
    <w:p>
      <w:r>
        <w:t>Original wording (abstract; indexed_source_text_not_full_document_verified): The focus is on an energy system with 95% CO2 reduction by 2050. The policy with the largest impact on FCEV was a purchase subsidy of 5 k€ per vehicle in the 2030–2034 period resulting in 24.3 million FCEV (on top of 67 million without policy) sold up to 2050 with total subsidies of 84 bln€. 5 bln€ of R&amp;D incentives in the 2020–2024 period increased the cumulative sales up to 2050 by 10.5 million FCEV.</w:t>
      </w:r>
    </w:p>
    <w:p>
      <w:r>
        <w:t>POSSIBLE 2026: Decentralized Energy Systems in the European Union — https://doi.org/10.4324/9781003781127-4</w:t>
      </w:r>
    </w:p>
    <w:p>
      <w:r>
        <w:t>Shared claim-specific concepts: energy, system; EU scope visible. This is a provisional connection, not an outcome finding.</w:t>
      </w:r>
    </w:p>
    <w:p>
      <w:r>
        <w:t>Available abstract (not full text): This chapter examines the development of decentralized energy systems in the European Union (EU), focusing on electricity markets and the legal, regulatory, and institutional conditions that enable decentralization. It begins by situating EU energy policy within broader concerns relating to energy security, climate change, market liberalization, and geopolitical risk, highlighting the shift from centralized fossil-fuel-based systems toward decentralized, renewable-based models. The chapter explains the emergence of prosumers, energy communities, smart grids, and demand-response mechanisms, and analyzes how these developments challenge traditional roles of transmission and distribution system operators. It then assesses the EU legal framework supporting decentralization, including internal electricity market reforms, consumer rights, and regulatory oversight. Drawing on selected detailed country studies, the chapter evaluates national approaches to decentralization, smart meter deployment, and self-consumption regimes, identifying both progress and persistent barriers. Finally, it explores the role of smart grids, data governance, and cross-border market integration, highlighting the regulatory, technical, and social challenges that must be addressed for decentralized energy systems to function effectively across the EU.</w:t>
      </w:r>
    </w:p>
    <w:p>
      <w:r>
        <w:t>POSSIBLE 2024: EU Energy Securitisation: Ukraine's Place in the European Energy System — https://doi.org/10.53317/2786-4774-2024-1-8</w:t>
      </w:r>
    </w:p>
    <w:p>
      <w:r>
        <w:t>Shared claim-specific concepts: energy, system, increased; EU scope visible. This is a provisional connection, not an outcome finding.</w:t>
      </w:r>
    </w:p>
    <w:p>
      <w:r>
        <w:t xml:space="preserve">Available abstract (not full text): This article focuses on the investigation of the European Union's securitisation policy in the energy sector, in particular, the provision of energy carriers to the Union, which was developed in response to Russia's energy wars of 2006–2007 and 2008–2009 against Ukraine and indirectly against the European Union. The theory of securitisation, formulated by S. Ozkan, B. Buzan and other researchers, focuses not so much on eliminating the consequences of crises as on creating a system of securitisation for the relevant industries with increased stress resistance, diversification of economic and technological ties with partners and strengthening the social orientation of their functioning. The algorithmization of this policy and the changes that led to the institutional response to Russian aggression in the energy sector are investigated. The research is based on the approach of sociological (neo)institutionalism, which allows explaining political processes in terms of not only economic benefits, but also their importance for the development of other spheres of public life and international cooperation. This approach is based on the notion that, first, the institutional environment in which a particular institution operates provides it with the necessary resources, as well as legitimates and regulates its activities. As a result, sociological institutionalism emphasises the role of </w:t>
      </w:r>
    </w:p>
    <w:p>
      <w:r>
        <w:t>POSSIBLE 2023: Power-to-hydrogen and hydrogen-to-X energy systems for the industry of the future in Europe — https://doi.org/10.1016/j.ijhydene.2023.01.194</w:t>
      </w:r>
    </w:p>
    <w:p>
      <w:r>
        <w:t>Shared claim-specific concepts: focus, energy; EU scope visible. This is a provisional connection, not an outcome finding.</w:t>
      </w:r>
    </w:p>
    <w:p>
      <w:r>
        <w:t>Available abstract (not full text):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r>
        <w:t>POSSIBLE 2023: Energy Systems — https://doi.org/10.1017/9781009157926.008</w:t>
      </w:r>
    </w:p>
    <w:p>
      <w:r>
        <w:t>Shared claim-specific concepts: energy, system, without, total, increased; EU scope not established. This is a provisional connection, not an outcome finding.</w:t>
      </w:r>
    </w:p>
    <w:p>
      <w:r>
        <w:t>Available abstract (not full text): Warming cannot be limited to well below 2°C without rapid and deep reductions in energy system carbon dioxide (CO 2 ) and greenhouse gas (GHG) emissions.In scenarios limiting warming to 1.5°C (&gt;50%) with no or limited overshoot (2°C (&gt;67%) with action starting in 2020), net energy system CO 2 emissions (interquartile range) fall by 87-97% (60-79%) in 2050.In 2030, in scenarios limiting warming to 1.5°C (&gt;50%) with no or limited overshoot, net CO 2 and GHG emissions fall by 35-51% and 38-52% respectively.In scenarios limiting warming to 1.5°C (&gt;50%) with no or limited overshoot (2°C (&gt;67%)), net electricity sector CO 2 emissions reach zero globally between 2045 and 2055 (2050 and 2080).(high confidence) {6.7} Limiting warming to well below 2°C will require substantial energy system changes over the next 30 years.This includes reduced fossil fuel consumption, increased production from low-and zero-carbon energy sources, and increased use of electricity and alternative energy carriers.Coal consumption without carbon capture and storage (CCS) falls by 67-82% (interquartile range) in 2030 in scenarios limiting warming to 1.5°C (&gt;50%) with no or limited overshoot.Oil and gas consumption fall more slowly.Low-carbon sources produce 93-97% of global electricity by 2050 in scenarios that limit warming to 2°C (&gt;67%) with action starting in 2020.In scenarios limiting warming to 1.5°C (&gt;50%</w:t>
      </w:r>
    </w:p>
    <w:p>
      <w:r>
        <w:t>POSSIBLE 2022: Investigation of European modular façade system utilizing renewable energy — https://doi.org/10.1093/ijlct/ctab101</w:t>
      </w:r>
    </w:p>
    <w:p>
      <w:r>
        <w:t>Shared claim-specific concepts: energy, system, without; EU scope visible. This is a provisional connection, not an outcome finding.</w:t>
      </w:r>
    </w:p>
    <w:p>
      <w:r>
        <w:t>Available abstract (not full text): Abstract The purpose of this investigation is to summarize modular façade construction using renewable energy features in different aspects. Researches done so far primarily focusing on building envelop have shown various constructions of building enclosure without energy usage. This paper mainly focuses on modular façade renovation system programmes of European Horizon 2020 [34] and IEA ECBCS Annex 50 Prefabricated Systems for Low Energy Renovation of Residential Buildings in terms of construction, material, installation and thermal performance. Four aspects of construction, material, installation and thermal performance are adopted to evaluate these practices. Related website, paper and report from European commission constitute the database providing for review. Final results illustrate that all modular façade systems mentioned above could be classified into three layers: interior; module and exterior layer, taking charge of disparate functions. Both insulation and energy usage achieve the innovative envelop constructions manufacture. Integrating the renewable energy resources utilization technique into insulated building façade system is the core of this innovative projects achievement.</w:t>
      </w:r>
    </w:p>
    <w:p>
      <w:r>
        <w:t>POSSIBLE 2021: Incorporating uncertainties towards a sustainable European energy system: A stochastic approach for decarbonization paths focusing on the transport sector — https://doi.org/10.1016/j.esr.2021.100707</w:t>
      </w:r>
    </w:p>
    <w:p>
      <w:r>
        <w:t>Shared claim-specific concepts: energy, system, co2, reduction, period; EU scope visible. This is a provisional connection, not an outcome finding.</w:t>
      </w:r>
    </w:p>
    <w:p>
      <w:r>
        <w:t>Available abstract (not full text): According to the Paris Agreement, the European energy system transition is essential to achieve GHG emission reduction targets set by the EU and limit the growth of global temperatures. Investigating the role of emerging mitigation technologies and their uncertainties together with the different GHG reduction targets is crucial to realize this transition. This study analyzes the uncertainties of electric vehicles' learning paths and biomass availability for biofuels, considering policy uncertainties. Since these technologies are considered possible alternatives to conventional fuels to reduce CO2 emissions in transport, it is critical to understand their future role and the possible impact of their uncertainties during the European energy system design in case of different climate ambitions. Stochastic modeling is applied to analyze associated uncertainties as an additional approach to a traditional sensitivity analysis. Our results show that decarbonization of car transport is prioritized, and electric cars appear as no-regret options in the sector's design during the energy transition. Therefore, early deployments of EVs are essential to hedge the given uncertainties independent of the hedging period's length. Longer resolution time reduces the deployment of electric vehicles in the recourse strategies compared to having a shorter one due to a delay in the cost reductions. Th</w:t>
      </w:r>
    </w:p>
    <w:p>
      <w:r>
        <w:t>POSSIBLE 2021: Thinking, doing, organising: Prefiguring just and sustainable energy systems via collective prosumer ecosystems in Europe — https://doi.org/10.1016/j.erss.2021.102425</w:t>
      </w:r>
    </w:p>
    <w:p>
      <w:r>
        <w:t>Shared claim-specific concepts: focus, energy, system; EU scope visible. This is a provisional connection, not an outcome finding.</w:t>
      </w:r>
    </w:p>
    <w:p>
      <w:r>
        <w:t>Available abstract (not full text): This article positions collective renewable energy prosumerism as a social movement that engages in energy system transformation. Collective renewable energy prosumer initiatives engage in ‘prefigurative’ work through their discursive framings (ways of thinking), their activities (ways of doing) and their understanding and enactment of social relations (ways of organising). The core of this article is a comparative analysis of the prefigurative work of 13 collective prosumers from 7 European countries (Belgium, Croatia, Germany, Italy, Netherlands, Portugal, United Kingdom). The article discusses their contributions to energy system transformation, including renewable energy production, different mechanisms for involving citizens, local value creation, and the degree of desired and actual collaboration and networking within broader prosumer ecosystems. We then discuss these contributions against societal discourses and expectations towards prosumerism, such as energy democracy, energy justice, and environmental sustainability and decarbonisation. This reveals three tensions: 1) a focus on decarbonisation but not on broader environmental problems, 2) the involvement of certain people and not of others, and 3) the building of prosumer eco-systems while ignoring incumbency. Future research avenues are formulated to conclude the article.</w:t>
      </w:r>
    </w:p>
    <w:p>
      <w:r>
        <w:t>POSSIBLE 2021: Energy justice within, between and beyond European community energy initiatives: A review — https://doi.org/10.1016/j.erss.2021.102157</w:t>
      </w:r>
    </w:p>
    <w:p>
      <w:r>
        <w:t>Shared claim-specific concepts: energy, system, cumulative; EU scope visible. This is a provisional connection, not an outcome finding.</w:t>
      </w:r>
    </w:p>
    <w:p>
      <w:r>
        <w:t>Available abstract (not full text):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r>
        <w:t>POSSIBLE 2021: Actuating the European Energy System Transition: Indicators for Translating Energy Systems Modelling Results into Policy-Making — https://doi.org/10.3389/fenrg.2021.677208</w:t>
      </w:r>
    </w:p>
    <w:p>
      <w:r>
        <w:t>Shared claim-specific concepts: focus, energy, system; EU scope visible. This is a provisional connection, not an outcome finding.</w:t>
      </w:r>
    </w:p>
    <w:p>
      <w:r>
        <w:t>Available abstract (not full text): In this paper, we define indicators, with a focus on the electricity sector, that translate the results of energy systems modelling to quantitative entities that can facilitate assessments of the transitions required to meet stringent climate targets. Such indicators, which are often overlooked in model scenario presentations, can be applied to make the modelling results more accessible and are useful for managing the transition on the policy level, as well as for internal evaluations of modelling results. We propose a set of 13 indicators related to: 1) the resource and material usages in modelled energy system designs; 2) the rates of transition from current to future energy systems; and 3) the energy security in energy system modelling results. To illustrate its value, the proposed set of indicators is applied to energy system scenarios derived from an electricity system investment model for Northern Europe. We show that the proposed indicators are useful for facilitating discussions, raising new questions, and relating the modelling results to Sustainable Development Goals and thus facilitate better policy processes. The indicators presented here should not be seen as a complete set, but rather as examples. Therefore, this paper represents a starting point and a call to other modellers to expand and refine the list of indicators.</w:t>
      </w:r>
    </w:p>
    <w:p>
      <w:r>
        <w:t>POSSIBLE 2020: Utility scale energy storage systems: possible business cases in Europe, with focus on Germany and Italy — https://openalex.org/W3151406791</w:t>
      </w:r>
    </w:p>
    <w:p>
      <w:r>
        <w:t>Shared claim-specific concepts: focus, energy, system; EU scope visible. This is a provisional connection, not an outcome finding.</w:t>
      </w:r>
    </w:p>
    <w:p>
      <w:r>
        <w:t>Available abstract (not full text): Energy transition &amp; storage: overview and analysis. The electric power system. The role of storage in VRE integration. The European power sector. Renevable outlook in the EU. Research questions and methodology. Financial drivers of ESSs. Project financing for VRE and ESSs. Construction of a financial model of ESS–comparative analysis. First business case–Germany. Second business case–Italy.</w:t>
      </w:r>
    </w:p>
    <w:p>
      <w:r>
        <w:t>POSSIBLE 2020: Europeanization of the Swiss Energy System — https://openalex.org/W3016255705</w:t>
      </w:r>
    </w:p>
    <w:p>
      <w:r>
        <w:t>Shared claim-specific concepts: energy, system; EU scope visible. This is a provisional connection, not an outcome finding.</w:t>
      </w:r>
    </w:p>
    <w:p>
      <w:r>
        <w:t>Available abstract (not full text): Switzerland and the EU have been negotiating an electricity agreement since 2007. Irrespective of the outcome of these negotiations, whose success is also dependent on other factors, European energy policy will influence the framework conditions and players in Switzerland’s energy policy. The effects of a «Europeanization» of Swiss energy policy are the primary interest of this book. It focuses on the influence of current and future EU policies on the (regulatory) framework and policy instruments in Switzerland, including the effects on public and private actors active in the Swiss energy sector. It will also present the consequences of the possible integration of Swiss energy policy into the complex European multi-level governance system, taking into account two scenarios: the «direct Europeanization» in case of the conclusion of a bilateral electricity agreement between Switzerland and the EU as well as the possible «indirect Europeanization» in the sense of autonomous adjustments to European policies.</w:t>
      </w:r>
    </w:p>
    <w:p>
      <w:r>
        <w:t>POSSIBLE 2020: Early decarbonisation of the European energy system pays off — https://doi.org/10.1038/s41467-020-20015-4</w:t>
      </w:r>
    </w:p>
    <w:p>
      <w:r>
        <w:t>Shared claim-specific concepts: energy, system, reduction, cumulative; EU scope visible. This is a provisional connection, not an outcome finding.</w:t>
      </w:r>
    </w:p>
    <w:p>
      <w:r>
        <w:t>Available abstract (not full text): Abstract For a given carbon budget over several decades, different transformation rates for the energy system yield starkly different results. Here we consider a budget of 33 GtCO2 for the cumulative carbon dioxide emissions from the European electricity, heating, and transport sectors between 2020 and 2050, which represents Europe’s contribution to the Paris Agreement. We have found that following an early and steady path in which emissions are strongly reduced in the first decade is more cost-effective than following a late and rapid path in which low initial reduction targets quickly deplete the carbon budget and require a sharp reduction later. We show that solar photovoltaic, onshore and offshore wind can become the cornerstone of a fully decarbonised energy system and that installation rates similar to historical maxima are required to achieve timely decarbonisation. Key to those results is a proper representation of existing balancing strategies through an open, hourly-resolved, networked model of the sector-coupled European energy system.</w:t>
      </w:r>
    </w:p>
    <w:p>
      <w:pPr>
        <w:pStyle w:val="Heading2"/>
      </w:pPr>
      <w:r>
        <w:t>Solar Photovoltaic Electricity Generation: A Lifeline for the European Coal Regions in Transition</w:t>
      </w:r>
    </w:p>
    <w:p>
      <w:r>
        <w:t>Original source (2019): https://doi.org/10.3390/su11133703</w:t>
      </w:r>
    </w:p>
    <w:p>
      <w:r>
        <w:t>Original wording (abstract; indexed_source_text_not_full_document_verified): According to the International Energy Agency, these emissions have to be reduced by more than 70% by 2040 to stay on track for the 1.5–2 °C scenario suggested by the Paris Agreement.</w:t>
      </w:r>
    </w:p>
    <w:p>
      <w:r>
        <w:t>POSSIBLE 2023: UKRAINE IN THE INTERNATIONAL ENERGY COORDINATE SYSTEM — https://doi.org/10.20998/2313-8890.2023.01.04</w:t>
      </w:r>
    </w:p>
    <w:p>
      <w:r>
        <w:t>Shared claim-specific concepts: according, international, energy; EU scope visible. This is a provisional connection, not an outcome finding.</w:t>
      </w:r>
    </w:p>
    <w:p>
      <w:r>
        <w:t>Available abstract (not full text): The conditions of operation of the electric power system of Ukraine are analyzed. According to the results of the analysis, it was found that the presence of electric power equipment, which has already served the period of operation established by the standards, and Russian aggression on the territory of Ukraine led to force majeure situations in the state's electric power sector. It is shown that the existing realities provoke a critical situation both in the electric power system of Ukraine and in its interaction with the united power system of continental Europe ENTSO-E. It is substantiated that even in the event of extraordinary circumstances or force majeure situations, the electricity system of Ukraine ensures balance stability, which meets European requirements for ensuring the efficient operation of Ukrainian electricity networks as part of the unified energy system of continental Europe ENTSO-E. The expediency of intensifying cooperation with the international community through Ukraine's participation in international programs and projects to implement issues of energy security, energy saving and energy efficiency under the conditions of integration of the Ukrainian economy into the world economy on an equal and mutually beneficial basis is proposed.</w:t>
      </w:r>
    </w:p>
    <w:p>
      <w:r>
        <w:t>POSSIBLE 2023: Energy Economic Development in Europe — https://doi.org/10.3390/books978-3-0365-7112-6</w:t>
      </w:r>
    </w:p>
    <w:p>
      <w:r>
        <w:t>Shared claim-specific concepts: energy, emissions;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Empowering whose future? A European policy analysis of children in energy poverty — https://doi.org/10.1016/j.erss.2023.103328</w:t>
      </w:r>
    </w:p>
    <w:p>
      <w:r>
        <w:t>Shared claim-specific concepts: according, international, energy; EU scope visible. This is a provisional connection, not an outcome finding.</w:t>
      </w:r>
    </w:p>
    <w:p>
      <w:r>
        <w:t>Available abstract (not full text): Children experience distinct impacts on their mental and physical health as well as their educational attainment as a result of living in energy poverty, according to multiple sources. International guidelines, such as the UN Convention on the Rights of the Child, underline the right of every child to an adequate standard of living and the need for all policies to consider the specific needs of children. This paper aims to understand the extent to which energy policies take explicit account of children in energy poverty and endeavour to address their distinct needs and the impacts they experience. The investigation is based on an analysis of EU-SILC data and policy documents across the 28 countries that (at the end of 2019) formed the European Union. The analysis reveals that children are mostly only considered within the wider family context, with larger families tending to receive greater support, despite evidence that single-parent families are at higher risk of energy poverty. Children are characterised as passive subjects in energy policy; their perspectives and needs are not considered in policy development.</w:t>
      </w:r>
    </w:p>
    <w:p>
      <w:r>
        <w:t>POSSIBLE 2022: Does the transition to renewable energy increase inflation in European countries? — https://doi.org/10.21203/rs.3.rs-1408222/v1</w:t>
      </w:r>
    </w:p>
    <w:p>
      <w:r>
        <w:t>Shared claim-specific concepts: energy; EU scope visible. This is a provisional connection, not an outcome finding.</w:t>
      </w:r>
    </w:p>
    <w:p>
      <w:r>
        <w:t>Available abstract (not full text): Unavailable</w:t>
      </w:r>
    </w:p>
    <w:p>
      <w:r>
        <w:t>POSSIBLE 2022: Review of PV Solar Energy Development 2011–2021 in Central European Countries — https://doi.org/10.3390/en15218307</w:t>
      </w:r>
    </w:p>
    <w:p>
      <w:r>
        <w:t>Shared claim-specific concepts: according, international, energy, agency; EU scope visible. This is a provisional connection, not an outcome finding.</w:t>
      </w:r>
    </w:p>
    <w:p>
      <w:r>
        <w:t>Available abstract (not full text): According to the data collected in 2022 during 5th International Off-Grid Renewable Energy Conference organized in Abu Dhabi by the International Renewable Energy Agency, the global energy requirements show a negative impact on approximately 785 million people facing energy poverty. The long-term energy sustainability solutions should consider off-grid solutions in the planning of an energy mix and be considered as interim both in remote and already urbanized areas. These measures require integrated planning and partnering with local distribution networks. The review presents the development of photovoltaic installations in Central European countries. For more than 40 years, this area belonged to different regimes and joined the European Union at various dates. Hence, the development of energy policies and cultural and social expectations differ even when based on the Green Deal presented by the European Union in 2020. The outcomes prove that even with a variety of policy measures, the strongest boost can be given only by a set of national rules and financial incentives supporting the stakeholders. It should be noted that the advancement of PV often does not rely on climatic conditions, but more on the level of incentives undertaken by each country, as well as the general policy measures undertaken on the EU level.</w:t>
      </w:r>
    </w:p>
    <w:p>
      <w:r>
        <w:t>POSSIBLE 2022: CAN GREECE STRENGTHEN EUROPEAN ENERGY SECURITY? — https://openalex.org/W7112735520</w:t>
      </w:r>
    </w:p>
    <w:p>
      <w:r>
        <w:t>Shared claim-specific concepts: according, international, energy; EU scope visible. This is a provisional connection, not an outcome finding.</w:t>
      </w:r>
    </w:p>
    <w:p>
      <w:r>
        <w:t>Available abstract (not full text): The European Union’s energy security is at risk mainly due to its high dependence on Russian energy resources. Although some scholars have argued that the Kremlin would not weaponize its natural resources, the Russian invasion of Ukraine in 2022 has made them reconsider. This thesis seeks to answer whether Greece can strengthen the energy security of the European Union through two energy projects: the EastMed pipeline and the electrical interconnectors. These two case studies analyzed the potential barriers that emerged from the literature review of respective energy projects. The research shows that the economic factor does not seem to be an obstacle to implementing EastMed and electricity interconnection projects. Moreover, this thesis points out that both energy projects at the domestic political level find a fertile environment for their construction. On the other hand, the thesis indicates that the geopolitical factor, specifically Turkey’s role, is the main inhibiting factor that endangers the implementation of energy projects. However, according to the research findings, Turkey’s positions do not find international acceptance, its actions are condemned, and the investors of the energy projects do not seem to be affected. Thus, the implementation of EastMed and electrical interconnections does not seem to be affected, and Greece can, through them, strengthen the energy se</w:t>
      </w:r>
    </w:p>
    <w:p>
      <w:r>
        <w:t>POSSIBLE 2022: Assessment of the Economic Efficiency of Energy Development in the Industrial Sector of the European Union Area Countries — https://doi.org/10.3390/en15093322</w:t>
      </w:r>
    </w:p>
    <w:p>
      <w:r>
        <w:t>Shared claim-specific concepts: according, international, energy; EU scope visible. This is a provisional connection, not an outcome finding.</w:t>
      </w:r>
    </w:p>
    <w:p>
      <w:r>
        <w:t>Available abstract (not full text): The European Union’s Green Deal emphasises the importance of improving the efficiency of the energy sector in its countries, which is why the issues involved are relevant in both scientific and practical terms. The article sets out the hypothesis that conveying the state of the economic efficiency of energy development by grades does not reflect the real situation. Instead of ranks, it is proposed to form homogeneous groups of some countries based on non-linear data normalisation instead of today’s universally used linearisation. Grouping the euro area countries in the European Union on the basis of the value of the cost-effectiveness indicator for the energy development of their industrial sector confirmed the appropriateness of the proposed method-ology. In this way, three groups of countries were formed according to the level of cost-effectiveness achieved. The proposed methodology for grouping countries is universal and can be used for international comparisons of any kind.</w:t>
      </w:r>
    </w:p>
    <w:p>
      <w:r>
        <w:t>POSSIBLE 2021: Review of methods for the combined assessment of seismic resilience and energy efficiency towards sustainable retrofitting of existing European buildings — https://doi.org/10.1016/j.scs.2021.103556</w:t>
      </w:r>
    </w:p>
    <w:p>
      <w:r>
        <w:t>Shared claim-specific concepts: according, international, energy; EU scope visible. This is a provisional connection, not an outcome finding.</w:t>
      </w:r>
    </w:p>
    <w:p>
      <w:r>
        <w:t>Available abstract (not full text): Sustainable retrofitting of existing buildings is a prerequisite for achieving climatic and energy objectives in the EU. Thus, practical tools supporting the evaluation and decision-making process when planning retrofit interventions are required. In specific areas, in addition to energy efficiency, the improvement in building resilience to natural hazards is requested; in several European regions, seismicity poses a significant hazard. This study aims to analyse the state-of-the-art of the integrated methods for the implementation of structural and energy retrofitting. The work consists of reviewing available tools, international sustainability protocols, and methods specifically developed for combined energy and seismic assessment. In the first group of methods, assessment is independently referred to specific criteria for energy performance and seismic safety, quantified according to available codes. Besides, in a second group, integrated evaluation is achieved considering ‘equivalent’ initial or life-cycle costs associated with energy consumption and seismic vulnerability. The collected methods were evaluated for qualitative requirements for optimal integration, such as multidisciplinary, life-cycle approaches, and other indicators. Finally, a critical evaluation is provided, highlighting what can be used for future developments toward a sustainable and resilient retrofitti</w:t>
      </w:r>
    </w:p>
    <w:p>
      <w:r>
        <w:t>POSSIBLE 2021: Energy justice within, between and beyond European community energy initiatives: A review — https://doi.org/10.1016/j.erss.2021.102157</w:t>
      </w:r>
    </w:p>
    <w:p>
      <w:r>
        <w:t>Shared claim-specific concepts: energy; EU scope visible. This is a provisional connection, not an outcome finding.</w:t>
      </w:r>
    </w:p>
    <w:p>
      <w:r>
        <w:t>Available abstract (not full text):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r>
        <w:t>POSSIBLE 2021: Positioning Positive Energy Districts in European Cities — https://doi.org/10.3390/buildings11010019</w:t>
      </w:r>
    </w:p>
    <w:p>
      <w:r>
        <w:t>Shared claim-specific concepts: energy; EU scope visible. This is a provisional connection, not an outcome finding.</w:t>
      </w:r>
    </w:p>
    <w:p>
      <w:r>
        <w:t>Available abstract (not full text): There are many concepts for buildings with integrated renewable energy systems that have received increased attention during the last few years. However, these concepts only strive to streamline building-level renewable energy solutions. In order to improve the flexibility of decentralized energy generation, individual buildings and energy systems should be able to interact with each other. The positive energy district (PED) concept highlights the importance of active interaction between energy generation systems, energy consumers and energy storage within a district. This paper strives to inform the public, decision makers and fellow researchers about the aspects that should be accounted for when planning and implementing different types of PEDs in different regions throughout the European Union. The renewable energy environment varies between different EU regions, in terms of the available renewable energy sources, energy storage potential, population, energy consumption behaviour, costs and regulations, which affect the design and operation of PEDs, and hence, no PED is like the other. This paper provides clear definitions for different types of PEDs, a survey of the renewable energy market circumstances in the EU and a detailed analysis of factors that play an essential role in the PED planning process.</w:t>
      </w:r>
    </w:p>
    <w:p>
      <w:r>
        <w:t>POSSIBLE 2020: People in transitions: Energy citizenship, prosumerism and social movements in Europe — https://doi.org/10.1016/j.erss.2020.101718</w:t>
      </w:r>
    </w:p>
    <w:p>
      <w:r>
        <w:t>Shared claim-specific concepts: energy; EU scope visible. This is a provisional connection, not an outcome finding.</w:t>
      </w:r>
    </w:p>
    <w:p>
      <w:r>
        <w:t>Available abstract (not full text): Active energy citizens are leading energy transitions, co-producing new cultures, practices and structures of production and consumption. This article aims to understand if prosumerism – the collective participation of prosumers in energy projects with social, economic and environmental benefits to society – can be referred to as a social movement. The article draws on a review of Social Movements Theory and applies thematic analysis to characterize 46 prosumer initiatives in Europe. The collective identities, socio-political opponents, knowledge-making activities, collective learning, and collective action aspects of these prosumers are described. The results show that prosumer initiatives converge towards a transformative social movement. This movement upholds decentralized renewable energy production and consumption, and presents itself as a socially inclusive, transparent and participatory energy model, replicable across the globe, in what can be described as a collective action towards a decentralized democratic energy model. The discussion highlights relationships between prosumerism and framings such as energy justice (including energy poverty and gender issues), energy democracy, climate change action and anti-nuclear movements, to reach a conclusion considering the relevance of calling prosumerism a social movement, while opening up some avenues for future research.</w:t>
      </w:r>
    </w:p>
    <w:p>
      <w:r>
        <w:t>POSSIBLE 2020: Trends in Social Acceptance of Renewable Energy Across Europe—A Literature Review — https://doi.org/10.3390/ijerph17249161</w:t>
      </w:r>
    </w:p>
    <w:p>
      <w:r>
        <w:t>Shared claim-specific concepts: energy; EU scope visible. This is a provisional connection, not an outcome finding.</w:t>
      </w:r>
    </w:p>
    <w:p>
      <w:r>
        <w:t>Available abstract (not full text): Social acceptance has proven to be a significant barrier in the implementation of renewable energy systems (hereinafter "RES"). While a general acceptance of RES is high, low local acceptance has hindered the development of renewable energy projects (hereinafter "REP"). This study assesses the determinants of local and general social acceptance of REP across Europe through a qualitative analysis from 25 case studies of the most significant social drivers and barriers that include all European countries. These case studies contain qualitative and quantitative analyses of the main factors for social acceptance of many representative groups including residents, stakeholders, and experts. Understanding the influences of social acceptance enables us to create strategies that will promote the development of REP by mitigating any public opposition.</w:t>
      </w:r>
    </w:p>
    <w:p>
      <w:pPr>
        <w:pStyle w:val="Heading2"/>
      </w:pPr>
      <w:r>
        <w:t>The Dutch Public Health Foresight Study 2018: an example of a comprehensive foresight exercise</w:t>
      </w:r>
    </w:p>
    <w:p>
      <w:r>
        <w:t>Original source (2019): https://doi.org/10.1093/eurpub/ckz200</w:t>
      </w:r>
    </w:p>
    <w:p>
      <w:r>
        <w:t>Original wording (abstract; indexed_source_text_not_full_document_verified): Conclusions Long-term thinking could be stimulated by using back casting techniques and stronger involvement of policy-makers in the elaboration of options for action. Lessons learned from developing intersectoral policy at the local level could be applied at the national level.</w:t>
      </w:r>
    </w:p>
    <w:p>
      <w:r>
        <w:t>POSSIBLE 2026: Conclusions…and Beginnings — https://doi.org/10.4324/9781003733386-7</w:t>
      </w:r>
    </w:p>
    <w:p>
      <w:r>
        <w:t>Shared claim-specific concepts: conclusions, long-term, thinking; EU scope not established. This is a provisional connection, not an outcome finding.</w:t>
      </w:r>
    </w:p>
    <w:p>
      <w:r>
        <w:t>Available abstract (not full text): This concluding chapter reflects on what leadership in sustainability requires in a time shaped by polycrisis, democratic fragility, ecological breakdown, and deep social uncertainty. Drawing together the voices of the authors, it argues that context matters: leadership must be understood not as abstract theory or heroic individualism, but as a situated, relational, and deeply human practice. Across diverse reflections, the chapter explores the need for long-term thinking, collective care, active hope, community, place-based wisdom, and the courage to remain present in discomfort, grief, and ambiguity. It also challenges dominant narratives of control, competition, and market value, suggesting that the leadership most needed now is collaborative, compassionate, creative, and grounded in purpose. Rather than offering a neat resolution, this chapter presents conclusions as openings: invitations to continue the work of becoming more fully human in service of ecological and social flourishing. Revisiting the book’s evolving 6 Cs framework, the authors offer readers a practical and reflective guide for sustaining their own leadership journeys. The chapter closes with a message of care, encouragement, and renewed commitment to the shared work of transformation.</w:t>
      </w:r>
    </w:p>
    <w:p>
      <w:r>
        <w:t>POSSIBLE 2026: Short-term thinking, long-term costs: How managerial myopia undermines green innovation — https://doi.org/10.4102/sajbm.v57i1.5337</w:t>
      </w:r>
    </w:p>
    <w:p>
      <w:r>
        <w:t>Shared claim-specific concepts: long-term, thinking, stronger, level; EU scope not established. This is a provisional connection, not an outcome finding.</w:t>
      </w:r>
    </w:p>
    <w:p>
      <w:r>
        <w:t>Available abstract (not full text): Purpose: This study investigates the impact of managerial myopia on green innovation in Chinese listed companies from 2001 to 2021, focusing on how short-termism undermines sustainable innovation at both firm and industry levels. Design/methodology/approach: Utilising Management Discussion and Analysis (MD&amp;A) textual analysis and corporate patent data, we employ high-dimensional fixed-effects and robustness tests to assess the relationship between managerial myopia and green innovation. Heterogeneity analysis and mediation models explore variations across firm types and mediating mechanisms, including R&amp;D investment, digital transformation and environmental, social and governance (ESG) management. Findings/results: Results confirm that managerial myopia significantly inhibits green innovation, with stronger effects in non-state-owned enterprises (non-SOEs), non-heavy polluting firms and non-CEO-duality firms. At the industry level, managerial myopia indirectly suppresses green innovation through reduced R&amp;D investment, limited digital transformation and weaker ESG management, as validated by mediation analysis. Practical implications: The findings offer policymakers and corporate leaders’ insights into aligning managerial incentives with long-term environmental and economic goals. Encouraging sustainable focus in non-SOEs and enhancing R&amp;D and ESG practices could mitigate the a</w:t>
      </w:r>
    </w:p>
    <w:p>
      <w:r>
        <w:t>POSSIBLE 2024: Is Long-Term Thinking a Trap? — https://doi.org/10.1215/22011919-11150043</w:t>
      </w:r>
    </w:p>
    <w:p>
      <w:r>
        <w:t>Shared claim-specific concepts: long-term, thinking, stronger; EU scope not established. This is a provisional connection, not an outcome finding.</w:t>
      </w:r>
    </w:p>
    <w:p>
      <w:r>
        <w:t>Available abstract (not full text): Abstract This provocation critiques the notion of long-term thinking and the claims of its proponents that it will help address failures in dominant conceptions of time, particularly in regard to environmental crises. Drawing on analyses of the Clock of the Long Now and Kim Stanley Robinson’s The Ministry for the Future, the article suggests that we be more wary of the concept’s use in what we might call chronowashing. Like the more familiar greenwashing, where environmental issues are hidden by claims to be addressing the problem, the article explores how these examples of long-term thinking distract from extractivism, racism, and environmental injustice, making it harder to address the complexities involved. In particular, the article discusses examples where long-term thinking provides a veneer of environmental concern that actually disconnects from the work of building more equitable forms of relation. As a contrast, the article’s author asks: What is lost when we diagnose a problem as arising due to short-term thinking and propose long-term thinking as the solution? Against chronowashed environmental time, the author argues for more complex approaches that explicitly take into account the temporalities of inequality, political organization, ethical responsibilities and much else. The article engages with approaches to time that foreground the work needed to create time and</w:t>
      </w:r>
    </w:p>
    <w:p>
      <w:r>
        <w:t>POSSIBLE 2024: Retrieval method as a learning intervention for long term retention and creative thinking skills — https://doi.org/10.16920/jeet/2024/v37is2/24102</w:t>
      </w:r>
    </w:p>
    <w:p>
      <w:r>
        <w:t>Shared claim-specific concepts: thinking, techniques, level, applied; EU scope not established. This is a provisional connection, not an outcome finding.</w:t>
      </w:r>
    </w:p>
    <w:p>
      <w:r>
        <w:t>Available abstract (not full text): Abstract— Few key skills among many that are needed in the 21st century are critical thinking, creativity, collaboration, meta cognitive skills, technology literacy and decision making under uncertainty. With the emergence of ChatGPT and other Generative AI tools, there is a dire need for a distinctive way of learning and application of learning to ensure learning effectiveness. Mere content is no longer the most important factor to learn these skills but. what is needed is the ability to retrieve material learnt, in the context of application. For the learner to be able to apply the critical thinking levels and higher learning levels of Blooms taxonomy, the basic first level of remembering forms the basic foundation, particularly when the students are from first generation educated families or with disadvantaged socioeconomic backgrounds. However, when students cram for the exams, they generally get an ‘illusion of learning’, where they think they know, but in reality often they may not be able to recall what they crammed when they need it later. This is a case of inefficient investment of time and effort in learning for the student. For the teacher, it slows down the teaching process and opportunity to engage in higher order thinking level applications. Addressing the frustrations of both teacher and students, the authors applied the concept of Retrieval method for MBA I year</w:t>
      </w:r>
    </w:p>
    <w:p>
      <w:r>
        <w:t>POSSIBLE 2023: Pillars of long-term antiretroviral therapy success — https://doi.org/10.1016/j.phrs.2023.106898</w:t>
      </w:r>
    </w:p>
    <w:p>
      <w:r>
        <w:t>Shared claim-specific concepts: conclusions, long-term, thinking; EU scope not established. This is a provisional connection, not an outcome finding.</w:t>
      </w:r>
    </w:p>
    <w:p>
      <w:r>
        <w:t>Available abstract (not full text): BACKGROUND: Meeting the challenge of antiretroviral therapy (ART) whose efficacy can last a lifetime requires continuous updating of the virological, pharmacological, and quality of life outcomes to be pursued and a continuous review of literature data on the efficacy and tolerability of new drugs and therapeutic strategies. METHODS: With the aim of identifying open questions and answers about the current controversies in modern ART, we adapted the Design Thinking methodology to the needs of the design phase of a scientific article, involving a team of experts in HIV care. RESULTS: Five main pillars of treatment success were discussed: sustained virologic suppression over time; immunological recovery; pharmacological attributes; long-term tolerability and safety of ART; and people's satisfaction and quality of life. The definition of the outcomes to be achieved in each thematic area and the tools to achieve them were reviewed and discussed. CONCLUSIONS: Long-term treatment success should be intended as a combination of HIV-RNA suppression, immune recovery, and high quality of life. To achieve this, the regimen should be well-tolerated, with high potency, genetic barrier, and forgiveness, and should be tailored by a person-centered perspective, based on individual needs, preferences, and therapeutic history.</w:t>
      </w:r>
    </w:p>
    <w:p>
      <w:r>
        <w:t>POSSIBLE 2022: Decarbonizing Prudence: How Realigning Present Pleasure and Long-Term Thinking is Climate Action — https://doi.org/10.21428/dd52e8dc.baa71636</w:t>
      </w:r>
    </w:p>
    <w:p>
      <w:r>
        <w:t>Shared claim-specific concepts: long-term, thinking, action; EU scope not established. This is a provisional connection, not an outcome finding.</w:t>
      </w:r>
    </w:p>
    <w:p>
      <w:r>
        <w:t>Available abstract (not full text): Present Pleasure and Long-Term Thinking is Climate Action 2 "The people I love the best jump into work head first without dallying in the shallows and swim off with sure strikes almost out of sight.They seem to become the natives of that element, the black sleek heads of seals bouncing like half-submerged balls.I love people who harness themselves, an ox to a heavy cart, who pull like water buffalo, with massive patience, who strain in the mud and the muck to move things forward who do what has to be done, again and again."-To Be of Use by Marge Pierce</w:t>
      </w:r>
    </w:p>
    <w:p>
      <w:r>
        <w:t>POSSIBLE 2022: Wishful thinking? Addressing the long-term implications of COVID-19 for transport in Nigeria — https://doi.org/10.1016/j.trd.2022.103206</w:t>
      </w:r>
    </w:p>
    <w:p>
      <w:r>
        <w:t>Shared claim-specific concepts: long-term, thinking, developing; EU scope not established. This is a provisional connection, not an outcome finding.</w:t>
      </w:r>
    </w:p>
    <w:p>
      <w:r>
        <w:t>Available abstract (not full text): With their inherent economic and infrastructure challenges, developing countries must assess commuters' travel behaviour and establish whether consumers' desire for sustainable transportation is feasible or merely wishful thinking. Using a qualitative research design, these issues were explored based on semi-structured interviews conducted with 72 participants across the six geopolitical zones of Nigeria. Findings suggest that the desires and dreams of the commuters are great, and they want to reduce their journeys, work from home, and do online shopping. However, when they consider the inherent challenges, they can only hope for a better future. COVID-19 has impacted the ownership or use of motorised and non-motorised transport, but this is also influenced by affordability, convenience, and awareness. Likewise, there are long-term effects on home and work location choices, but this is further influenced by the large informal economy of the country, job accessibility and the infrastructural developments across the country.</w:t>
      </w:r>
    </w:p>
    <w:p>
      <w:r>
        <w:t>POSSIBLE 2022: complexity and criticality of long-term collaborative processes — https://doi.org/10.22456/1982-8918.127557</w:t>
      </w:r>
    </w:p>
    <w:p>
      <w:r>
        <w:t>Shared claim-specific concepts: long-term, thinking, action; EU scope not established. This is a provisional connection, not an outcome finding.</w:t>
      </w:r>
    </w:p>
    <w:p>
      <w:r>
        <w:t>Available abstract (not full text): There has been increasing recognition that social collectives, such as knowledge communities and professional learning networks, support teachers and enhance their practice. At the same time, there is little research on how such communities form, are sustained over time, create professional knowledge and practices, and transform the professional lives of their participants. We address these gaps in this paper by drawing on self-study methodology to structure a critical reflection of Luiz’s experiences of participating in an autonomous group of teacher-researchers that constituted their own knowledge community since 2005. Through critical friendship, a complexity thinking lens guided the shared reflection on Luiz’s experience in the knowledge community by considering the relational connections, affective forces, opportunities for action and agential capacities that are continually made and reconfigured within the collective nature of learning communities. In conclusion, we discuss both the facilitation and cultivation of long-term collaborative processes towards a complex, critical, and socially just perspective of PETE.</w:t>
      </w:r>
    </w:p>
    <w:p>
      <w:r>
        <w:t>POSSIBLE 2021: Thinking Beyond the Pandemic: Monetary Policy Challenges in the Medium- to Long-Term — https://doi.org/10.2139/ssrn.3873976</w:t>
      </w:r>
    </w:p>
    <w:p>
      <w:r>
        <w:t>Shared claim-specific concepts: long-term, thinking; EU scope not established. This is a provisional connection, not an outcome finding.</w:t>
      </w:r>
    </w:p>
    <w:p>
      <w:r>
        <w:t>Available abstract (not full text): Unavailable</w:t>
      </w:r>
    </w:p>
    <w:p>
      <w:r>
        <w:t>POSSIBLE 2021: Thinking Beyond the Pandemic: Monetary Policy Challenges in the Medium- to Long-Term (preprint) — https://openalex.org/W3180662084</w:t>
      </w:r>
    </w:p>
    <w:p>
      <w:r>
        <w:t>Shared claim-specific concepts: conclusions, long-term, thinking; EU scope not established. This is a provisional connection, not an outcome finding.</w:t>
      </w:r>
    </w:p>
    <w:p>
      <w:r>
        <w:t>Available abstract (not full text): The economic characteristics of the COVID-19 crisis differ from those of previous crises. It is a combination of demand- and supply-side constraints which led to the formation of a monetary overhang that will be unfrozen once the pandemic ends. Monetary policy must take this effect into consideration, along with other pro-inflationary factors, in the post-pandemic era. It must also think in advance about how to avoid a policy trap coming from fiscal dominance. This paper is organized as follows: Chapter 2 deals with the economic characteristics of the COVID-19 pandemic and its impact on the effectiveness of the monetary policy response measures undertaken. In Chapter 3, we analyse the monetary policy decisions of the ECB (and other major CBs for comparison) and their effectiveness in achieving the declared policy goals in the short term. Chapter 4 is devoted to an analysis of the policy challenges which may be faced by the ECB and other major CBs once the pandemic emergency comes to its end. Chapter 5 contains a summary and the conclusions of our analysis.</w:t>
      </w:r>
    </w:p>
    <w:p>
      <w:r>
        <w:t>POSSIBLE 2020: Casting Long-Term and Regenerative Perspectives on Global Sustainability through Systems and Resilience Thinking — https://doi.org/10.3390/su12031230</w:t>
      </w:r>
    </w:p>
    <w:p>
      <w:r>
        <w:t>Shared claim-specific concepts: long-term, thinking, casting, action, local; EU scope not established. This is a provisional connection, not an outcome finding.</w:t>
      </w:r>
    </w:p>
    <w:p>
      <w:r>
        <w:t>Available abstract (not full text): The main objective of this work is to foster long-term and regenerative perspectives on global sustainability. In pursuing this goal, this study encompasses a critical analysis and synthesis of insights from the fields of systems and resilience thinking, a conceptual framework for modeling and envisioning socio-ecological systems, and the proposition of the “flourishing within boundaries” archetype, which is conceived to provide meaningful insights regarding the essential conditions that would enable global society to flourish not just safely but also fairly. Through systems dynamics modeling, portrayed scenarios emphasize that the higher the regenerative societal change achieved, the greater the exponential behavior of the system’s speed towards promising socio-ecological outcomes. Especially for longer time horizons, the overall results reveal that the pace of the transitions associated with the societal action is inherently higher than those associated with the limiting social and ecological factors. Actions taken by individuals in the local realm and short-term time horizon may not only have immediate local effects but also a variety of innumerous ones that radiate out for years, decades, and even centuries to come. Finally, the pursuit of flourishing within boundaries relies on thinking rationally, globally, and above all, through a long-term and regenerative perspective.</w:t>
      </w:r>
    </w:p>
    <w:p>
      <w:pPr>
        <w:pStyle w:val="Heading2"/>
      </w:pPr>
      <w:r>
        <w:t>The biological transformation of industrial manufacturing – Technologies, status and scenarios for a sustainable future of the German manufacturing industry</w:t>
      </w:r>
    </w:p>
    <w:p>
      <w:r>
        <w:t>Original source (2019): https://doi.org/10.1016/j.jmsy.2019.11.006</w:t>
      </w:r>
    </w:p>
    <w:p>
      <w:r>
        <w:t>Original wording (abstract; indexed_source_text_not_full_document_verified): We conclude with a summary and recommendations for decision makers in politics, industries and research. In this context, the soaring possibilities of bio- and information technology have recently let few authors develop the vision of a biological transformation of manufacturing, a concept that to date has been barely concrete to politicians, scientists, and managers.</w:t>
      </w:r>
    </w:p>
    <w:p>
      <w:r>
        <w:t>POSSIBLE 2026: Summary, Conclusions and Recommendations — https://doi.org/10.1201/9781003759744-14</w:t>
      </w:r>
    </w:p>
    <w:p>
      <w:r>
        <w:t>Shared claim-specific concepts: summary, recommendations, information; EU scope not established. This is a provisional connection, not an outcome finding.</w:t>
      </w:r>
    </w:p>
    <w:p>
      <w:r>
        <w:t>Available abstract (not full text): Under fully controlled laboratory conditions, with constant chemical groundwater quality, one type of collector (quartz grains), a range of Darcy flow velocities, a range of grain sizes, and in columns of limited height, the E. coli concentration decreases logarithmically with the transport distance. Also, there is reasonable agreement between the measured filter coefficients from breakthrough curves and the filter coefficients calculated using the single collector contact efficiency, and assuming a constant sticking efficiency for the E. coli - quartz system. Because the E. coli - quartz grain system behaves according to the classical CFT, as defined in chapter 1 of this thesis, the theory provides a valuable framework for predicting the transport of E. coli in porous media under saturated conditions. This is one of the main outcomes of the work carried out by Matthess et al. (1991a, 1991b) on an extensive set of column experiments. However, based on the research presented in this thesis, this outcome needs to be modified for the following reasons: The conclusions of Matthess et al. (1991a, 1991b), and many other workers, are based on effluent concentrations from column experiments only. As was concluded by Bradford et al (2002 , 2003 ), Tufenkji and Elimelech (2004a, 2005), Li et al. (2004) , Tong and Johnson (2007), and by our work ( Chapter 8 ), such type of experiment does</w:t>
      </w:r>
    </w:p>
    <w:p>
      <w:r>
        <w:t>POSSIBLE 2023: ‘Learning lessons’: discussion, concluding thoughts and recommendations — https://doi.org/10.1332/policypress/9781447363385.003.0007</w:t>
      </w:r>
    </w:p>
    <w:p>
      <w:r>
        <w:t>Shared claim-specific concepts: summary, recommendations, authors; EU scope not established. This is a provisional connection, not an outcome finding.</w:t>
      </w:r>
    </w:p>
    <w:p>
      <w:r>
        <w:t>Available abstract (not full text): This chapter will reflect on the book chapters to provide a summary alongside the authors’ concluding thoughts and recommendations going forwards. The final word will be given over to Louise Powell who wishes to end this book with her own comment and wishes for the future.</w:t>
      </w:r>
    </w:p>
    <w:p>
      <w:r>
        <w:t>POSSIBLE 2023: ‘Learning lessons’: discussion, concluding thoughts and recommendations — https://doi.org/10.46692/9781447363408.007</w:t>
      </w:r>
    </w:p>
    <w:p>
      <w:r>
        <w:t>Shared claim-specific concepts: conclude, summary, recommendations, authors; EU scope not established. This is a provisional connection, not an outcome finding.</w:t>
      </w:r>
    </w:p>
    <w:p>
      <w:r>
        <w:t>Available abstract (not full text): ‘It’s not rocket science, don’t send pregnant women to prison for shoplifting.’ Beth, 2017 Introduction All mothers take with them a legacy from their time in prison and/or a prison MBU. Sometimes that legacy is positive; for example, some mothers may have benefited from a safer and intentionally supportive space to begin life as a mother than they might otherwise have had (though most often not without some cost), but often there are negative and complex consequences too. This evidence-based volume has revealed and unpicked some of those realities. We, the authors, have both undertaken multiple research projects that inform our writing here, but the bulk of the evidence for this book came from two main studies, Motherhood Challenged (Baldwin, 2021a) and The Incarcerated Pregnancy (Abbott, 2018). We acknowledge that since our research was undertaken there is more of an appetite and motivation for positive change (in part, stimulated and assisted by our research). This change, although coming on the back of the aforementioned tragedies, is welcome. This chapter incorporates a reflective summary of the takeaway messages of the book while re-stating the current landscape and present commitment to change. Drawing on our own thoughts, research and the women’s voices, we conclude with 21 recommendations, which, if implemented, we feel would go some way towards minimising harm and imp</w:t>
      </w:r>
    </w:p>
    <w:p>
      <w:r>
        <w:t>POSSIBLE 2021: Summary of evidence and recommendations — https://doi.org/10.4324/9781003048558-14</w:t>
      </w:r>
    </w:p>
    <w:p>
      <w:r>
        <w:t>Shared claim-specific concepts: conclude, summary, recommendations, authors; EU scope not established. This is a provisional connection, not an outcome finding.</w:t>
      </w:r>
    </w:p>
    <w:p>
      <w:r>
        <w:t>Available abstract (not full text): In this final chapter, we bring together recommendations from the experience and research of our expert authors. We have not tried to prioritise our list of key actions for developing countries to implement to enhance mathematical and statistical knowledge, skills and understanding for sustainable economic growth as there are so many variations between countries. What we can conclude though is that future generations of young people will need enhanced mathematical and statistical competency and transferable skills in an increasingly technological and competitive world and that significant investment in education is crucial for long-term economic growth and success.</w:t>
      </w:r>
    </w:p>
    <w:p>
      <w:r>
        <w:t>POSSIBLE 2020: Summary, recommendations, and conclusions — https://doi.org/10.4324/9781351047289-6</w:t>
      </w:r>
    </w:p>
    <w:p>
      <w:r>
        <w:t>Shared claim-specific concepts: summary, recommendations, develop; EU scope not established. This is a provisional connection, not an outcome finding.</w:t>
      </w:r>
    </w:p>
    <w:p>
      <w:r>
        <w:t>Available abstract (not full text): Chapter 6 summarizes the study and concludes that the choice of policies made the difference between where Malaysia and Ghana are today. In Ghana’s haste to develop, it misdirected resources; in its initial adoption of a socialist model of economic development, it disrupted the market based economic system which it had inherited from the British and set the economy back many years; in its frequent changes in government, it created an environment that was not conducive for business. Malaysia, by adopting a go-slow approach to development, did not disrupt the economic system it had inherited from the British, and also created an environment that was hospitable for the private sector; by creating institutions that mobilized local resources, it was able to increase growth and reduce poverty. More importantly, Malaysia, by embracing inclusive economic growth, kept the country stable, prevented civil strife, and thereby benefited from continuity in development plans.</w:t>
      </w:r>
    </w:p>
    <w:p>
      <w:r>
        <w:t>POSSIBLE 2020: ESCAP practice guidance for autism: a summary of evidence-based recommendations for diagnosis and treatment — https://doi.org/10.1007/s00787-020-01587-4</w:t>
      </w:r>
    </w:p>
    <w:p>
      <w:r>
        <w:t>Shared claim-specific concepts: summary, recommendations, information; EU scope visible. This is a provisional connection, not an outcome finding.</w:t>
      </w:r>
    </w:p>
    <w:p>
      <w:r>
        <w:t>Available abstract (not full text): Across Europe, there is increased awareness of the frequency and importance of autism spectrum disorder (ASD), which is now recognised not only as a childhood disorder but as a heterogeneous, neurodevelopmental condition that persists throughout life. Services for individuals with autism and their families vary widely, but in most European countries, provision is limited. In 2018, European Society of Child and Adolescent Psychiatry (ESCAP) identified the need for a Practice Guidance document that would help to improve knowledge and practice, especially for individuals in underserviced areas. The present document, prepared by the ASD Working Party and endorsed by the ESCAP Board on October 3, 2019, summarises current information on autism and focuses on ways of detecting, diagnosing, and treating this condition.</w:t>
      </w:r>
    </w:p>
    <w:p>
      <w:pPr>
        <w:pStyle w:val="Heading2"/>
      </w:pPr>
      <w:r>
        <w:t>The perspectives of development of high-speed rail network in the European Union till</w:t>
        <w:br/>
        <w:t>the year 2050</w:t>
      </w:r>
    </w:p>
    <w:p>
      <w:r>
        <w:t>Original source (2019): https://doi.org/10.35117/a_eng_19_07_01</w:t>
      </w:r>
    </w:p>
    <w:p>
      <w:r>
        <w:t>Original wording (abstract; indexed_source_text_not_full_document_verified): As an outcome of the analyses presented in the article there emerged a complete vision of planned development of high-speed rail network in the European Union, which length in 2030 could be estimated for approximetaly 16,5 thousand kilometers.</w:t>
      </w:r>
    </w:p>
    <w:p>
      <w:r>
        <w:t>POSSIBLE 2021: Peri-interventional outcome study in the elderly in Europe — https://doi.org/10.1097/eja.0000000000001639</w:t>
      </w:r>
    </w:p>
    <w:p>
      <w:r>
        <w:t>Shared claim-specific concepts: outcome, presented, planned, estimated, thousand; EU scope visible. This is a provisional connection, not an outcome finding.</w:t>
      </w:r>
    </w:p>
    <w:p>
      <w:r>
        <w:t xml:space="preserve">Available abstract (not full text): OBJECTIVES: The aim of this study was to describe the 30-day mortality rate of patients aged 80 years and older undergoing surgical and nonsurgical procedures under anaesthesia in Europe and to identify risk factors associated with mortality. DESIGN: A prospective cohort study. SETTING: European multicentre study, performed from October 2017 to December 2018. Centres committed to a 30-day recruitment period within the study period. PATIENTS: Nine thousand four hundred and ninety-seven consecutively recruited patients aged 80 years and older undergoing any kind of surgical or nonsurgical procedures under anaesthesia. MAIN OUTCOME MEASURES: The primary outcome was all-cause mortality within 30 days after procedure described by Kaplan-Meier curves with 95% CI. Risk factors for 30-day mortality were analysed using a Cox regression model with 14 fixed effects and a random centre effect. RESULTS: Data for 9497 patients (median age, 83.0 years; 52.8% women) from 177 academic and nonacademic hospitals in 20 countries were analysed. Patients presented with multimorbidity (77%), frailty (14%) and at least partial functional dependence (38%). The estimated 30-day mortality rate was 4.2% (95% CI 3.8 to 4.7). Among others, independent risk factors for 30-day mortality were multimorbidity, hazard ratio 1.87 (95% CI 1.26 to 2.78), frailty, hazard ratio 2.63 (95% CI 2.10 to 3.30), and limited </w:t>
      </w:r>
    </w:p>
    <w:p>
      <w:r>
        <w:t>POSSIBLE 2021: Treatment and Outcome in Children With Tuberculous Meningitis: A Multicenter Pediatric Tuberculosis Network European Trials Group Study — https://doi.org/10.1093/cid/ciab982</w:t>
      </w:r>
    </w:p>
    <w:p>
      <w:r>
        <w:t>Shared claim-specific concepts: outcome, analyses, there, complete, network; EU scope visible. This is a provisional connection, not an outcome finding.</w:t>
      </w:r>
    </w:p>
    <w:p>
      <w:r>
        <w:t>Available abstract (not full text): BACKGROUND: Currently, data on treatment, outcome, and prognostic factors in children with tuberculous meningitis (TBM) in Europe are limited. To date, most existing data on TBM originate from adult studies, or studies conducted in low-resource settings. METHODS: We designed a multicenter, retrospective study involving 27 pediatric healthcare institutions in 9 European countries via an established pediatric TB research network, before and after the 2014 revision of World Health Organization (WHO) dosing recommendations. RESULTS: Of 118 children, 39 (33.1%) had TBM grade 1, 68 (57.6%) grade 2, and 11 (9.3%) grade 3. Fifty-eight (49.1%) children received a standard 4-drug treatment regimen; other commonly used drugs included streptomycin, prothionamide, and amikacin. Almost half of the patients (48.3%; 56/116) were admitted to intensive care unit, with a median stay of 10 (interquartile range [IQR] 4.5-21.0) days. Of 104 children with complete outcome data, 9.6% (10/104) died, and only 47.1% (49/104) recovered fully. Main long-term sequelae included spasticity of 1 or more limbs and developmental delay both in 19.2% (20/104), and seizure disorder in 17.3% (18/104). Multivariate regression analyses identified microbiological confirmation of TBM, the need for neurosurgical intervention, and mechanical ventilation as risk factors for unfavorable outcome. CONCLUSIONS: There was consi</w:t>
      </w:r>
    </w:p>
    <w:p>
      <w:r>
        <w:t>POSSIBLE 2021: Selecting and analysing climate change adaptation measures at six research sites across Europe — https://doi.org/10.5194/nhess-21-2145-2021</w:t>
      </w:r>
    </w:p>
    <w:p>
      <w:r>
        <w:t>Shared claim-specific concepts: analyses, presented, article; EU scope visible. This is a provisional connection, not an outcome finding.</w:t>
      </w:r>
    </w:p>
    <w:p>
      <w:r>
        <w:t>Available abstract (not full text): Abstract. As Europe is faced with increasing droughts and extreme precipitation, countries are taking measures to adapt to these changes. It is challenging, however, to navigate through the wide range of possible measures, taking into account the efficacy, economic impact and social justice aspects of these measures, as well as the governance requirements for implementing them. This article describes and evaluates an approach to selecting and analysing climate change adaptation measures that was applied at six research sites across Europe. It describes the steps that were taken in collecting, selecting and analysing adaptation measures, in a process with local stakeholders, with concrete examples from the case studies. The governance analysis focuses on the requirements associated with the measures and the extent to which these requirements are met at the research sites. The socio-economic impact focuses on the efficacy of the measures in reducing the risks and the broad range of tools available to compare the measures on their societal impact. Finally, the social justice analysis focuses on the distributive impacts of the adaptation measures. In the discussion, we identify some key findings with regard to the different kind of measures. In the conclusion we briefly assess the main pros and cons of the different analyses that were conducted. The main conclusion is that although</w:t>
      </w:r>
    </w:p>
    <w:p>
      <w:r>
        <w:t>POSSIBLE 2020: The Cyprus Talks 2015–2017: Their Course, the Outcome, and Consequences for the European Union — https://doi.org/10.14746/rie.2020.14.9</w:t>
      </w:r>
    </w:p>
    <w:p>
      <w:r>
        <w:t>Shared claim-specific concepts: outcome, article, there, union; EU scope visible. This is a provisional connection, not an outcome finding.</w:t>
      </w:r>
    </w:p>
    <w:p>
      <w:r>
        <w:t>Available abstract (not full text): The main aim of the article is to present political consequences of the failure of the Cyprus talks 2015–2017 for the European Union. Although its institutions and representatives were engaged in the negotiation process there, the issue seems to be more complex when it comes to defining what their role was. One can find the answer to such a question analysing the course and the final outcome of the negotiation process in Cyprus. The main research question are as follows: What was the course of bicommunal negotiations? What brought the negotiations to a halt in 2017? How did the European Union engage in the process? What are political consequences of the talks failure for the European Union? The selected method is sources analysis and the technique is qualitative content analysis. On this basis one can study, for example, selected speeches, declarations as well as official documents. As regards the main sources, these are selected EU and UN documents, monographs, and academic articles.</w:t>
      </w:r>
    </w:p>
    <w:p>
      <w:r>
        <w:t>POSSIBLE 2020: Incidence and outcome of atrial fibrillation: diversity throughout Europe — https://doi.org/10.1093/eurheartj/ehaa1078</w:t>
      </w:r>
    </w:p>
    <w:p>
      <w:r>
        <w:t>Shared claim-specific concepts: outcome, presented, there; EU scope visible. This is a provisional connection, not an outcome finding.</w:t>
      </w:r>
    </w:p>
    <w:p>
      <w:r>
        <w:t>Available abstract (not full text): This editorial refers to ‘Paradoxical impact of socioeconomic factors on outcome of atrial fibrillation in Europe: trends in incidence and mortality from atrial fibrillation’†, by B.M. Al-Khayatt et al., on page 847. The incidence and prevalence of atrial fibrillation (AF) have been increasing over time and are expected to rise further due to extended life expectancy, accumulation of lifestyle-related risk factors such as obesity and diabetes mellitus, and a better survival after myocardial infarction and heart failure (HF). In addition, a better awareness of AF and improved and intensified technology for undiagnosed AF contribute to an increase in AF burden.1–3 In addition to the incidence and prevalence of AF, the AF-associated mortality rate is increasing.1,3 Mortality is the highest early after diagnosis of AF, being 5–6% in the first year after the initial presentation due to as yet undiagnosed underlying cardiovascular diseases and therefore far less well treated AF.4,5 Many associated conditions contribute to incident AF as well as to AF-related mortality including increasing age, hypertension, diabetes mellitus, HF, coronary artery disease, obesity, and chronic kidney disease.4 The incidence of AF is higher in men than in women.3 The moment of onset of AF as well as the associated comorbidities differ between men and women. Women are older, have a higher prevalence of h</w:t>
      </w:r>
    </w:p>
    <w:p>
      <w:pPr>
        <w:pStyle w:val="Heading2"/>
      </w:pPr>
      <w:r>
        <w:t>Towards a sustainable European energy system: Linking optimization models with multi-regional input-output analysis</w:t>
      </w:r>
    </w:p>
    <w:p>
      <w:r>
        <w:t>Original source (2019): https://doi.org/10.1016/j.esr.2019.100391</w:t>
      </w:r>
    </w:p>
    <w:p>
      <w:r>
        <w:t>Original wording (abstract; indexed_source_text_not_full_document_verified): This study uses two models to analyze the implications of these goals on the European energy system and on the rest of the world, based on several scenarios for the mid and long term. First, using a linear programming optimization model for capacity expansion and unit commitment, we obtain the optimal design of the European power system in 2030 and 2050.</w:t>
      </w:r>
    </w:p>
    <w:p>
      <w:r>
        <w:t>POSSIBLE 2026: Assessing invasion risk of two North American Saperda species (Coleoptera, Cerambycidae) in Europe using joint bioclimatic-habitat species distribution models and maritime-inland connectivity — https://doi.org/10.3897/neobiota.109.192296</w:t>
      </w:r>
    </w:p>
    <w:p>
      <w:r>
        <w:t>Shared claim-specific concepts: two, based; EU scope visible. This is a provisional connection, not an outcome finding.</w:t>
      </w:r>
    </w:p>
    <w:p>
      <w:r>
        <w:t xml:space="preserve">Available abstract (not full text): The introduction and establishment of non-native wood-boring insects pose a significant threat to forest ecosystems, urban trees and agricultural systems worldwide. In this study, we assessed the invasion risk of two North American longhorn beetles, Saperda candida and Saperda tridentata , to Europe by integrating joint bioclimatic–habitat species distribution models with maritime connectivity data. Both species can infest live trees; S. candida is primarily associated with hosts in the Rosaceae, whereas S. tridentata mainly attacks Ulmus species, making both species of primary phytosanitary concern to Europe. We developed ensemble models that separately quantified the effects of broad-scale climatic variables and fine-scale habitat factors, including land cover and host plant availability and then combined them into overall suitability maps. These were further integrated with a proxy of propagule pressure, based on international shipping connectivity to generate spatially explicit invasion risk maps. Both species showed strong model performance and high transferability. Results indicate that large areas of Europe, particularly central and western regions, offer suitable environmental conditions for establishment, although climatic constraints limit suitability in southern and northern extremes. Host plant availability emerged as a key determinant of habitat suitability, while </w:t>
      </w:r>
    </w:p>
    <w:p>
      <w:r>
        <w:t>POSSIBLE 2026: Improving Europe-wide windstorm damage modeling using insurance loss data — https://doi.org/10.5194/egusphere-2026-3099</w:t>
      </w:r>
    </w:p>
    <w:p>
      <w:r>
        <w:t>Shared claim-specific concepts: two, based; EU scope visible. This is a provisional connection, not an outcome finding.</w:t>
      </w:r>
    </w:p>
    <w:p>
      <w:r>
        <w:t>Available abstract (not full text): Abstract. Winter windstorms are among Europe’s deadliest and most damaging natural hazards. In a changing climate, reliably estimating and projecting their impacts is essential for effective risk management. Such risk is often modeled as the intersection between hazard, exposure, and vulnerability, which are linked through functional relationships known as vulnerability curves (or damage models). The Schwierz et al. (2010) damage model is a widely used open-source standard for European windstorms, but its original calibration is based on a limited set of historical UK storms. In this study, this model is calibrated against recent loss data from the PERILS database (1999–2024) within the CLIMADA open-source framework, across 12 European countries. Calibration is conducted independently using two cost functions: Root Mean Squared Error (RMSE) and Root Mean Squared Logarithmic Error (RMSLE), enabling a systematic comparison of their influence on the optimised damage parameter and derived risk metrics. The default model is found to systematically underestimate losses across Europe, and a single pan-European model cannot capture the distinct vulnerability profiles of individual countries. By calibrating the model against PERILS losses, a new set of country-specific damage functions is developed, which reflect spatial heterogeneities in vulnerability. In addition, the analysis demons</w:t>
      </w:r>
    </w:p>
    <w:p>
      <w:r>
        <w:t>POSSIBLE 2025: Analysis of Two-Side Wood Joints Using the European Yield Model (EYM) Method Referring to SNI 7973:2013 — https://doi.org/10.38124/ijisrt/25dec821</w:t>
      </w:r>
    </w:p>
    <w:p>
      <w:r>
        <w:t>Shared claim-specific concepts: two, based, capacity; EU scope visible. This is a provisional connection, not an outcome finding.</w:t>
      </w:r>
    </w:p>
    <w:p>
      <w:r>
        <w:t>Available abstract (not full text): The connection is the most critical part in a wooden structure because it plays a direct role in transmitting forces between elements. This study analyzed the behavior of two Palapi wood (Heritiera simplicifolia.) joints using a single bolt based on the European Yield Model (EYM) method referring to SNI 7973:2013. The parameters reviewed included the physical properties of wood, mechanical properties, wood bearing strength, bolt flexural strength, and theoretical and experimental connection capacity. The test results showed an average water content of 11.50% and a density of 0.43 g/cm3. The average shear strength parallel to the grain reached 19.21 MPa, the compressive strength parallel to the grain was 25.63 MPa, and the wood bearing strength increased with increasing bolt diameter. Comparison of the theoretical EYM results and the experimental results showed a significant difference, mainly influenced by the failure of the wood bearing and the plastic deflection of the bolt. The results of this study are expected to be a reference in designing wood joints more safely and efficiently, especially for the use of local Palapi wood in construction.</w:t>
      </w:r>
    </w:p>
    <w:p>
      <w:r>
        <w:t>POSSIBLE 2024: Climate change impacts on two European crop rotations via an ensemble of models — https://doi.org/10.1016/j.eja.2024.127456</w:t>
      </w:r>
    </w:p>
    <w:p>
      <w:r>
        <w:t>Shared claim-specific concepts: two, based; EU scope visible. This is a provisional connection, not an outcome finding.</w:t>
      </w:r>
    </w:p>
    <w:p>
      <w:r>
        <w:t>Available abstract (not full text): Continuous long-term simulations of an ensemble of nine crop models covering the 1961–2080 period was employed to assess the expected impacts of climate change on the crop yield and water use for distinct crop rotations (CRs) in Europe. In this study, the likelihood of changes in two differently managed CRs (conventional and alternative) involving four important field crops (winter wheat, spring barley, silage maize, and winter oilseed rape) was assessed. The conventional agricultural practice (CR1) included only mineral fertilization with the removal of crop residues after harvest. The alternative agricultural practice (CR2) included cover crops and the application of mineral and organic fertilizers, with crop residues retained in the field. The simulations covered six sites in five European countries (Mühldorf and Müncheberg in Germany, Ukkel in Belgium, Ødum in Denmark, Milhostov in Slovakia and Lednice in Czechia) based on two distinct soil profiles (universal soil and site-specific soils). The universal soil was the same across all the sites, while the site-specific soils were typical of each region. Eight transient climate change scenarios (4 general circulation models (GCMs) under representative concentration pathways (RCPs) 2.6 and 8.5) were used to capture the possible evolution of future climatic conditions. Compared with those during the 1962–1990 period, the ensembl</w:t>
      </w:r>
    </w:p>
    <w:p>
      <w:r>
        <w:t>POSSIBLE 2022: Trust in official statistics across Europe: Evidence from two waves of Eurobarometer using multilevel models — https://doi.org/10.3233/sji-220070</w:t>
      </w:r>
    </w:p>
    <w:p>
      <w:r>
        <w:t>Shared claim-specific concepts: uses, two; EU scope visible. This is a provisional connection, not an outcome finding.</w:t>
      </w:r>
    </w:p>
    <w:p>
      <w:r>
        <w:t>Available abstract (not full text): This paper uses data from Eurobarometer for the years 2007 and 2015 to investigate the determinants of trust in official statistics across 28 countries and 2 regions in Europe. Our estimation follows a multilevel modelling approach, which allows us to distinguish within-country and between-country variation in individual trust in official statistics. Our estimation results show that the within-country variation is mainly explained by individual-level statistical literacy and education, as well as occupational status. With respect to the variation between countries, we show that neither the level of GPD nor the index of inequality are important in explaining cross-country variation. Instead, EU membership history, i.e. the ‘acquis communautaire’, is the main macro variable that explains the increase in trust for the official statistics across Europe.</w:t>
      </w:r>
    </w:p>
    <w:p>
      <w:r>
        <w:t>POSSIBLE 2022: Evapotranspiration Retrieval Using S-SEBI Model with Landsat-8 Split-Window Land Surface Temperature Products over Two European Agricultural Crops — https://doi.org/10.3390/rs14112723</w:t>
      </w:r>
    </w:p>
    <w:p>
      <w:r>
        <w:t>Shared claim-specific concepts: two, energy; EU scope visible. This is a provisional connection, not an outcome finding.</w:t>
      </w:r>
    </w:p>
    <w:p>
      <w:r>
        <w:t xml:space="preserve">Available abstract (not full text): Crop evapotranspiration (ET) is a key variable within the global hydrological cycle to account for the irrigation scheduling, water budgeting, and planning of the water resources associated with irrigation in croplands. Remote sensing techniques provide geophysical information at a large spatial scale and over a relatively long time series, and even make possible the retrieval of ET at high spatiotemporal resolutions. The present short study analyzed the daily ET maps generated with the S-SEBI model, adapted to Landsat-8 retrieved land surface temperatures and broadband albedos, at two different crop sites for two consecutive years (2017–2018). Maps of land surface temperatures were determined using Landsat-8 Collection 2 data, after applying the split-window (SW) algorithm proposed for the operational SW product, which will be implemented in the future Collection 3. Preliminary results showed a good agreement with ground reference data for the main surface energy balance fluxes Rn and LE, and for daily ET values, with RMSEs around 50 W/m2 and 0.9 mm/d, respectively, and high correlation coefficient (R2 = 0.72–0.91). The acceptable uncertainties observed when comparing with local ground data were reaffirmed after the regional (spatial resolution of 9 km) comparison with reanalysis data obtained from ERA5-Land model, showing a StDev of 0.9 mm/d, RMSE = 1.1 mm/d, MAE = 0.9 mm/d, </w:t>
      </w:r>
    </w:p>
    <w:p>
      <w:r>
        <w:t>POSSIBLE 2021: Modeling and forecasting the spread of COVID-19 with stochastic and deterministic approaches: Africa and Europe — https://doi.org/10.1186/s13662-021-03213-2</w:t>
      </w:r>
    </w:p>
    <w:p>
      <w:r>
        <w:t>Shared claim-specific concepts: two, system, first; EU scope visible. This is a provisional connection, not an outcome finding.</w:t>
      </w:r>
    </w:p>
    <w:p>
      <w:r>
        <w:t>Available abstract (not full text): Using the existing collected data from European and African countries, we present a statistical analysis of forecast of the future number of daily deaths and infections up to 10 September 2020. We presented numerous statistical analyses of collected data from both continents using numerous existing statistical theories. Our predictions show the possibility of the second wave of spread in Europe in the worse scenario and an exponential growth in the number of infections in Africa. The projection of statistical analysis leads us to introducing an extended version of the well-blancmange function to further capture the spread with fractal properties. A mathematical model depicting the spread with nine sub-classes is considered, first converted to a stochastic system, where the existence and uniqueness are presented. Then the model is extended to the concept of nonlocal operators; due to nonlinearity, a modified numerical scheme is suggested and used to present numerical simulations. The suggested mathematical model is able to predict two to three waves of the spread in the near future.</w:t>
      </w:r>
    </w:p>
    <w:p>
      <w:r>
        <w:t>POSSIBLE 2021: The 2020 update of the European Seismic Hazard Model - ESHM20: Model Overview — https://doi.org/10.12686/a15</w:t>
      </w:r>
    </w:p>
    <w:p>
      <w:r>
        <w:t>Shared claim-specific concepts: two, system, several, design; EU scope visible. This is a provisional connection, not an outcome finding.</w:t>
      </w:r>
    </w:p>
    <w:p>
      <w:r>
        <w:t>Available abstract (not full text): The 2020 European Seismic Hazard Model (ESHM20) provides an update of the earthquake hazard assessment of the Euro-Mediterranean region. ESHM20 has received funding from the European Union's Horizon 2020 research and innovation programme under grant agreement No.s 730900 of the SERA-Project (www.sera-eu.org). The ESHM20 follows the same principles as the ESHM13, with state-of-the art procedures homogeneously applied for the entire pan-European region, without the country-borders issues. The model was built upon recently compiled datasets (i.e. earthquake catalogues, active faults, ground shaking recordings), information (tectonic and geological) and models (seismogenic sources, ground shaking). A fully probabilistic framework was adopted in the hazard model implementation and all datasets and inputs are fully cross-border harmonized. The newly developed seismogenic source model encompass fully harmonized and cross borders seismogenic sources following the recent national earthquake hazard models. The inherent uncertainties in characterizing the earthquake rupture forecast are handled by a complex logic tree, consisting of two main models (branches): an area source-based model and a hybrid fault-smoothed seismicity model. The ground motion characteristic model is built upon the most complete ground shaking recordings in Europe and aims at capturing the effects of source and atte</w:t>
      </w:r>
    </w:p>
    <w:p>
      <w:r>
        <w:t>POSSIBLE 2020: Analysis of crash injury severity on two trans-European transport network corridors in Spain using discrete-choice models and random forests — https://doi.org/10.1080/15389588.2020.1733539</w:t>
      </w:r>
    </w:p>
    <w:p>
      <w:r>
        <w:t>Shared claim-specific concepts: two, implications, first, design; EU scope visible. This is a provisional connection, not an outcome finding.</w:t>
      </w:r>
    </w:p>
    <w:p>
      <w:r>
        <w:t>Available abstract (not full text): Objective: The objective of this paper is to identify the list of crash severity contributing factors and evaluate their impact on multiple-vehicle crashes on two high use Trans-European interurban, freight corridors in Spain (southern Europe): Madrid - Irùn and Barcelona – Almerìa.Methods: We have used both logistic regression and random forests to identify crash severity predictors and estimate their impacts on crash outcomes. Although both statistical methods can provide useful information to help explain the safety implications of highway crashes, using both methods may further enable a more comprehensive understanding of this phenomenon. For this effort, we disaggregated the crash data into different crash types (i.e., head-on, angle, sideswipe and rear-end) and analyzed this data using roadway design elements, driver characteristics, and environmental factors. To identify the most important predictors of crash severity, we used the random forests data mining approach. We then used ordered logit models to estimate the effect of external factors on the severity of each crash type. Finally, we assessed the accuracy of the model estimates using bootstrap sampling.Results: The results of data mining analyses indicated that roadway design factors such as horizontal and vertical curvature, super elevation, and lane and shoulder width are among the most important factors associat</w:t>
      </w:r>
    </w:p>
    <w:p>
      <w:r>
        <w:t>POSSIBLE 2020: Biogeophysical impacts of forestation in Europe: first results from the LUCAS (Land Use and Climate Across Scales) regional climate model intercomparison — https://doi.org/10.5194/esd-11-183-2020</w:t>
      </w:r>
    </w:p>
    <w:p>
      <w:r>
        <w:t>Shared claim-specific concepts: two, based, first; EU scope visible. This is a provisional connection, not an outcome finding.</w:t>
      </w:r>
    </w:p>
    <w:p>
      <w:r>
        <w:t>Available abstract (not full text):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r>
        <w:t>POSSIBLE 2020: Multispectral Models from Bare Soil Composites for Mapping Topsoil Properties over Europe — https://doi.org/10.3390/rs12091369</w:t>
      </w:r>
    </w:p>
    <w:p>
      <w:r>
        <w:t>Shared claim-specific concepts: two, system, first, capacity; EU scope visible. This is a provisional connection, not an outcome finding.</w:t>
      </w:r>
    </w:p>
    <w:p>
      <w:r>
        <w:t xml:space="preserve">Available abstract (not full text): Reflectance of light across the visible, near-infrared and shortwave infrared (VIS-NIR-SWIR, 0.4–2.5 µm) spectral region is very useful for investigating mineralogical, physical and chemical properties of soils, which can reduce the need for traditional wet chemistry analyses. As many collections of multispectral satellite data are available for environmental studies, a large extent with medium resolution mapping could be benefited from the spectral measurements made from remote sensors. In this paper, we explored the use of bare soil composites generated from the large historical collections of Landsat images for mapping cropland topsoil attributes across the European extent. For this task, we used the Geospatial Soil Sensing System (GEOS3) for generating two bare soil composites of 30 m resolution (named synthetic soil images, SYSI), which were employed to represent the median topsoil reflectance of bare fields. The first (framed SYSI) was made with multitemporal images (2006–2012) framed to the survey time of the Land-Use/Land-Cover Area Frame Survey (LUCAS) soil dataset (2009), seeking to be more compatible to the soil condition upon the sampling campaign. The second (full SYSI) was generated from the full collection of Landsat images (1982–2018), which although displaced to the field survey, yields a higher proportion of bare areas for soil mapping. For evaluating the two </w:t>
      </w:r>
    </w:p>
    <w:p>
      <w:r>
        <w:t>POSSIBLE 2020: The making of the New European Wind Atlas – Part 1: Model sensitivity — https://doi.org/10.5194/gmd-13-5053-2020</w:t>
      </w:r>
    </w:p>
    <w:p>
      <w:r>
        <w:t>Shared claim-specific concepts: two, several, first, optimal; EU scope visible. This is a provisional connection, not an outcome finding.</w:t>
      </w:r>
    </w:p>
    <w:p>
      <w:r>
        <w:t>Available abstract (not full text): Abstract. This is the first of two papers that documents the creation of the New European Wind Atlas (NEWA). It describes the sensitivity analysis and evaluation procedures that formed the basis for choosing the final setup of the mesoscale model simulations of the wind atlas. An optimal combination of model setup and parameterisations was found for simulating the climatology of the wind field at turbine-relevant heights with the Weather Research and Forecasting (WRF) model. Initial WRF model sensitivity experiments compared the wind climate generated by using two commonly used planetary boundary layer schemes and were carried out over several regions in Europe. They confirmed that the largest differences in annual mean wind speed at 100 m above ground level mostly coincide with areas of high surface roughness length and not with the location of the domains or maximum wind speed. Then an ensemble of more than 50 simulations with different setups for a single year was carried out for one domain covering Northern Europe, for which tall mast observations were available. Many different parameters were varied across the simulations, for example, model version, forcing data, various physical parameterisations and the size of the model domain. These simulations showed that although virtually every parameter change affects the results in some way, significant changes on the wind climat</w:t>
      </w:r>
    </w:p>
    <w:p>
      <w:pPr>
        <w:pStyle w:val="Heading2"/>
      </w:pPr>
      <w:r>
        <w:t>Transition pathways to sustainability in greater than 2 °C climate futures of Europe</w:t>
      </w:r>
    </w:p>
    <w:p>
      <w:r>
        <w:t>Original source (2019): https://doi.org/10.1007/s10113-019-01475-x</w:t>
      </w:r>
    </w:p>
    <w:p>
      <w:r>
        <w:t>Original wording (abstract; indexed_source_text_not_full_document_verified): The pathways support Europe in moving towards a desirable future vision, through top-down and bottom-up actions that lower greenhouse gas emissions, reduce impacts of and vulnerabilities to climate and socioeconomic changes and enhance well-being. Analysis shows that the pathways that are robust to future scenario uncertainty are those that shift Europe towards sustainable lifestyles, support and strengthen good governance for sustainability and promote adaptive resource management for water, agriculture and energy.</w:t>
      </w:r>
    </w:p>
    <w:p>
      <w:r>
        <w:t>POSSIBLE 2026: Electrification pathways for passenger cars: A comparative analysis of China and Europe — https://doi.org/10.1016/j.esr.2026.102369</w:t>
      </w:r>
    </w:p>
    <w:p>
      <w:r>
        <w:t>Shared claim-specific concepts: pathways, support, vulnerabilities, shows; EU scope visible. This is a provisional connection, not an outcome finding.</w:t>
      </w:r>
    </w:p>
    <w:p>
      <w:r>
        <w:t>Available abstract (not full text): China and Europe have made significant progress in the electrification of mobility, but they differ substantially in their policy approaches and institutional frameworks. This paper presents a comparative analysis of their electrification pathways, focusing on the motivations, policy strategies, and challenges associated with scaling up electric-vehicle adoption. The study aims to: (i) examine the policy measures implemented in each region; (ii) assess outcomes in terms of market growth, infrastructure development, and industrial competitiveness; and (iii) identify key similarities and differences while deriving lessons to support transport-sector decarbonization. The comparison of battery electric vehicles (BEVs) and comparable diesel vehicles shows substantial regional differences in economic competitiveness. Based on Total Cost of Ownership analysis, BEVs are approximately 17% cheaper than diesel vehicles in China, while diesel vehicles remain about 25% cheaper than BEVs in Europe, reflecting differences in policy, market, energy, and industrial conditions. China's state-led approach has supported rapid market expansion, cost reductions, and industrial competitiveness, with local governments implementing targeted measures to promote battery-electric-vehicle adoption. In contrast, Europe relies more heavily on cooperation between public and private stakeholders, emphasizing l</w:t>
      </w:r>
    </w:p>
    <w:p>
      <w:r>
        <w:t>POSSIBLE 2026: The European Society of Cataract and Refractive Surgeons Cataract Simulation Curriculum: Wet Lab and Virtual Reality Pathways to Competency — https://doi.org/10.1097/j.jcrs.0000000000002036</w:t>
      </w:r>
    </w:p>
    <w:p>
      <w:r>
        <w:t>Shared claim-specific concepts: pathways, support, moving; EU scope visible. This is a provisional connection, not an outcome finding.</w:t>
      </w:r>
    </w:p>
    <w:p>
      <w:r>
        <w:t>Available abstract (not full text): Cataract surgery training across Europe remains heterogeneous despite high procedural demand, and a harmonized simulation pathway is lacking. This Special Report proposes an ESCRS cataract simulation curriculum that national training bodies and educators can adapt to existing programmes. It synthesizes European training surveys, evidence on simulation-related performance and safety benefits, and European Society of Cataract and Refractive Surgery (ESCRS) educational infrastructure. The pathway comprises entry assessment, foundation skills, core phacoemulsification, complication management, supervised operating-room progression, and maintenance of competency. Progression is based on objective virtual reality (VR) metrics or structured wet-lab scoring combined with workplace-based assessments. Model-eye and VR modalities are mapped to complementary stages of training, and implementation is framed around national portfolio integration, regional hubs, the ESCRS Moving Simulator, sustainability metrics, and equity monitoring. A standardized but locally adaptable curriculum may improve readiness for live surgery, support maintenance of competency, and promote safer, more equitable cataract training.</w:t>
      </w:r>
    </w:p>
    <w:p>
      <w:r>
        <w:t>POSSIBLE 2025: Pathways to a strong Social Europe — https://doi.org/10.31235/osf.io/zgjaf_v1</w:t>
      </w:r>
    </w:p>
    <w:p>
      <w:r>
        <w:t>Shared claim-specific concepts: pathways, support, vulnerabilities; EU scope visible. This is a provisional connection, not an outcome finding.</w:t>
      </w:r>
    </w:p>
    <w:p>
      <w:r>
        <w:t>Available abstract (not full text): As Europe grapples with geopolitical tensions, economic instability, demographic change and rising populism, the role of Social Europe has never been more critical. The COVID-19 pandemic exposed significant vulnerabilities in social protection and health systems across the European Union (EU), but it also accelerated the development of temporary measures like the Support to mitigate Unemployment Risks in an Emergency (SURE) and the Recovery and Resilience Facility (RRF), demonstrating the potential for stronger EU-wide social policies. However, five years later, new crises have emerged, from the war in Ukraine and in the Middle East, which have heightened security concerns across the continent, to escalating natural disasters. Amid these challenges that threaten European welfare models, a crucial question remains: Has Social Europe been reinforced in a lasting and sustainable way, or were these measures merely temporary solutions?This paper highlights the need for strong social policies in the current era of geopolitical volatilities and sets out policy recommendations to ensure a pathway to a stronger social Europe.</w:t>
      </w:r>
    </w:p>
    <w:p>
      <w:r>
        <w:t>POSSIBLE 2025: Pathways to Inclusion? Labor Market Entry Trajectories of Persons With Disabilities in Europe — https://doi.org/10.17645/si.9603</w:t>
      </w:r>
    </w:p>
    <w:p>
      <w:r>
        <w:t>Shared claim-specific concepts: pathways, support, reduce, those; EU scope visible. This is a provisional connection, not an outcome finding.</w:t>
      </w:r>
    </w:p>
    <w:p>
      <w:r>
        <w:t>Available abstract (not full text): Almost a fifth of the population in OECD countries report having a disability and the proportion of students classified as having special educational needs (SEN) has steadily increased over recent decades. While this group faces marginalization in schooling and employment everywhere, there are profound differences in disability‐based disadvantages across countries. However, comparative research on the labor market opportunities of persons with disabilities (PwDs) remains limited, especially regarding school‐to‐work transitions (STWT) that are crucial for subsequent labor market opportunities. Thus, lacking comparative knowledge on how institutional contexts shape these transitions also limits opportunities for policy learning and improvement of supports provided. This study addresses these gaps by analysing longitudinal data from the European Statistics on Income and Living Conditions (EU‐SILC). First, using sequence and cluster analysis, we classify these trajectories and provide an in‐depth analysis of labor market entry patterns for PwDs compared to those without disabilities across 31 European countries. Second, we explore whether the timing of first employment, instability during the STWT, as well as inclusionary or exclusionary transitions vary between these groups and how the disparities between persons with and without disabilities regarding these indicators are related</w:t>
      </w:r>
    </w:p>
    <w:p>
      <w:r>
        <w:t>POSSIBLE 2023: Homopositivity Across Europe: Predictors, Pathways, and Moderators — https://doi.org/10.1007/s10508-023-02531-8</w:t>
      </w:r>
    </w:p>
    <w:p>
      <w:r>
        <w:t>Shared claim-specific concepts: pathways, socioeconomic, those; EU scope visible. This is a provisional connection, not an outcome finding.</w:t>
      </w:r>
    </w:p>
    <w:p>
      <w:r>
        <w:t>Available abstract (not full text): Although homopositivity, the attitudinal acceptance of homosexuality, has generally increased across Western societies, there remains considerable homonegativity across certain regions of the world as well as certain demographic and socioeconomic groups. Although previous cross-national research has successfully identified the key factors affecting homopositive attitudes, the literature neglects both potentially key mediation pathways and moderating interactions between those factors that may unlock more nuanced understanding of these variations in homopositive attitudes across individuals and places. In response, the present study innovatively applied a multivariate structural equation modelling approach to the latest Wave 9 (2018 data) of the large-scale cross-national European Social Survey data in order to shed new light on these currently neglected predictors, pathways, and moderating influences on homopositive attitudes. It used a three-item latent variable to measure the homopositive attitudes outcomes construct. Its explanatory variables were focused across three key sets of factors identified in theoretical and empirical literature (socioeconomics, religiosity, and values) alongside various wider controls. Our analyses made several innovative methodological and empirical contributions to existing debate. Key innovative findings include the original identification of im</w:t>
      </w:r>
    </w:p>
    <w:p>
      <w:r>
        <w:t>POSSIBLE 2023: Challenges and potential pathways towards sustainable agriculture within the European Green Deal — https://doi.org/10.1016/j.agsy.2023.103634</w:t>
      </w:r>
    </w:p>
    <w:p>
      <w:r>
        <w:t>Shared claim-specific concepts: pathways, support, vision; EU scope visible. This is a provisional connection, not an outcome finding.</w:t>
      </w:r>
    </w:p>
    <w:p>
      <w:r>
        <w:t>Available abstract (not full text): Agriculture plays a central role in the European Green Deal with various policies and strategies converging to promote sustainable agriculture and food systems. The Farm to Fork strategy approaches agriculture from a sustainable food systems perspective. Sustainable agriculture is also central in the European Biodiversity strategy, in the Long-term vision for EU Rural areas and in the Soil strategy. Despite clear policy objectives, there is still a long way towards an effective transition towards sustainable agriculture based on integrated, science based, solutions. This paper aims to contribute to the debate on the challenges and opportunities for the transition towards a sustainable agriculture in Europe, the role of European policies and practical approaches. We reviewed policy documents, scientific literature and global data to reflect on the vision of the Farm to Fork and other European strategies affecting sustainable agriculture, focussing on which policy instruments are foreseen to reach their objectives, which are the key-challenges related to achieve more sustainable farming, and on possible approaches to attain sustainable agriculture. We provide an overview of synergies and shared objectives between different European policies and strategies aiming to support the transition to sustainable agriculture from environmental, social and economic perspectives. We identifie</w:t>
      </w:r>
    </w:p>
    <w:p>
      <w:r>
        <w:t>POSSIBLE 2022: Perspective on the hydrogen economy as a pathway to reach net-zero CO 2 emissions in Europe — https://doi.org/10.1039/d1ee02118d</w:t>
      </w:r>
    </w:p>
    <w:p>
      <w:r>
        <w:t>Shared claim-specific concepts: emissions; EU scope visible. This is a provisional connection, not an outcome finding.</w:t>
      </w:r>
    </w:p>
    <w:p>
      <w:r>
        <w:t>Available abstract (not full text): The envisioned role of hydrogen in the energy transition – or the concept of a hydrogen economy – has varied through the years.</w:t>
      </w:r>
    </w:p>
    <w:p>
      <w:r>
        <w:t>POSSIBLE 2021: Protective genes and pathways in Alzheimer’s disease: moving towards precision interventions — https://doi.org/10.1186/s13024-021-00452-5</w:t>
      </w:r>
    </w:p>
    <w:p>
      <w:r>
        <w:t>Shared claim-specific concepts: pathways, moving, shift; EU scope not established. This is a provisional connection, not an outcome finding.</w:t>
      </w:r>
    </w:p>
    <w:p>
      <w:r>
        <w:t xml:space="preserve">Available abstract (not full text): Alzheimer's disease (AD) is a progressive, neurodegenerative disorder that is characterized by neurodegeneration, cognitive impairment, and an eventual inability to perform daily tasks. The etiology of Alzheimer's is complex, with numerous environmental and genetic factors contributing to the disease. Late-onset AD is highly heritable (60 to 80%), and over 40 risk loci for AD have been identified via large genome-wide association studies, most of which are common variants with small effect sizes. Although these discoveries have provided novel insight on biological contributors to AD, disease-modifying treatments remain elusive. Recently, the concepts of resistance to pathology and resilience against the downstream consequences of pathology have been of particular interest in the Alzheimer's field as studies continue to identify individuals who evade the pathology of the disease even into late life and individuals who have all of the neuropathological features of AD but evade downstream neurodegeneration and cognitive impairment. It has been hypothesized that a shift in focus from Alzheimer's risk to resilience presents an opportunity to uncover novel biological mechanisms of AD and to identify promising therapeutic targets for the disease. This review will highlight a selection of genes and variants that have been reported to confer protection from AD within the literature and </w:t>
      </w:r>
    </w:p>
    <w:p>
      <w:r>
        <w:t>POSSIBLE 2021: Marketing Farmers’ Varieties in Europe: Encouraging Pathways with Missing Links for the Recognition and Support of Farmer Seed Systems — https://doi.org/10.3390/agronomy11112159</w:t>
      </w:r>
    </w:p>
    <w:p>
      <w:r>
        <w:t>Shared claim-specific concepts: pathways, support, shows; EU scope visible. This is a provisional connection, not an outcome finding.</w:t>
      </w:r>
    </w:p>
    <w:p>
      <w:r>
        <w:t>Available abstract (not full text): Farmer seed systems come in many shades: Conserving, producing, and using diverse plant material for different motives and purposes, whether the conservation or selection of locally adapted plant varieties and populations, or the safeguard of social bonds to secure economic stability and integration into rural communities. In Europe, strict seed marketing rules, by viewing any exchange of seeds as commercial exploitation, have first outlawed these farmer seed systems and the varieties conserved and developed in these systems, before carving out limited space for them as derogations to the main regime that remains based on mandatory variety registration and certified seed production. Examining these spaces in the legislation of the European Union (‘EU’) and Switzerland, along with their practical implications on the ground, the article shows the conceptual shortcomings of the EU legislation to fully address all the characteristics of farmer seed systems, especially to recognize farmers’ innovation. It exposes the need to carefully define, assess and adjust the underlying objectives of the future EU legislative effort to register farmers’ varieties or allow for their exchange, to fully represent and address the complex socio-economic values and diversity of farmer seed systems. The success of these endeavors will lie in the truthful representation, but also the engagement of farm</w:t>
      </w:r>
    </w:p>
    <w:p>
      <w:r>
        <w:t>POSSIBLE 2021: Unraveling pathways of elevated ozone induced by the 2020 lockdown in Europe by an observationally constrained regional model using TROPOMI — https://doi.org/10.5194/acp-21-18227-2021</w:t>
      </w:r>
    </w:p>
    <w:p>
      <w:r>
        <w:t>Shared claim-specific concepts: pathways, support, gas, emissions, those; EU scope visible. This is a provisional connection, not an outcome finding.</w:t>
      </w:r>
    </w:p>
    <w:p>
      <w:r>
        <w:t>Available abstract (not full text): Abstract. Questions about how emissions are changing during the COVID-19 lockdown periods cannot be answered by observations of atmospheric trace gas concentrations alone, in part due to simultaneous changes in atmospheric transport, emissions, dynamics, photochemistry, and chemical feedback. A chemical transport model simulation benefiting from a multi-species inversion framework using well-characterized observations should differentiate those influences enabling to closely examine changes in emissions. This approach has another advantage in that we can, to a certain extent, disentangle the chemical and physical processes involved in the formation of ozone. Accordingly, we jointly constrain NOx and VOC emissions using well-characterized TROPOMI HCHO and NO2 columns during the months of March, April, and May 2020 (lockdown) and 2019 (baseline). We observe a noticeable decline in the magnitude of NOx emissions in March 2020 (14–31 %) in several major cities including Paris, London, Madrid, and Milan expanding further to Rome, Brussels, Frankfurt, Warsaw, Belgrade, Kyiv, and Moscow (34–51 %) in April. The large variability of changes in NOx emissions is indicative of different dates and the degree of restrictions enacted to prevent the spread of the virus. For instance, NOx emissions remain at somewhat similar values or even higher in northern Germany and Moscow in March 2020 com</w:t>
      </w:r>
    </w:p>
    <w:p>
      <w:r>
        <w:t>POSSIBLE 2020: NORA moving forward: Developing an oyster restoration network in Europe to support the Berlin Oyster Recommendation — https://doi.org/10.1002/aqc.3447</w:t>
      </w:r>
    </w:p>
    <w:p>
      <w:r>
        <w:t>Shared claim-specific concepts: support, moving, enhance; EU scope visible. This is a provisional connection, not an outcome finding.</w:t>
      </w:r>
    </w:p>
    <w:p>
      <w:r>
        <w:t>Available abstract (not full text): Abstract The Native Oyster Restoration Alliance (NORA) supports the protection and ecological restoration of the native European oyster, Ostrea edulis , and its habitat across its current and historical biogeographical range. NORA works to overcome barriers to the conservation, restoration, and recovery of the European oyster by providing a platform for the NORA community to collaborate and participate in knowledge exchange. NORA seeks to support responsible restoration practice, in compliance with biosecurity and sustainability. Against this background, the NORA community formulated a series of specific recommendations, the Berlin Oyster Recommendation, to support native oyster restoration by developing and applying best practice with the aim to recover healthy and resilient marine ecosystems. In combination with the Standards for Ecological Restoration (SER) and the Restoration Guidelines for Shellfish Reefs, the Berlin Oyster Recommendation is a relevant tool for successful and sustainable oyster restoration in Europe. The establishment of NORA working groups will support the implementation and further development of the six corresponding recommendations. Current NORA working groups cover site selection, biosecurity, production, and monitoring. The site selection working group will address the identification of suitable sites for oyster restoration to support policy relevant</w:t>
      </w:r>
    </w:p>
    <w:p>
      <w:r>
        <w:t>POSSIBLE 2020: Moving Toward an Agenda on Ocean Health and Human Health in Europe — https://doi.org/10.3389/fmars.2020.00037</w:t>
      </w:r>
    </w:p>
    <w:p>
      <w:r>
        <w:t>Shared claim-specific concepts: moving, actions, well-being; EU scope visible. This is a provisional connection, not an outcome finding.</w:t>
      </w:r>
    </w:p>
    <w:p>
      <w:r>
        <w:t>Available abstract (not full text): The integrated study of ocean health and human health is an emerging area of increasing global importance. Growing evidences demonstrate that the health of the ocean and the health of humans have always been and will continue to be, inextricably linked. Our actions towards the oceans will significantly influence the future of the whole planet and, in turn, our own health. The current review of these issues arose from a summer school in San Sebastian (Spain), from 5th-7th June, 2019. An interdisciplinary group of researchers discussed key risks (e.g. microbial pollution, pharmaceuticals, harmful algal blooms, plastic pollution) and benefits (e.g. bathing waters, recreation, tourism) of the seas and global ocean for humanity; and debated the future priorities and potential actions for a joint Oceans and Human Health research and governance programme in Europe. The aim of this review is to contribute to the emerging scientific agenda on ocean health and human health, as well as coordinate efforts with stakeholders, policy makers and the general public. This agenda operates within the larger context of the upcoming United Nations Decade of Ocean Science for Sustainable Development: 2021-2030, which strives to achieve the Sustainable Development Goals (SDG), including healthy (human) lives and well-being (SDG3) and conserving and sustainably using the oceans (SDG14), among others. I</w:t>
      </w:r>
    </w:p>
    <w:p>
      <w:pPr>
        <w:pStyle w:val="Heading2"/>
      </w:pPr>
      <w:r>
        <w:t>When will European Muslim population be majority and in which country?</w:t>
      </w:r>
    </w:p>
    <w:p>
      <w:r>
        <w:t>Original source (2019): https://doi.org/10.1108/prr-12-2018-0034</w:t>
      </w:r>
    </w:p>
    <w:p>
      <w:r>
        <w:t>Original wording (abstract; indexed_source_text_not_full_document_verified): Findings Among three scenarios, the most likely mid-point migration scenario identifies 13 countries where the Muslim population will be majority between years 2085 and 2215: Cyprus (in year 2085), Sweden (2125), France (2135), Greece (2135), Belgium (2140), Bulgaria (2140), Italy (2175), Luxembourg (2175), the UK (2180), Slovenia (2190), Switzerland (2195), Ireland (2200) and Lithuania (2215). Three scenarios are considered: the zero-migration scenario where the authors assume that the Muslim population has a higher fertility (one child more per woman, on average) than other Europeans, mirroring a global pattern; a 2017 migration scenario: to the Muslim population obtained in the zero-migration scenario, the authors add a continuous flow of migrants every year based on year 2017; the mid-point migration scenario is obtained by averaging the data of the two previous scenarios.</w:t>
      </w:r>
    </w:p>
    <w:p>
      <w:r>
        <w:t>POSSIBLE 2026: Exploring the genetic diversity of recent Ralstonia pseudosolanacearum phylotype I findings in Europe — https://doi.org/10.1007/s10658-026-03191-9</w:t>
      </w:r>
    </w:p>
    <w:p>
      <w:r>
        <w:t>Shared claim-specific concepts: findings, among, three, countries; EU scope visible. This is a provisional connection, not an outcome finding.</w:t>
      </w:r>
    </w:p>
    <w:p>
      <w:r>
        <w:t>Available abstract (not full text): Abstract The increasing prevalence of Ralstonia pseudosolanacearum phylotype I (phy I) in agricultural regions across Europe highlights the need for heightened awareness and preventive measures. Recent detections in multiple European countries spam a range of agricultural systems, host plants, and natural aquatic environments. These findings have been linked either to infected plant material at import (interceptions) or to plants cultivated in specific European regions, often after importation of infected plant material. To investigate the genetic diversity of these emerging populations, we analysed whole-genome sequence (WGS) data from a collection of 62 R. pseudosolanacearum phy I isolates, including those recently obtained in various European countries, using average nucleotide analysis (ANI) and and core genome multilocus sequence typing (cgMLST). ANI analysis revealed two distinct major clades: the "rose clade", comprising isolates from rose, potato, surface water, and bittersweet, most closely matching with sequevar 33, and the "ginger clade", including isolates from members of the Zingiberaceae family, with the best match to sequevar 30. A third smaller clade was also identified consisting of two R. pseudosolanacearum phy I isolates from tomato corresponding to sequevar 18 ("tomato clade"). Pathogenicity assays were performed on tomato to deduce information on the biolog</w:t>
      </w:r>
    </w:p>
    <w:p>
      <w:r>
        <w:t>POSSIBLE 2026: CSR and cost of debt in three European countries — https://doi.org/10.1007/s43621-026-03822-5</w:t>
      </w:r>
    </w:p>
    <w:p>
      <w:r>
        <w:t>Shared claim-specific concepts: findings, among, three, likely, countries, between; EU scope visible. This is a provisional connection, not an outcome finding.</w:t>
      </w:r>
    </w:p>
    <w:p>
      <w:r>
        <w:t>Available abstract (not full text): Our study examines the impact of Corporate Social Responsibility (CSR) on the weighted average cost of capital and interest-bearing cost of debt to understand how a company's ethical, environmental, and social practices influence its financial performance, particularly the cost of obtaining funds. Our sample includes firms from three major European markets: Germany, France, and Italy. European companies with strong CSR practices are often less risky because they are more likely to avoid environmental fines and reputational damage. Lower risk can lead to a reduced cost of capital. Hence, we want to provide a comparative analysis of these markets. This paper employs an analytical approach grounded in the results of the original research. ESG and its components affect the cost of capital (weighted average cost of capital, cost of debt). Implementing CSR practices will likely reduce firm risk and cost of capital. A firm may attract investors by focusing on sustainable or ethical investments. CSR practices can be viewed more favorably by credit rating agencies and, consequently, lenders, which can improve a company's financial position by implying the ability to raise capital at a lower cost, resulting in better financial outcomes. Corporate social responsibility (CSR) is actively studied today. European countries are among the world's best in terms of Sustainability. We focus on CS</w:t>
      </w:r>
    </w:p>
    <w:p>
      <w:r>
        <w:t>POSSIBLE 2025: P-529 Fertility knowledge among european adolescents: findings from the “FActs!” serious educational game — https://doi.org/10.1093/humrep/deaf097.835</w:t>
      </w:r>
    </w:p>
    <w:p>
      <w:r>
        <w:t>Shared claim-specific concepts: findings, among, three, countries, between, bulgaria; EU scope visible. This is a provisional connection, not an outcome finding.</w:t>
      </w:r>
    </w:p>
    <w:p>
      <w:r>
        <w:t>Available abstract (not full text): Abstract Study question What is the level of fertility awareness among European adolescents? Summary answer European adolescents show limited fertility knowledge with variations by country, gender, and age. FActs! demonstrated effectiveness in identifying gaps, highlighting the need for timely education. What is known already With rising infertility rates, delayed parenthood trends, and evolving societal norms, fertility education has become a critical component of informed reproductive decisions. Adolescence represents an optimal period for learning, as it can foster realistic reproductive expectations, encourage timely childbearing when desired, and promote early care-seeking for infertility. However, studies suggest that adolescents have limited knowledge, particularly regarding risk factors like age and lifestyle, which may lead to suboptimal reproductive decisions. To address this gap, we assessed the fertility knowledge of 15- to 18-year-old European adolescents using the online serious educational game FActs!-a digital intervention designed to enhance fertility awareness. Study design, size, duration This cross-sectional study was conducted between July 2023 and November 2024 in secondary schools across Bulgaria, Norway, Poland, and Portugal. Participants were introduced to FActs! by representatives of national fertility patient associations affiliated with Fertility Eur</w:t>
      </w:r>
    </w:p>
    <w:p>
      <w:r>
        <w:t>POSSIBLE 2023: Lifetime impact of achondroplasia study in Europe (LIAISE): findings from a multinational observational study — https://doi.org/10.1186/s13023-023-02652-2</w:t>
      </w:r>
    </w:p>
    <w:p>
      <w:r>
        <w:t>Shared claim-specific concepts: findings, among, countries, population, between; EU scope visible. This is a provisional connection, not an outcome finding.</w:t>
      </w:r>
    </w:p>
    <w:p>
      <w:r>
        <w:t>Available abstract (not full text): BACKGROUND: Achondroplasia, caused by a pathogenic variant in the fibroblast growth factor receptor 3 gene, is the most common skeletal dysplasia. The Lifetime Impact of Achondroplasia Study in Europe (LIAISE; NCT03449368) aimed to quantify the burden of achondroplasia among individuals across a broad range of ages, including adults. METHODS: Demographic, clinical and healthcare resource use data were collected from medical records of achondroplasia patients enrolled in 13 sites across six European countries in this retrospective, observational study. Descriptive statistics or event rates per 100 person-years were calculated and compared across age groups as well as by history of limb lengthening. Patient-reported outcomes (quality of life [QoL], pain, functional independence, work productivity and activity impairments) were evaluated using questionnaires at the time of enrolment. An exploratory analysis investigated correlations between height (z-score or centimetres) and patient-reported outcomes. RESULTS: Overall, 186 study patients were included, with a mean age of 21.7 ± 17.3 years (range 5.0-84.4). At least one complication or surgery was reported for 94.6% and 72.0% of patients, respectively, at a rate of 66.6 and 21.5 events per 100 person-years. Diverse medical and surgical complications were reported for all ages in a bimodal distribution, occurring more frequently in</w:t>
      </w:r>
    </w:p>
    <w:p>
      <w:r>
        <w:t>POSSIBLE 2023: Bronchiectasis in Europe: data on disease characteristics from the European Bronchiectasis registry (EMBARC) — https://doi.org/10.1016/s2213-2600(23)00093-0</w:t>
      </w:r>
    </w:p>
    <w:p>
      <w:r>
        <w:t>Shared claim-specific concepts: findings, countries, between;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2023: On Virtual Mobility in Three Central European Universities: Similar but Different? — https://doi.org/10.22381/kc11320235</w:t>
      </w:r>
    </w:p>
    <w:p>
      <w:r>
        <w:t>Shared claim-specific concepts: findings, among, three, between; EU scope visible. This is a provisional connection, not an outcome finding.</w:t>
      </w:r>
    </w:p>
    <w:p>
      <w:r>
        <w:t>Available abstract (not full text): This article examines the patterns and determinants of virtual mobility among students in the social sciences and humanities at three universities in Central Europe: University of Hradec Kralove (HKU) in the Czech Republic, Adam Mickiewicz University, Poznan (AMU) in Poland and Constantine the Philosopher University in Nitra (UKF) in Slovakia. Virtual mobility, a form of international cooperation facilitated by information and communication technologies, has become increasingly important, especially during the COVID-19 pandemic. The study investigates students’ motivation, resources and experiences in this form of mobility. Findings show that a similar percentage of students participated in both physical and virtual mobility across the three universities, with over 60% not participating in any form of mobility. Work experience significantly impacted participation, as students with employment records were likelier to participate. Gender and level of study did not have a significant influence on participation. Noticeable differences in motivation were observed between universities, with students at the AMU demonstrating a higher level of motivation for virtual mobility. The study also revealed differences in students’ perceptions of technical resources and organisational effectiveness for virtual mobility.</w:t>
      </w:r>
    </w:p>
    <w:p>
      <w:r>
        <w:t>POSSIBLE 2022: The burden of mental disorders, substance use disorders and self-harm among young people in Europe, 1990–2019: Findings from the Global Burden of Disease Study 2019 — https://doi.org/10.1016/j.lanepe.2022.100341</w:t>
      </w:r>
    </w:p>
    <w:p>
      <w:r>
        <w:t>Shared claim-specific concepts: findings, among, countries, population; EU scope visible. This is a provisional connection, not an outcome finding.</w:t>
      </w:r>
    </w:p>
    <w:p>
      <w:r>
        <w:t>Available abstract (not full text): Background: Mental health is a public health issue for European young people, with great heterogeneity in resource allocation. Representative population-based studies are needed. The Global Burden of Disease (GBD) Study 2019 provides internationally comparable information on trends in the health status of populations and changes in the leading causes of disease burden over time. Methods: Prevalence, incidence, Years Lived with Disability (YLDs) and Years of Life Lost (YLLs) from mental disorders (MDs), substance use disorders (SUDs) and self-harm were estimated for young people aged 10-24 years in 31 European countries. Rates per 100,000 population, percentage changes in 1990-2019, 95% Uncertainty Intervals (UIs), and correlations with Sociodemographic Index (SDI), were estimated. Findings: In 2019, rates per 100,000 population were 16,983 (95% UI 12,823 - 21,630) for MDs, 3,891 (3,020 - 4,905) for SUDs, and 89·1 (63·8 - 123·1) for self-harm. In terms of disability, anxiety contributed to 647·3 (432-912·3) YLDs, while in terms of premature death, self-harm contributed to 319·6 (248·9-412·8) YLLs, per 100,000 population. Over the 30 years studied, YLDs increased in eating disorders (14·9%;9·4-20·1) and drug use disorders (16·9%;8·9-26·3), and decreased in idiopathic developmental intellectual disability (-29·1%;23·8-38·5). YLLs decreased in self-harm (-27·9%;38·3-18·7). Variatio</w:t>
      </w:r>
    </w:p>
    <w:p>
      <w:r>
        <w:t>POSSIBLE 2022: Oral health and quality of life: findings from the Survey of Health, Ageing and Retirement in Europe — https://doi.org/10.1186/s12903-022-02599-z</w:t>
      </w:r>
    </w:p>
    <w:p>
      <w:r>
        <w:t>Shared claim-specific concepts: findings, among, three, between; EU scope visible. This is a provisional connection, not an outcome finding.</w:t>
      </w:r>
    </w:p>
    <w:p>
      <w:r>
        <w:t>Available abstract (not full text): BACKGROUND: The aim of this study was to clarify the link between oral health and quality of life among older adults in Europe. METHODS: Cross-sectional data from wave 5 (n = 59,048 observations) were used from the representative Survey of Health, Ageing and Retirement in Europe. Oral health was quantified by three questions: presence of all natural teeth (yes; no); among individuals with missing natural teeth, the number of missing teeth and the extent of replaced natural teeth were quantified. Quality of life was quantified using the widely used CASP-12. Multiple linear regressions were used to determine the association between oral health and quality of life, adjusting for various potential confounders. RESULTS: Multiple linear regressions showed that higher quality of life was associated with (1) the presence of all natural teeth and among individuals with missing natural teeth, with (2) a lower number of missing natural teeth and (3) completely replaced natural teeth. Additionally, quality of life was positively associated with younger age, being female, being married or in a partnership, higher income, higher educational level, not currently smoking, a lower number of functional impairments, better self-rated health, a lower number of depressive symptoms and a lower number of chronic diseases. CONCLUSION: Study findings showed an association between oral health and qualit</w:t>
      </w:r>
    </w:p>
    <w:p>
      <w:r>
        <w:t>POSSIBLE 2021: Digital Inequality Among States at a European Level — https://doi.org/10.4018/ijdldc.291969</w:t>
      </w:r>
    </w:p>
    <w:p>
      <w:r>
        <w:t>Shared claim-specific concepts: findings, among, three, identifies, countries; EU scope visible. This is a provisional connection, not an outcome finding.</w:t>
      </w:r>
    </w:p>
    <w:p>
      <w:r>
        <w:t>Available abstract (not full text): For the past 25 years, digital inequalities have been analyzed by several scholars. Many empirical studies have shaped a theoretical framework that identifies three main digital divides. However, most of the scientific contributions have been focusing on digital inequalities within countries, leaving inequalities among countries behind. This paper aims at analyzing what kind of digital inequalities emerge among European countries, focusing on the trends that characterized Europe in the last decade, to consider whether some of the main elements of the digital divide literature replicate at the continental level. The paper analyzes secondary data, mainly retrieved from Eurostat. It emerges that inequalities in digital skills and use of the web persist in Europe, and some of the trends that scholars found among individuals are identifiable among countries as well. These findings contribute to the description of digital inequalities, a social phenomenon not so deeply studied at the continental level.</w:t>
      </w:r>
    </w:p>
    <w:p>
      <w:r>
        <w:t>POSSIBLE 2021: Seroprevalence of SARS-CoV-2 IgG antibodies among health care workers prior to vaccine administration in Europe, the USA and East Asia: A systematic review and meta-analysis — https://doi.org/10.1016/j.eclinm.2021.100770</w:t>
      </w:r>
    </w:p>
    <w:p>
      <w:r>
        <w:t>Shared claim-specific concepts: findings, among, three, countries, considered; EU scope visible. This is a provisional connection, not an outcome finding.</w:t>
      </w:r>
    </w:p>
    <w:p>
      <w:r>
        <w:t>Available abstract (not full text): BACKGROUND: Knowing the seroprevalence of SARS-CoV-2 IgG antibodies across geographic regions before vaccine administration is one key piece of knowledge to achieve herd immunity. While people of all ages, occupations, and communities are at risk of getting infected with SARS-CoV-2, the health care workers (HCWs) are possibly at the highest risk. Most seroprevalence surveys with HCWs conducted worldwide have been limited to Europe, North America, and East Asia. We aimed to understand how the seroprevalence of SARS-CoV-2 IgG antibodies varied across these geographic regions among HCWs based on the available evidences. METHODS: statistics. We performed sensitivity analyses based on sample size, diagnostic method and publication status. The study protocol was registered with PROSPERO (CRD42020219086). FINDINGS: A total of 53 peer-reviewed articles were selected, including 173,353 HCWs (32.7% male) from the United States, ten European, and three East Asian countries. The overall seropositive prevalence rate of IgG antibodies was 8.6% in these regions (95% CI= 7.2-9.9%). Pooled seroprevalence of IgG antibodies was higher in studies conducted in the USA (12.4%, 95% CI= 7.8-17%) than in Europe (7.7%, 95% CI=6.3-9.2%) and East Asia (4.8%, 95% CI=2.9-6.7%). The subgroup study also estimated that male HCWs had 9.4% (95% CI= 7.2-11.6%) IgG seroconversion, and female HCWs had 7.8% (95% CI=</w:t>
      </w:r>
    </w:p>
    <w:p>
      <w:r>
        <w:t>POSSIBLE 2020: How Many Older Informal Caregivers Are There in Europe? Comparison of Estimates of Their Prevalence from Three European Surveys — https://doi.org/10.3390/ijerph17249531</w:t>
      </w:r>
    </w:p>
    <w:p>
      <w:r>
        <w:t>Shared claim-specific concepts: findings, among, three, countries, population, between; EU scope visible. This is a provisional connection, not an outcome finding.</w:t>
      </w:r>
    </w:p>
    <w:p>
      <w:r>
        <w:t>Available abstract (not full text): Informal caregivers are people providing some type of unpaid, ongoing assistance to a person with a chronic illness or disability. Long-term care measures and policies cannot take place without taking into account the quantitatively crucial role played by informal caregivers. We use the European Health Interview Survey (EHIS), the European Quality of Life Survey (EQLS), and the Study on Health and Ageing in Europe (SHARE) to measure the prevalence of informal caregivers in the European population, and analyze associated socio-demographic factors. This rate ranges between about 13 percent in Portugal and Spain, and more than 22 percent in Luxembourg, Belgium, and Denmark. It declines in older age groups and, on average, is lower in men than in women in all countries studied, and lower among the poorly educated compared to those with higher levels of education. However, large variance was observed in the average share of informal caregivers for most countries between the three surveys. Our findings, estimated through the three surveys, reveal common trends, but also a series of disparities. Additional research will be needed to enable policy makers to access a richer and more harmonized body of data, allowing them to adopt truly evidence-based and targeted policies and interventions in this field.</w:t>
      </w:r>
    </w:p>
    <w:p>
      <w:r>
        <w:t>POSSIBLE 2020: Physical Inactivity among Ghanaians in Ghana and Ghanaian Migrants in Europe — https://doi.org/10.1249/mss.0000000000002357</w:t>
      </w:r>
    </w:p>
    <w:p>
      <w:r>
        <w:t>Shared claim-specific concepts: findings, among, three; EU scope visible. This is a provisional connection, not an outcome finding.</w:t>
      </w:r>
    </w:p>
    <w:p>
      <w:r>
        <w:t>Available abstract (not full text): PURPOSE: There is a paucity of data on physical activity (PA) among migrants from sub-Saharan Africa, yet physical inactivity is a key risk factor for noncommunicable diseases. We examined the levels of physical inactivity and its determinants among Ghanaians in different geographical locations. METHODS: We used the Research on Obesity and Diabetes among African Migrants data of Ghanaian adults (n = 4760) age 25-70 yr in rural and urban Ghana and three European cities (Amsterdam, London, and Berlin). Using total physical activity metabolic equivalent of task, physical inactivity was defined as total physical activity metabolic equivalent of task minutes per week less than 600. Logistic regression was used to examine the differences in the levels and the determinants of physical inactivity across sites. RESULTS: Physical inactivity was higher among Ghanaian migrants (14.6% in Amsterdam, 24.1% in Berlin, and 36.6% in London) and urban Ghanaians (29.0%) compared with rural Ghanaians (11.2%). After adjustment for covariates (age, sex, education, health status, smoking status, body mass index, and social network) using rural Ghanaians as the comparator group, the odds ratios for physical inactivity in men ranged from 3.67 (95% confidence interval, 2.19-6.16) in urban Ghanaians to 10.37 (5.96-18.02) in London Ghanaians, and from 3.27 (2.46-4.35) in urban Ghanaians to 4.41 (3.12-6.22)</w:t>
      </w:r>
    </w:p>
    <w:p>
      <w:pPr>
        <w:pStyle w:val="Heading2"/>
      </w:pPr>
      <w:r>
        <w:t>Will we reach the Sustainable Development Goals target for tuberculosis in the European Union/European Economic Area by 2030?</w:t>
      </w:r>
    </w:p>
    <w:p>
      <w:r>
        <w:t>Original source (2019): https://doi.org/10.2807/1560-7917.es.2019.24.12.1900153</w:t>
      </w:r>
    </w:p>
    <w:p>
      <w:r>
        <w:t>Original wording (abstract; indexed_source_text_not_full_document_verified): With the current average decline in notification rate and number of TB deaths however, the EU/EEA will not reach the targets by 2030.</w:t>
      </w:r>
    </w:p>
    <w:p>
      <w:r>
        <w:t>POSSIBLE 2026: Predicted decline in common bird and butterfly species even under conservation policy scenarios in Europe — https://doi.org/10.1038/s41559-026-03139-6</w:t>
      </w:r>
    </w:p>
    <w:p>
      <w:r>
        <w:t>Shared claim-specific concepts: current, average, decline, however, not, targets; EU scope visible. This is a provisional connection, not an outcome finding.</w:t>
      </w:r>
    </w:p>
    <w:p>
      <w:r>
        <w:t>Available abstract (not full text): In response to increasing human pressures on biodiversity, conservation targets have been set to reduce these pressures and halt biodiversity decline. However, consequences of these objectives on common species are rarely studied. We analyse the effect of a range of drivers related to climate, land use and land-use intensity on 265 common bird and 144 common butterfly species from more than 20,000 sites between 2000 and 2021 across 27 European countries. We use land use and land-use intensity scenarios produced previously using the Intergovernmental Science-Policy Platform on Biodiversity and Ecosystem Services (IPBES) Nature Futures Framework and climate change scenarios to project biodiversity drivers in Europe up to 2050. We translate these driver changes into abundance variations for common bird and butterfly species and for multi-species indicators used to monitor common biodiversity status in Europe. The projected trends relatively improve, while still declining for birds, notably farmland species, under the scenarios meeting conservation objectives, with few effects on butterflies. No scenario shows a stop or a reversal in the average decline in abundance of bird and butterfly species. Our results therefore question the common biodiversity future under current conservation policies and highlight the need for other anticipatory frameworks not implicitly based on a growing</w:t>
      </w:r>
    </w:p>
    <w:p>
      <w:r>
        <w:t>POSSIBLE 2025: Growth decline in European beech associated with temperature-driven increase in reproductive allocation — https://doi.org/10.1073/pnas.2423181122</w:t>
      </w:r>
    </w:p>
    <w:p>
      <w:r>
        <w:t>Shared claim-specific concepts: current, average, decline, not; EU scope visible. This is a provisional connection, not an outcome finding.</w:t>
      </w:r>
    </w:p>
    <w:p>
      <w:r>
        <w:t>Available abstract (not full text):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y⁻¹ between 1980 and 2005 to 1.16 mm y⁻¹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underrecognized indirect mechanism by which climate change endangers forest ecosystems, emphasizing the need to consider interactions between demographic processes when assessing species vulner</w:t>
      </w:r>
    </w:p>
    <w:p>
      <w:r>
        <w:t>POSSIBLE 2025: European Breeding Bird Declines Associated With Narrower Climatic Niches — https://doi.org/10.1111/jbi.15127</w:t>
      </w:r>
    </w:p>
    <w:p>
      <w:r>
        <w:t>Shared claim-specific concepts: average, however, not; EU scope visible. This is a provisional connection, not an outcome finding.</w:t>
      </w:r>
    </w:p>
    <w:p>
      <w:r>
        <w:t xml:space="preserve">Available abstract (not full text): ABSTRACT Aim Anthropogenic climate change has increasingly been identified as a major threat to global biodiversity. However, the extent of this threat is likely to be uneven across species, due to differences in life histories or exposure to environmental change. The range of climatic conditions a species experiences across its range extent, known as the realised climatic niche, may be an indicator of species resilience to climate change. Species with large range extents, occurring across diverse climatic conditions, are expected to be less affected by climate change due to lower physiological constraints and tolerance to a wider range of climates. However, this may not be the case if local populations are adapted to specific environmental conditions. In this study, we investigate whether the extent of the species' realised climatic niche, also known as the climatic niche breadth, is linked to their long‐term population trends. Location Europe. Taxon Birds. Methods We extract climate data across the breeding‐only and resident ranges of 159 European bird species and use an ordination method to produce a representation of the species climatic niches. We then relate the niche breadth of each species to their range area and incorporate this relationship, along with the species' diet, main habitat type, migratory status and average body mass, to investigate their relationship with </w:t>
      </w:r>
    </w:p>
    <w:p>
      <w:r>
        <w:t>POSSIBLE 2024: Dissecting the Decline in Average Hours Worked in Europe — https://doi.org/10.5089/9798400261183.001</w:t>
      </w:r>
    </w:p>
    <w:p>
      <w:r>
        <w:t>Shared claim-specific concepts: average, decline, not; EU scope visible. This is a provisional connection, not an outcome finding.</w:t>
      </w:r>
    </w:p>
    <w:p>
      <w:r>
        <w:t>Available abstract (not full text): Three years after the COVID-19 crisis, employment and total hours worked in Europe fully recovered, but average hours per worker did not. We analyze the decline in average hours worked across European countries and find that (i) it is not cyclical but predominantly structural, extending a long-term trend that predates COVID-19, (ii) it mainly reflects reduced hours within worker groups, not a compositional shift towards lower-hours jobs and workers, (iii) men—particularly those with young children—and youth drive this drop, (iv) declines in actual hours match declines in desired hours. Policy reforms could help involuntary parttimers and women with young children raise their actual hours towards desired levels, but the aggregate impact on average hours would be limited to 0.5 to 1.5 percent. Overall, there is scant evidence of slack at the intensive margin in European labor markets, and the trend fall in average hours worked seems unlikely to reverse.</w:t>
      </w:r>
    </w:p>
    <w:p>
      <w:r>
        <w:t>POSSIBLE 2024: Growth decline in European beech associated with temperature-driven increase in reproductive allocation — https://openalex.org/W7112765388</w:t>
      </w:r>
    </w:p>
    <w:p>
      <w:r>
        <w:t>Shared claim-specific concepts: current, average, decline, not; EU scope visible. This is a provisional connection, not an outcome finding.</w:t>
      </w:r>
    </w:p>
    <w:p>
      <w:r>
        <w:t>Available abstract (not full text): Climate change is impacting forests in complex ways, with indirect effects arising from interactions between tree growth and reproduction often overlooked. Our 43-year study of European beech (Fagus sylvatica), showed that rising summer temperatures since 2005 have led to more frequent seed production events. This shift increases reproductive effort but depletes the trees’ stored resources due to insufficient recovery periods between seed crops. Consequently, annual tree ring increments have declined by 28%, dropping from a stable average of 1.60 mm y-1 between 1980 and 2005 to 1.16 mm y-1 thereafter. Importantly, this growth decline occurred without an accompanying trend in summer drought, indicating that altered reproductive patterns—not moisture stress—are driving the reduction. This creates a "perfect storm": increased reproductive effort drains resources, viable seed output falls due to the loss of mast-seeding benefits via pollination and lower seed predation, and the ongoing growth decline reduces current carbon uptake and future reproductive potential. These compounding factors threaten the sustainability of Europe’s most widespread forest tree. Our findings unveil a critical yet under-recognised indirect mechanism by which climate change endangers forest ecosystems, emphasizing the need to consider interactions between demographic processes when assessing species vulne</w:t>
      </w:r>
    </w:p>
    <w:p>
      <w:r>
        <w:t>POSSIBLE 2023: Farmland practices are driving bird population decline across Europe — https://doi.org/10.1073/pnas.2216573120</w:t>
      </w:r>
    </w:p>
    <w:p>
      <w:r>
        <w:t>Shared claim-specific concepts: decline, number, not; EU scope visible. This is a provisional connection, not an outcome finding.</w:t>
      </w:r>
    </w:p>
    <w:p>
      <w:r>
        <w:t>Available abstract (not full text): Declines in European bird populations are reported for decades but the direct effect of major anthropogenic pressures on such declines remains unquantified. Causal relationships between pressures and bird population responses are difficult to identify as pressures interact at different spatial scales and responses vary among species. Here, we uncover direct relationships between population time-series of 170 common bird species, monitored at more than 20,000 sites in 28 European countries, over 37 y, and four widespread anthropogenic pressures: agricultural intensification, change in forest cover, urbanisation and temperature change over the last decades. We quantify the influence of each pressure on population time-series and its importance relative to other pressures, and we identify traits of most affected species. We find that agricultural intensification, in particular pesticides and fertiliser use, is the main pressure for most bird population declines, especially for invertebrate feeders. Responses to changes in forest cover, urbanisation and temperature are more species-specific. Specifically, forest cover is associated with a positive effect and growing urbanisation with a negative effect on population dynamics, while temperature change has an effect on the dynamics of a large number of bird populations, the magnitude and direction of which depend on species' thermal p</w:t>
      </w:r>
    </w:p>
    <w:p>
      <w:r>
        <w:t>POSSIBLE 2021: Fiscal Policy, Consumption and Current Account in the European Countries — https://doi.org/10.5281/zenodo.4686796</w:t>
      </w:r>
    </w:p>
    <w:p>
      <w:r>
        <w:t>Shared claim-specific concepts: current, average, decline; EU scope visible. This is a provisional connection, not an outcome finding.</w:t>
      </w:r>
    </w:p>
    <w:p>
      <w:r>
        <w:t>Available abstract (not full text): This paper explores the relationship between fiscal deficit, trade deficit and private consumption in European countries in the years 1970-2010. The aim of the study is to test empirically the validity and rationale of the Keynesian proposition (conventional view or Twin Deficits hypothesis) and the Ricardian Equivalence hypothesis, as well as to analyze the relationship between fiscal policy and private consumption. The empirical findings of our study show mixed results. In fact, static panel data estimates suggest that a one per cent increase in fiscal deficit/GDP ratio tends to deteriorate the current account/GDP ratio of 0.21 per cent, although it increases the private consumption of 0.21 per cent. Furthermore, the dynamic estimates largely depend on the estimator chosen, since the GMM-Dif estimates show a significant effect of fiscal deficit both on trade balance and on private consumption, in line with TD hypothesis; on the contrary, GMM-Sys estimator suggests that these effects are irrelevant, supporting RE hypothesis. With regard to the former estimates, we observed that each euro rise in fiscal deficit is associated, on average, with a 22 cents decline in the current account, while the estimated rise in private consumption is smaller (11 cents). Finally, Granger causality tests show mixed results.</w:t>
      </w:r>
    </w:p>
    <w:p>
      <w:r>
        <w:t>POSSIBLE 2020: European bird declines: Do we need to rethink approaches to the management of abundant generalist predators? — https://doi.org/10.1111/1365-2664.13695</w:t>
      </w:r>
    </w:p>
    <w:p>
      <w:r>
        <w:t>Shared claim-specific concepts: current, decline, however, not; EU scope visible. This is a provisional connection, not an outcome finding.</w:t>
      </w:r>
    </w:p>
    <w:p>
      <w:r>
        <w:t>Available abstract (not full text): Abstract Bird species are declining across Europe. Current European policy, that is, the Birds and Habitats Directives, focus on habitat management as a way of halting the declines. This paper explores the role of predation in causing bird population declines and asks if we need to reconsider our approach to the management of generalist predators. We analysed bird population trends and distribution changes across Europe, Britain and Ireland, reflecting an increasing gradient of generalist predator abundance (principally red fox Vulpes vulpes and species of the family Corvidae). We tested if ground‐nesting bird species, considered more vulnerable to predation, were in greater decline compared to other nesting strategies. We also compared Annex I designated species to non‐designated species as a proxy for habitat management. We found that across Europe, 74% of ground‐nesting bird species were in decline, compared to 41% of other species. This was especially evident in Britain, where the pattern was 66% compared to 31%, and in Ireland, 71% compared to 20%. Ground‐nesting species were significantly more likely to be declining than other species. These patterns are consistent with the idea that population declines are at least partially related to the increased abundance of generalist predators. In Britain, ground‐nesting species were less likely to be in decline if covered by Annex</w:t>
      </w:r>
    </w:p>
    <w:p>
      <w:r>
        <w:t>POSSIBLE 2020: Poland as the country with the steepest decline in per capita cigarette consumption in Europe — https://doi.org/10.18332/tpc/128479</w:t>
      </w:r>
    </w:p>
    <w:p>
      <w:r>
        <w:t>Shared claim-specific concepts: average, decline, number; EU scope visible. This is a provisional connection, not an outcome finding.</w:t>
      </w:r>
    </w:p>
    <w:p>
      <w:r>
        <w:t>Available abstract (not full text): Background In recent years, we have seen the publication of several large studies and surveys allowing us to trace the changes in the exposure of European populations to tobacco. These included a publication on tobacco smoking in the European Union1, a Global Burden of Disease analysis2 and estimates of cigarette consumption for 713. Objectives To summarise the existing state of knowledge on cigarette consumption and smoking prevalence in European countries. To explore and analyse in-depth the case of Poland. Methods A ranking table and analysis of cigarette consumption and smoking prevalence in European countries between 1970 and 2015 were prepared. Results In the early 1990s, during political change in Eastern Europe, Poland had the highest per capita cigarette consumption in Europe (almost 4000 per annum) one of the highest smoking prevalence levels in the world (70% in men and 30% in women). After introducing wide-ranging tobacco control measures, Poland experienced a steady decline in cigarette consumption and smoking prevalence. The pace of decline in the number of cigarettes consumed per capita per annum was fastest in Poland and reached less than 1500 cigarettes per capita per annum in 2015. Currently, Poland is an average European country when it comes to smoking rates, with a prevalence of 26% in men and 17% in women. Conclusions The case of Poland illustrates that ap</w:t>
      </w:r>
    </w:p>
    <w:p>
      <w:r>
        <w:t>POSSIBLE 2020: Smoking epidemic in Europe in the 21st century — https://doi.org/10.1136/tobaccocontrol-2020-055658</w:t>
      </w:r>
    </w:p>
    <w:p>
      <w:r>
        <w:t>Shared claim-specific concepts: average, decline, reach; EU scope visible. This is a provisional connection, not an outcome finding.</w:t>
      </w:r>
    </w:p>
    <w:p>
      <w:r>
        <w:t>Available abstract (not full text): OBJECTIVE: To estimate smoking-attributable mortality in the long-term future in 29 European countries using a novel data-driven forecasting approach that integrates the wave pattern of the smoking epidemic and the cohort dimension. METHODS: We estimated and forecasted age-specific and age-standardised smoking-attributable mortality fractions (SAMF) and 95% projection intervals for 29 European countries by sex, 1950-2100, using age-period-cohort modelling with a generalised logit link function. We projected the (decelerating) period increases (women) by a quadratic curve to obtain future declines, and extrapolated the past period decline (men). In addition, we extrapolated the recent cohort trend. RESULTS: SAMF among men are projected to decline from, on average, 25% in 2014 (11% (Sweden)-41% (Hungary)) to 11% in 2040 (range: 6.3%-15.4%), 7% in 2065 (range: 5.9%-9.4%) and 6% in 2100. SAMF among women in 21 non-Eastern European countries, currently at an average of 16%, are projected to reach peak levels in 2013 (Northern Europe), 2019 (Western Europe), 2027 (Greece, Italy) and 2022 (Central Europe), with maximum levels of, on average, 17% (8% (Greece)-28% (Denmark)), and to decline to 10% in 2040 (range: 4%-20%), 5% in 2065 (range: 3.5%-7.6%) and 4% in 2100. For women, a short-term shift in the peak of the inverse U-shaped age pattern to higher ages is projected, and crossovers</w:t>
      </w:r>
    </w:p>
    <w:p>
      <w:r>
        <w:t>POSSIBLE 2020: Decline of depressive symptoms in Europe: differential trends across the lifespan — https://doi.org/10.1007/s00127-020-01979-6</w:t>
      </w:r>
    </w:p>
    <w:p>
      <w:r>
        <w:t>Shared claim-specific concepts: decline, however, not; EU scope visible. This is a provisional connection, not an outcome finding.</w:t>
      </w:r>
    </w:p>
    <w:p>
      <w:r>
        <w:t>Available abstract (not full text): PURPOSE: We examined changes in the burden of depressive symptoms between 2006 and 2014 in 18 European countries across different age groups. METHODS: We used population-based data drawn from the European Social Survey (N = 64.683, 54% female, age 14-90 years) covering 18 countries (Austria, Belgium, Denmark, Estonia, Finland, France, Germany, Great Britain, Hungary, Ireland, The Netherlands, Norway, Poland, Portugal, Slovenia, Spain, Sweden, Switzerland) from 2006 to 2014. Depressive symptoms were measured via the CES-D 8. Generalized additive models, multilevel regression, and linear regression analyses were conducted. RESULTS: We found a general decline in CES-D 8 scale scores in 2014 as compared with 2006, with only few exceptions in some countries. This decline was most strongly pronounced in older adults, less strongly in middle-aged adults, and least in young adults. Including education, health and income partially explained the decline in older but not younger or middle-aged adults. CONCLUSIONS: Burden of depressive symptoms decreased in most European countries between 2006 and 2014. However, the decline in depressive symptoms differed across age groups and was most strongly pronounced in older adults and least in younger adults. Future studies should investigate the mechanisms that contribute to these overall and differential changes over time in depressive symptoms.</w:t>
      </w:r>
    </w:p>
    <w:p>
      <w:pPr>
        <w:pStyle w:val="Heading2"/>
      </w:pPr>
      <w:r>
        <w:t>A Foresight Study of European East-West Agrifood Trade Options</w:t>
      </w:r>
    </w:p>
    <w:p>
      <w:r>
        <w:t>Original source (2018): https://doi.org/10.52825/gjae.v67i3.2099</w:t>
      </w:r>
    </w:p>
    <w:p>
      <w:r>
        <w:t>Original wording (abstract; indexed_source_text_not_full_document_verified): Taking a trade perspective with a focus on agrifood markets, the current foresight study employs a computable general equilibrium simulation model to quantify the implications of different future pathways of European East-West trade relations for the Commonwealth of Independent States (CIS), thereby providing insight on how best to orientate their political and trade strategies. Comparing with a baseline, two optimistic pathways explore greater market access, both within Europe (‘Deep integration’) and globally (‘trade liberalisation’).</w:t>
      </w:r>
    </w:p>
    <w:p>
      <w:r>
        <w:t>POSSIBLE 2025: The European Union Green Deal and Global Trade: A Constructivist Perspective on Sustainability Norms — https://doi.org/10.22146/jwts.v10i1.18729</w:t>
      </w:r>
    </w:p>
    <w:p>
      <w:r>
        <w:t>Shared claim-specific concepts: trade, perspective, focus, pathways; EU scope visible. This is a provisional connection, not an outcome finding.</w:t>
      </w:r>
    </w:p>
    <w:p>
      <w:r>
        <w:t>Available abstract (not full text): The European Union’s Green Deal (EGD) represents a comprehensive policy initiative targeting climate neutrality by 2050, and its influence is already permeating global trade dynamics. This research examines the EGD as a paradigm-shifting, sustainability-driven policy and explores its ramifications on international trade structures through a constructivist perspective. Two primary research questions guide the analysis: First, how could the EGD influence the global sustainability norms? Second, how do global trade actors respond to the sustainability norms of EGD? To address these questions, the authors use a diverse methodology, combining qualitative analysis, and extensive literature review. The research focus on particular events to mechanisms such as carbon tariffs, the promotion of sustainable trade practices, and the broader set of principles underpinning the EGD. It analyzes the ways in which these elements are either contested or adopted by actors within the global trading system. The findings indicate that, while the EGD poses significant challenges for the European Union, it simultaneously opens pathways for the diffusion of sustainability norms. Increasingly, global trade actors are engaging in processes of socialization, whether to align with or counter the EU’s vision for sustainable trade. In conclusion, this research contributes to the academic discourse on trade a</w:t>
      </w:r>
    </w:p>
    <w:p>
      <w:r>
        <w:t>POSSIBLE 2023: Perspectives on trade and structural transformation — https://doi.org/10.1080/13600818.2023.2279665</w:t>
      </w:r>
    </w:p>
    <w:p>
      <w:r>
        <w:t>Shared claim-specific concepts: taking, trade, quantify; EU scope not established. This is a provisional connection, not an outcome finding.</w:t>
      </w:r>
    </w:p>
    <w:p>
      <w:r>
        <w:t>Available abstract (not full text):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 models to advance our understanding of structural change.</w:t>
      </w:r>
    </w:p>
    <w:p>
      <w:r>
        <w:t>POSSIBLE 2023: Technical Barriers to Trade and China's Agricultural Products Export - Taking Garlic Export as an Example — https://doi.org/10.38007/ijbmet.2023.040105</w:t>
      </w:r>
    </w:p>
    <w:p>
      <w:r>
        <w:t>Shared claim-specific concepts: taking, trade, perspective, states; EU scope visible. This is a provisional connection, not an outcome finding.</w:t>
      </w:r>
    </w:p>
    <w:p>
      <w:r>
        <w:t>Available abstract (not full text): Firstly, this paper analyzes the impact mechanism of TBT on agricultural exports; Secondly, based on the characteristics of technical barriers to trade in the United States, the European Union, Japan and South Korea, this paper analyzes the export situation of China's agricultural products, the number of batches detained and recalled, the types of blocked products, and the reasons for the blocked products.The research finds that the overall situation of China's agricultural products encountering technical barriers to trade has improved, but the situation of encountering green barriers is increasingly serious.Therefore, this paper selects the impact of green trade barriers on garlic export as an example to analyze the reasons for China's garlic export encountering green barriers and propose countermeasures.Finally, from the perspective of actively utilizing the WTO Agreement and the dispute settlement mechanism, taking countermeasures, improving the quality level and innovation ability, and establishing an early warning mechanism, specific suggestions were put forward.</w:t>
      </w:r>
    </w:p>
    <w:p>
      <w:r>
        <w:t>POSSIBLE 2022: role of trade unions in sport - the essence, features and perspectives — https://doi.org/10.12775/jehs.2022.12.10.009</w:t>
      </w:r>
    </w:p>
    <w:p>
      <w:r>
        <w:t>Shared claim-specific concepts: taking, trade, perspective; EU scope visible. This is a provisional connection, not an outcome finding.</w:t>
      </w:r>
    </w:p>
    <w:p>
      <w:r>
        <w:t>Available abstract (not full text): Trade unions play an important role in organizing activities in the field of labour law, although some representatives of the doctrine believe that the ruling powers of trade unions are in fact administrative in nature. The role of trade unions is important in all sectors of the economy, including sports. In many European countries, trade unions in sport play a key role in ensuring that players’ right are respected. The potential of trade unions in Poland is still not fully used. The aim of this article is to analyse the role of trade unions in sport by determining their features and perspectives, in particular taking into account the extension of the subjective scope of the coalition right after the amendment to the Trade Unions Act. The deliberations will lead to an answer to the question: Is it finally time for trade unions in the professional sport sector or is it still a distant perspective? The article uses the dogmatic and legal method, and also indicates foreign solutions in relation to the comparative method. The considerations present legal solutions in the USA, England and the Netherlands. The deliberations concern both labor law and sports law. The main conclusion from the conducted research is that there are formal and legal possibilities for trade unions to play a more important role in the medium and long term, however, there is no specific entity or group of ent</w:t>
      </w:r>
    </w:p>
    <w:p>
      <w:r>
        <w:t>POSSIBLE 2021: Perspectives on Trade and Structural Transformation — https://doi.org/10.3386/w28720</w:t>
      </w:r>
    </w:p>
    <w:p>
      <w:r>
        <w:t>Shared claim-specific concepts: taking, trade, quantify; EU scope not established. This is a provisional connection, not an outcome finding.</w:t>
      </w:r>
    </w:p>
    <w:p>
      <w:r>
        <w:t>Available abstract (not full text): This paper surveys macroeconomic and microeconomic perspectives on the role of international trade in structural transformation.We start by describing canonical frameworks that have been used to quantify how trade influences sectoral shares of employment and value added.We then pivot to survey micro-empirical evidence on the impact of changes in trade on the allocation of labor across sectors and productivity at the firm level.In this, we put special emphasis on the role of participation in global value chains and inward foreign direct investment in mediating these effects.Next, we evaluate evidence on the barriers to trade faced by low-income countries, with special attention to recent work that measures these costs taking firm dynamics into account.We conclude by discussing how these micro-perspectives can be integrated into macro-models to advance our understanding of structural change.</w:t>
      </w:r>
    </w:p>
    <w:p>
      <w:r>
        <w:t>POSSIBLE 2019: European antiquities trade: a refuge for money laundering and terrorism financing — https://doi.org/10.1108/jmlc-09-2017-0051</w:t>
      </w:r>
    </w:p>
    <w:p>
      <w:r>
        <w:t>Shared claim-specific concepts: taking, trade, implications; EU scope visible. This is a provisional connection, not an outcome finding.</w:t>
      </w:r>
    </w:p>
    <w:p>
      <w:r>
        <w:t>Available abstract (not full text): Purpose This paper aims to demonstrate how criminals launder money in the antiquities trade in Austria, Germany, Liechtenstein and Switzerland. Design/methodology/approach A qualitative content analysis of 58 semi-structured expert interviews with both criminals and prevention experts and a quantitative survey of 184 compliance officers revealed the concrete techniques used to launder money in the European antiquities trade. Findings The antiquities market facilitates the placement, layering and integration of the transfer of assets to terrorist organizations. Most importantly, it is among the few profitable methods of laundering money. Research limitations/implications As the findings of the qualitative study are based on semi-standardized interviews, they are limited to the 58 interviewees’ perspectives. Practical implications The identification of concrete methods of money laundering and terrorism financing aims to provide compliance officers, law enforcement agencies and legislators with valuable insight into criminal activity. Originality/value While the existing literature focuses on organizations fighting money laundering and the financing of terrorism, this study instead describes how criminals avoid detection by taking into account prevention and criminal perspectives.</w:t>
      </w:r>
    </w:p>
    <w:p>
      <w:r>
        <w:t>POSSIBLE 2019: Europe avoids conflicts with trading partners; Germany avoids a hard landing — https://doi.org/10.4324/9780429054006-28</w:t>
      </w:r>
    </w:p>
    <w:p>
      <w:r>
        <w:t>Shared claim-specific concepts: taking, trade, perspective, current; EU scope visible. This is a provisional connection, not an outcome finding.</w:t>
      </w:r>
    </w:p>
    <w:p>
      <w:r>
        <w:t>Available abstract (not full text): The current eurozone is doomed to maintain high trade and current account surpluses, which will provoke currency and trade wars. This situation, difficult or impossible to resolve within the eurozone, will be able to resolve itself automatically after a return to national currencies. This chapter examines this question from the German perspective as well, as Germany’s current account surplus constitutes the bulk of the eurozone surplus. If Germany itself doesn’t manage to reduce this surplus in a controlled fashion, sooner or later it will happen as a result of changes in its trading partners’ policies or a global economic slowdown. In that case, the German economy may face a hard landing – a recession and growth in unemployment. The authors argue that the proposed strategy for a controlled dismantling of the eurozone will allow Germany to solve the problem of its persistent trade surpluses in a way that’s much gentler and safer than other potential methods. Taking into account the dangerous consequences of a potential crisis in Germany, a safe resolution of German surplus problem is in the interest of the entire European Union.</w:t>
      </w:r>
    </w:p>
    <w:p>
      <w:pPr>
        <w:pStyle w:val="Heading2"/>
      </w:pPr>
      <w:r>
        <w:t>A forecast of international migration flows into EU countries until 2050</w:t>
      </w:r>
    </w:p>
    <w:p>
      <w:r>
        <w:t>Original source (2018): https://doi.org/10.14746/pp.2018.23.4.6</w:t>
      </w:r>
    </w:p>
    <w:p>
      <w:r>
        <w:t>Original wording (abstract; indexed_source_text_not_full_document_verified): The data used for the forecast is UN data on migration flows in 1990-2015, and the UN’s predictions regarding changes in population between now and 2050. The research objective is a quantitative estimation of the volume of international migration flows into European countries and their close neighbors until 2050.</w:t>
      </w:r>
    </w:p>
    <w:p>
      <w:r>
        <w:t>POSSIBLE 2026: Data Sources for International Migration in Europe: Categories, Definitions and Policy Uses — https://openalex.org/W7123388283</w:t>
      </w:r>
    </w:p>
    <w:p>
      <w:r>
        <w:t>Shared claim-specific concepts: data, migration, international; EU scope visible. This is a provisional connection, not an outcome finding.</w:t>
      </w:r>
    </w:p>
    <w:p>
      <w:r>
        <w:t>Available abstract (not full text): Unavailable</w:t>
      </w:r>
    </w:p>
    <w:p>
      <w:r>
        <w:t>POSSIBLE 2026: Estimating migration and mortality rates for European sea bass ( Dicentrarchus labrax ) using electronic tagging data — https://doi.org/10.1093/icesjms/fsag043</w:t>
      </w:r>
    </w:p>
    <w:p>
      <w:r>
        <w:t>Shared claim-specific concepts: data, migration, population, between, international; EU scope visible. This is a provisional connection, not an outcome finding.</w:t>
      </w:r>
    </w:p>
    <w:p>
      <w:r>
        <w:t>Available abstract (not full text): Abstract As animal movement and migration shape the internal dynamics and structure of populations, quantifying connectivity within populations is crucial for sustainable exploitation and conservation of wild species. New knowledge on individual movements and migrations of the European sea bass recently challenged the current view of the stock delineation. There was a need to extend these results from the individual to population scale by developing a spatially structured population dynamics model of tagged fish to estimate migration rates and mortality. A series of multistate spatial mark-recapture models, discrete in space and time and based on two alternative spatial structures have been developed and compared to analyse reconstructed individual trajectories of European sea bass tagged, from 2010 to 2022, with Data Storage Tags along the coast of France, Belgium, and the UK. The analysis of 328 tagged fish recoveries made from 2010 to 2022 allows the quantification, at population scale and in an integrated tagged-based model of both seasonal movement rates and fishing mortality rates for two of the current stock assessment and fishery regulatory areas: the northern stock area from the Irish Sea, Celtic Sea, English Channel, and southern North Sea (ICES divisions IVb–c and VIIa, d–h) and the Bay of Biscay (or southern) stock area (ICES divisions VIIIa–b). Significant movement</w:t>
      </w:r>
    </w:p>
    <w:p>
      <w:r>
        <w:t>POSSIBLE 2026: The Biometric_On: On the (Dual) Use of Biometric Data in Migration and Asylum — https://doi.org/10.4324/9781003748557-17</w:t>
      </w:r>
    </w:p>
    <w:p>
      <w:r>
        <w:t>Shared claim-specific concepts: data, migration, international; EU scope visible. This is a provisional connection, not an outcome finding.</w:t>
      </w:r>
    </w:p>
    <w:p>
      <w:r>
        <w:t>Available abstract (not full text): The European Union has recently reached an agreement on the so called New European Asylum and Migration Pact. Thanks to a new set of common measures Member states will be able to reach relevant reforms in the field of international protection and migration. Such a result will be possible also through the collection of (new) sets of biometric data. This “agreement”, as well as its framework, does not seem to be entirely new in the EU, especially if we look at the previous Pact adopted by Member States confronting the “Refugee crisis”, back in 2015, when more than a 1,000,000 of migrants, refugees, and asylum seekers crossed the European blue and green borders to claim for international protection. Looking at the consolidated texts of the new European Laws, the enforcement of Eurodac II will include not only a fingerprinting database but a new biometrical data system to identify, track, evaluate, repatriate (irregular) migrants as well as to investigate and prosecute terrorists and and/or criminal offenders. A few times after NIS II directive stressed out the attention to the rights of individuals as a primary consideration need, also looking at the use and liability of IoT technologies and challenges, recent declarations of European Data Protection Supervisor outlined concerns on the matter: legal risks in the guarantees foreseen by Article 9 of the GDPR for Europol operations t</w:t>
      </w:r>
    </w:p>
    <w:p>
      <w:r>
        <w:t>POSSIBLE 2025: Mixed-frequency VAR: a new approach to forecasting migration in Europe using macroeconomic data — https://doi.org/10.1017/dap.2024.82</w:t>
      </w:r>
    </w:p>
    <w:p>
      <w:r>
        <w:t>Shared claim-specific concepts: data, used, migration, international, countries; EU scope visible. This is a provisional connection, not an outcome finding.</w:t>
      </w:r>
    </w:p>
    <w:p>
      <w:r>
        <w:t>Available abstract (not full text): Abstract Forecasting international migration is a challenge that, despite its political and policy salience, has seen a limited success so far. In this proof-of-concept paper, we employ a range of macroeconomic data to represent different drivers of migration. We also take into account the relatively consistent set of migration policies within the European Common Market, with its constituent freedom of movement of labour. Using panel vector autoregressive (VAR) models for mixed-frequency data, we forecast migration in the short- and long-term horizons for 26 of the 32 countries within the Common Market. We demonstrate how the methodology can be used to assess the possible responses of other macroeconomic variables to unforeseen migration events—and vice versa. Our results indicate reasonable in-sample performance of migration forecasts, especially in the short term, although with varying levels of accuracy. They also underline the need for taking country-specific factors into account when constructing forecasting models, with different variables being important across the regions of Europe. For the longer term, the proposed methods, despite high prediction errors, can still be useful as tools for setting coherent migration scenarios and analysing responses to exogenous shocks.</w:t>
      </w:r>
    </w:p>
    <w:p>
      <w:r>
        <w:t>POSSIBLE 2025: Amphibious Detention New Bordering Ethnography of Safe Countries of Origin and the Use of Digital Data and Devices in the Governance of Migration in Europe — https://openalex.org/W7111442958</w:t>
      </w:r>
    </w:p>
    <w:p>
      <w:r>
        <w:t>Shared claim-specific concepts: data, migration, countries; EU scope visible. This is a provisional connection, not an outcome finding.</w:t>
      </w:r>
    </w:p>
    <w:p>
      <w:r>
        <w:t>Available abstract (not full text): Unavailable</w:t>
      </w:r>
    </w:p>
    <w:p>
      <w:r>
        <w:t>POSSIBLE 2025: Data Sources For International Migration in Europe — https://doi.org/10.4324/9781003395485-45</w:t>
      </w:r>
    </w:p>
    <w:p>
      <w:r>
        <w:t>Shared claim-specific concepts: data, migration, international; EU scope visible. This is a provisional connection, not an outcome finding.</w:t>
      </w:r>
    </w:p>
    <w:p>
      <w:r>
        <w:t>Available abstract (not full text): This chapter critically examines the landscape of international migration data sources in Europe, focusing on categories, definitions and policy uses. Despite Europe&amp;s;s reputation for advanced migration data governance, persistent challenges undermine data quality, comparability and coverage, particularly in Southern and Eastern Europe. The chapter analyses how inconsistent definitions, divergent measurement practices and varying institutional capacities complicate efforts to produce harmonised, reliable migration statistics. Special attention is given to the conceptual and definitional difficulties in measuring both regular and irregular migration, highlighting how these limitations impede both scholarly research and evidence-based policymaking. The chapter also explores the potential of big data as complementary sources for migration statistics, while acknowledging significant legal, ethical and technical barriers to their broader adoption. Through a critical lens, the chapter questions narratives of European exceptionalism, arguing that while Europe leads in certain aspects of data harmonisation, many of its challenges mirror global trends. Drawing on recent research and institutional insights, the chapter offers recommendations for addressing enduring data gaps and promoting more coherent, comprehensive migration data systems. It concludes by emphasising the essential role</w:t>
      </w:r>
    </w:p>
    <w:p>
      <w:r>
        <w:t>POSSIBLE 2025: THE EFFECTS OF MIGRATION ON FAMILY DYNAMICS: A CASE STUDY OF IMMIGRANT FAMILIES IN EUROPE — https://openalex.org/W7220292679</w:t>
      </w:r>
    </w:p>
    <w:p>
      <w:r>
        <w:t>Shared claim-specific concepts: data, migration, international; EU scope visible. This is a provisional connection, not an outcome finding.</w:t>
      </w:r>
    </w:p>
    <w:p>
      <w:r>
        <w:t>Available abstract (not full text): This paper examines the impact of migration on family structures and intergenerational relationships among immigrant populations in Europe, with a focus on how family policies and socio-cultural contexts shape these dynamics. Using data from longitudinal surveys and international datasets, the study investigates how migration influences fertility patterns, work-family balance, and the living arrangements of immigrant families. The research reveals that while host-country policies can facilitate the integration of immigrant families, they often present challenges, particularly for women, due to gendered policies and cultural barriers. The study underscores the importance of adapting family policies to the diverse needs of immigrant populations, promoting a more inclusive approach to integration that takes into account the intersection of migration, gender, and cultural norms.</w:t>
      </w:r>
    </w:p>
    <w:p>
      <w:r>
        <w:t>POSSIBLE 2024: Elucidating the migrations of European seabass from the southern north sea using mark-recapture data, acoustic telemetry and data storage tags — https://doi.org/10.1038/s41598-024-63347-7</w:t>
      </w:r>
    </w:p>
    <w:p>
      <w:r>
        <w:t>Shared claim-specific concepts: data, migration, population, countries; EU scope visible. This is a provisional connection, not an outcome finding.</w:t>
      </w:r>
    </w:p>
    <w:p>
      <w:r>
        <w:t>Available abstract (not full text): The movement ecology of European seabass, Dicentrarchus labrax, remains poorly understood, especially in the northern ranges of its distribution. To investigate migration patterns of seabass from the southern North Sea, we combined data from different projects from four countries using various tagging techniques. This resulted in 146 recaptures (out of 5598 externally marked seabass), 138 detected animals (out of 162 seabass fitted with an acoustic transmitter) and 76 archived depth and temperature series (out of 323 seabass with an archival tag). Using geolocation modelling, we distinguished different migration strategies, whereby individual fish migrated to the eastern English Channel (15.1%), the western English Channel (28.3%), the Celtic Sea and the norther part of the Bay of Biscay (17.0%), or stayed in the North Sea (39.6%). A high number of seabass exhibited fidelity to the North Sea (90.5% of recaptures, 55.3% for acoustic transmitters and 44.7% of archival tags). Although seabass are generally considered to migrate southwards in winter, a large number of individuals (n = 62) were observed in the southern North Sea, where spawning might potentially occur in a particular deep location along the coast of Norfolk in the UK. Our results highlight the need to consider fine-scaled population structuring in fisheries assessment, and indicate that current seasonal fisheries cl</w:t>
      </w:r>
    </w:p>
    <w:p>
      <w:r>
        <w:t>POSSIBLE 2023: Using Registration Data to Measure International and Internal Migration in the European Union: S. Makaryan — https://doi.org/10.1007/978-3-031-19631-7_41</w:t>
      </w:r>
    </w:p>
    <w:p>
      <w:r>
        <w:t>Shared claim-specific concepts: data, migration, international; EU scope visible. This is a provisional connection, not an outcome finding.</w:t>
      </w:r>
    </w:p>
    <w:p>
      <w:r>
        <w:t>Available abstract (not full text): Unavailable</w:t>
      </w:r>
    </w:p>
    <w:p>
      <w:r>
        <w:t>POSSIBLE 2023: Mapping and modelling the main determinants of Migration Flows at the NUTS2 Level in European Union using Spatial Data Analysis Techniques — https://doi.org/10.2478/mmcks-2023-0032</w:t>
      </w:r>
    </w:p>
    <w:p>
      <w:r>
        <w:t>Shared claim-specific concepts: data, migration, flows, between, international, countries; EU scope visible. This is a provisional connection, not an outcome finding.</w:t>
      </w:r>
    </w:p>
    <w:p>
      <w:r>
        <w:t>Available abstract (not full text): Abstract Spatial data analysis approaches have grown in popularity in recent years as there has been an increased interest in studying migration at the regional level. We employed in our analysis the Nomenclature of Territorial Units for Statistics (NUTS) level, which offers a more thorough view of migratory patterns inside a nation as well as among EU countries.Using spatial data analytic tools, this research aims to investigate the key determinants of international migration at the NUTS2 level. Using data from the Eurostat database, we undertake an extensive analysis of migration movements in a sample of European Union countries. We apply spatial econometric models to examine the relationship between crude rate migration and other relevant variables as independent variables. Although the available data at the NUTS2 level of regional ranking are limited, we believe that we included the most comprehensive set of relevant variables in our analysis.Our study contributes to the existing literature on migration determinants by highlighting the importance of spatial analysis techniques in understanding migration factors at the NUTS2 level.</w:t>
      </w:r>
    </w:p>
    <w:p>
      <w:r>
        <w:t>POSSIBLE 2023: Migration Practices in Europe: Economic and Cultural Factors — https://doi.org/10.22146/ijg.82169</w:t>
      </w:r>
    </w:p>
    <w:p>
      <w:r>
        <w:t>Shared claim-specific concepts: data, migration, objective, countries; EU scope visible. This is a provisional connection, not an outcome finding.</w:t>
      </w:r>
    </w:p>
    <w:p>
      <w:r>
        <w:t>Available abstract (not full text): This research aimed to identify the economic and cultural factors of migration in Europe within the context of contemporary economic and social realities. To achieve the research objective, a comprehensive multi-stage research project was developed and implemented, incorporating the advantages of statistical analysis, monitoring, rating and summary statistics. The research relied on harmonized and validated statistical data from 48 European countries, divided into four sub-regions, serving as the informational foundation for the study. Using summary statistics on migration factors in the context of economic and cultural factors made it possible to demonstrate the importance of considering cultural human rights in the country’s migration policy. An interpretation of migration practices in Europe by this means enables us to highlight the cultural context as a determining indicator, based on an analysis of objective indicators in the development of migration processes. Furthermore, the study shows that the high quality of life and cultural attractiveness of the national policy stimulates the migration intentions of a person to seek out countries with more developed economies.The findings of this study hold relevance for policymakers and specialists in public administration, particularly those involved in the regulation and control of migration. Additionally, academic researchers c</w:t>
      </w:r>
    </w:p>
    <w:p>
      <w:r>
        <w:t>POSSIBLE 2022: Searching for migration: estimating Japanese migration to Europe with Google Trends data — https://doi.org/10.1007/s11135-022-01560-0</w:t>
      </w:r>
    </w:p>
    <w:p>
      <w:r>
        <w:t>Shared claim-specific concepts: data, used, migration, flows, predictions; EU scope visible. This is a provisional connection, not an outcome finding.</w:t>
      </w:r>
    </w:p>
    <w:p>
      <w:r>
        <w:t>Available abstract (not full text): In recent research, Google Trends data has been identified as a potentially useful data source to complement or even replace otherwise traditional data for predicting migration flows. However, the research on this is in its infancy, and as of yet suffers from a distinctive Western bias both in the topics covered as in the applicability of the methods. To examine its wider utility, this paper evaluates the predictive potential of Google Trends data, which captures Google search frequencies, but applies it to the case of Japanese migration flows to Europe. By doing so, we focus on some of the specific challenging aspects of the Japanese language, such as its various writing systems, and of its migration flows, characterized by its relative stability and sometimes limit size. In addition, this research investigates to what extent Google Trends data can be used to empirically test theory in the form of the aspirations and (cap)ability approach. The results show that after careful consideration, this method has the potential to reach satisfactory predictions, but that there are many obstacles to overcome. As such, sufficient care and prior investigation are paramount when attempting this method for less straightforward cases, and additional studies need to address some of the key limitations more in detail to validate or annul some of the findings presented here. Supplementary Infor</w:t>
      </w:r>
    </w:p>
    <w:p>
      <w:pPr>
        <w:pStyle w:val="Heading2"/>
      </w:pPr>
      <w:r>
        <w:t>A threat to climate-secure European futures? Exploring racial logics and climate-induced migration in US and EU climate security discourses</w:t>
      </w:r>
    </w:p>
    <w:p>
      <w:r>
        <w:t>Original source (2018): https://doi.org/10.1016/j.geoforum.2018.08.021</w:t>
      </w:r>
    </w:p>
    <w:p>
      <w:r>
        <w:t>Original wording (abstract; indexed_source_text_not_full_document_verified): The paper proposes a reconceptualization of ‘racial logics’: a form of discursive construction that connects naturalized assumptions about racialized Others with possible outcomes in conditions of future climate insecurity. Constructed as racialized Others, ‘Muslim’ and ‘African’ migrant populations could face exclusionary containment policies in climate-insecure futures.</w:t>
      </w:r>
    </w:p>
    <w:p>
      <w:r>
        <w:t>POSSIBLE 2022: The right to a healthy environment: Reconceptualizing human rights in the face of climate change — https://doi.org/10.1111/reel.12430</w:t>
      </w:r>
    </w:p>
    <w:p>
      <w:r>
        <w:t>Shared claim-specific concepts: reconceptualization, climate, face; EU scope not established. This is a provisional connection, not an outcome finding.</w:t>
      </w:r>
    </w:p>
    <w:p>
      <w:r>
        <w:t>Available abstract (not full text): Abstract There is hardly any doubt that climate change threatens the enjoyment of a wide range of human rights. Yet, in the absence of a distinct right to a healthy environment, a victim of climate change impacts would have to rely on existing rights to bring a claim. However, not only are these avenues not always successful or even sufficient to effectively and adequately compensate the victims, but they appear especially problematic in the context of climate change. This article explores the implications of the recognition of a stand‐alone substantive right to a healthy environment in the context of climate change. In doing so, it argues that such a recognition could trigger a paradigm shift that would facilitate the reconceptualization of human rights law to better adapt to the negative impacts of climate change, in particular by incorporating key environmental law principles in the human rights system.</w:t>
      </w:r>
    </w:p>
    <w:p>
      <w:r>
        <w:t>POSSIBLE 2021: Reconceptualizing STEM Education in China as Praxis: A Curriculum Turn — https://doi.org/10.3390/su13094961</w:t>
      </w:r>
    </w:p>
    <w:p>
      <w:r>
        <w:t>Shared claim-specific concepts: reconceptualization, form, about; EU scope not established. This is a provisional connection, not an outcome finding.</w:t>
      </w:r>
    </w:p>
    <w:p>
      <w:r>
        <w:t>Available abstract (not full text): STEM education has drawn considerable international attention in recent decades. Current practices of STEM Education in China have shown that STEM is understood primarily as a policy-driven and economic problem. This paper challenges the reduced technical frameworks of STEM education and draws on the theoretical framework of the reconceptualization movement in the curriculum field. It aims to shift scientific or social science paradigms with languages of humanity to reapproach STEM education. STEM education is hence reconceptualized as praxis in its lived, ethical and historical dimensions. It would transform STEM education in China from being targeted for economic growth to attending to lived, nuanced and rich STEM experiences, structured by ethics and threaded by history. STEM teachers and teacher educators are advised to understand anew about STEM in their situatedness. STEM could serve as an opportunity to critically reflect on and research each discipline in greater depth with inter-disciplinary lenses. Instead of integrating science, technology, engineering and mathematics seamlessly to form omnipotent toolsets for the 21st-century workforce in China and on the international landscape, a reconceptualization of STEM as praxis could continue to generate more sustainable STEM education.</w:t>
      </w:r>
    </w:p>
    <w:p>
      <w:r>
        <w:t>POSSIBLE 2020: Thinking Europe Otherwise: Lessons from the Caribbean — https://doi.org/10.1177/0011392120931139</w:t>
      </w:r>
    </w:p>
    <w:p>
      <w:r>
        <w:t>Shared claim-specific concepts: reconceptualization, discursive, racialized; EU scope visible. This is a provisional connection, not an outcome finding.</w:t>
      </w:r>
    </w:p>
    <w:p>
      <w:r>
        <w:t xml:space="preserve">Available abstract (not full text): The article makes a case for Europe as a creolized space, or Europe Otherwise. It argues that, in order to account for both the transregional entanglements and the internal hierarchies that European colonialism and imperialism have produced since at least the sixteenth century, we need to unlearn received notions of Europe as an unmarked category; and that theoretical and empirical lessons from the Caribbean are central to relearning Europe differently. To conceive of Europe as a creolized space thus means to draw attention to the decisive shifts that its colonial possessions operate in both its historical legacies and its present borders when consistently taken into account. Such reconceptualization entails a simultaneous creolization of theory so as to reinscribe into sociological thought the experiences of peoples and regions racialized as non-European, non-Western, and non-White alongside the multiple entanglements between Europe and its colonies. Drawing on Caribbean perspectives on creolization, I first discuss how creolizing Europe contributes to countering the definition power of ahistorical and unmarked categories. Subsequently, I propose to rethink Europe as a political, cultural, economic, and discursive formation from its current colonial borders in South America and the Caribbean Sea. Finally, I argue that focusing on Europe’s colonial possessions in the Caribbean </w:t>
      </w:r>
    </w:p>
    <w:p>
      <w:r>
        <w:t>POSSIBLE 2019: Euromodernity's Undertone: On Reconceptualizing Political Speech — https://openalex.org/W2943803555</w:t>
      </w:r>
    </w:p>
    <w:p>
      <w:r>
        <w:t>Shared claim-specific concepts: about, racialized, others, conditions; EU scope not established. This is a provisional connection, not an outcome finding.</w:t>
      </w:r>
    </w:p>
    <w:p>
      <w:r>
        <w:t xml:space="preserve">Available abstract (not full text): This dissertation contends speech is indispensable to politics. It begins with Aristotle, whose conception of political speech grounds our modern understanding. I argue the Aristotelian position is colonizing insofar as it essentializes speech as sound. The consequence is that speech becomes phonocentric, privileging a particular mode of communication. This raises the issue of Deaf subjects who engage politics in non-phonocentric ways. That is, their speech is seen in what I contend is a visual vernacular. Subsequently, I turn to the issue of race. If Deaf subjects raise questions about what it means to speak, Black subjects, who speak audibly and are still unheard, raise a correspondent question: What does it mean to be heard? Within Euromodernity, I contend political speech becomes essentialized and racialized. Here, particular human beings (whites) are deemed as deserving of being heard, while others (Blacks) are silenced and thus, rendered speechless.\nIn response to these conditions, I argue Black and Deaf subjects do speak and their speech challenges existing hegemonic, colonized forms. Black and Deaf political speech allow for the creation of Black and Deaf lifeworlds, an articulation of their own ways of existing in the social world. The result is a project actualizing freedom. Ultimately, I posit a creolizing of political speech, a mixing of Deaf and Black existential </w:t>
      </w:r>
    </w:p>
    <w:p>
      <w:pPr>
        <w:pStyle w:val="Heading2"/>
      </w:pPr>
      <w:r>
        <w:t>Abandonment landscapes: user attitudes, alternative futures and land management in Castro Laboreiro, Portugal</w:t>
      </w:r>
    </w:p>
    <w:p>
      <w:r>
        <w:t>Original source (2018): https://doi.org/10.1007/s10113-018-1294-x</w:t>
      </w:r>
    </w:p>
    <w:p>
      <w:r>
        <w:t>Original wording (abstract; indexed_source_text_not_full_document_verified): In a case study in Northern Portugal, we used a combination of statements, photograph rating exercises and open questions to assess the perceptions of local inhabitants, visitors and experts regarding land abandonment and their preferences of different possible trajectories after abandonment. The results show that all user groups have a negative response towards abandonment and associate it mainly with negative emotions and the loss of heritage and traditions.</w:t>
      </w:r>
    </w:p>
    <w:p>
      <w:r>
        <w:t>POSSIBLE 2026: Is there space for regional identities in a centralized unitary state? Northern Portugal as case study — https://doi.org/10.1080/1070289x.2026.2614229</w:t>
      </w:r>
    </w:p>
    <w:p>
      <w:r>
        <w:t>Shared claim-specific concepts: case, northern, portugal; EU scope visible. This is a provisional connection, not an outcome finding.</w:t>
      </w:r>
    </w:p>
    <w:p>
      <w:r>
        <w:t>Available abstract (not full text): As European regions gain importance in development planning, regional identities have become increasingly significant for territorial governance and legitimacy. In centralized unitary states, however, their formation and mobilization remain poorly understood. This study examines how regional identities are framed in Northern Portugal, a planning region in Portugal – one of the most centralized countries in the European Union. Through geo-historical analysis and narrative examination of interviews and strategic documents, we found that regional identities can emerge and persist independently of formal regional structures through two mechanisms: maintaining unofficial territorial references in social consciousness and embedding historical regional elements into current official narratives. However, the effectiveness of regional identities as tools for development and decision-making legitimacy is highly dependent on the institutional framework.</w:t>
      </w:r>
    </w:p>
    <w:p>
      <w:r>
        <w:t>POSSIBLE 2024: The Influence of Wildfire Climate on Wildfire Incidence: The Case of Portugal — https://doi.org/10.3390/fire7070234</w:t>
      </w:r>
    </w:p>
    <w:p>
      <w:r>
        <w:t>Shared claim-specific concepts: case, northern, portugal, different; EU scope visible. This is a provisional connection, not an outcome finding.</w:t>
      </w:r>
    </w:p>
    <w:p>
      <w:r>
        <w:t>Available abstract (not full text): Although the influence of climate on the fire regime is unanimously recognized, most publications are studies on this influence are at the global scale. Therefore, this study aims to demonstrate the role of climate in the incidence of wildfires at the country and regional scale using statistical analysis and machine learning methods. Mainland Portugal was chosen as a case study due to its climate and because it is the European region most affected by wildfires. Results demonstrate the climate signature in the spatial and temporal distribution of the wildfire incidence. The conclusions of the study include (i) the existence of two pyro-regions, with different types of climate (Csb and Csa) composed of NUTS II regions: the northern region composed of the Norte and Centro regions and the southern region composed of Alentejo and Algarve; (ii) the intra-annual variability in the incidence of wildfires, characterized by two peaks, one in spring and the other in summer, are a consequence of the country's type of climate; and, (iii) how the annual cycle of wildfire incidence varies over the years depends on the weather conditions throughout each year. These results are of fundamental importance for wildfire managers, especially in the context of climate change.</w:t>
      </w:r>
    </w:p>
    <w:p>
      <w:r>
        <w:t>POSSIBLE 2023: The Portuguese Case — https://openalex.org/W7111493077</w:t>
      </w:r>
    </w:p>
    <w:p>
      <w:r>
        <w:t>Shared claim-specific concepts: case, portugal, regarding; EU scope visible. This is a provisional connection, not an outcome finding.</w:t>
      </w:r>
    </w:p>
    <w:p>
      <w:r>
        <w:t>Available abstract (not full text): This article discusses recent historiographical trends regarding the evolution of warfare in Portugal and its overseas empire in the early modern period. It presents a reassessment of the state of art on the Portuguese case in the early modern world (in the kingdom of Portugal in Europe and its overseas empire), followed by some contributions for an ongoing research agenda. It is divided in three parts, presenting overviews of the situation in Europe, overseas and at sea. It concludes that it is difficult to sustain that the Portuguese case supports the case for a link between an alleged military revolution and unilinear state-formation or Western military exceptionalism</w:t>
      </w:r>
    </w:p>
    <w:p>
      <w:r>
        <w:t>POSSIBLE 2023: Incidence of Lyme Borreliosis in Europe: A Systematic Review (2005–2020) — https://doi.org/10.1089/vbz.2022.0070</w:t>
      </w:r>
    </w:p>
    <w:p>
      <w:r>
        <w:t>Shared claim-specific concepts: case, northern, portugal, used, local; EU scope visible. This is a provisional connection, not an outcome finding.</w:t>
      </w:r>
    </w:p>
    <w:p>
      <w:r>
        <w:t>Available abstract (not full text): Background: Lyme borreliosis (LB) is the most common tick-borne disease in Europe, but the burden of disease is incompletely described. Methods: We conducted a systematic review across PubMed, EMBASE, and CABI Direct (Global Health) databases, from January 1, 2005, to November 20, 2020, of epidemiological studies reporting incidence of LB in Europe (PROSPERO, CRD42021236906). Results: The systematic review yielded 61 unique articles describing LB incidence (national or subnational) in 25 European countries. Substantial heterogeneity in study designs, populations sampled, and case definitions restricted data comparability. The European Union Concerted Action on Lyme Borreliosis (EUCALB)–published standardized LB case definitions were used by only 13 (21%) of the 61 articles. There were 33 studies that provided national-level LB incidence estimates for 20 countries. Subnational LB incidence was available from an additional four countries (Italy, Lithuania, Norway, and Spain). The highest LB incidences (&gt;100 cases per 100,000 population per year [PPY]) were reported in Belgium, Finland, the Netherlands, and Switzerland. Incidences were 20–40/100,000 PPY in the Czech Republic, Germany, Poland, and Scotland and &lt;20/100,000 PPY in Belarus, Croatia, Denmark, France, Ireland, Portugal, Russia, Slovakia, Sweden, and the United Kingdom (England, Northern Ireland, and Wales); markedly hig</w:t>
      </w:r>
    </w:p>
    <w:p>
      <w:r>
        <w:t>POSSIBLE 2022: Impact of external cost internalization on short sea shipping – The case of the Portugal-Northern Europe trade — https://doi.org/10.1016/j.trd.2022.103544</w:t>
      </w:r>
    </w:p>
    <w:p>
      <w:r>
        <w:t>Shared claim-specific concepts: case, northern, used, regarding, different; EU scope visible. This is a provisional connection, not an outcome finding.</w:t>
      </w:r>
    </w:p>
    <w:p>
      <w:r>
        <w:t>Available abstract (not full text): This paper presents research on the impact of transportation external costs internalization in the competitiveness of short sea shipping. Numerical methods for calculating emissions and external costs, that consider the full range of technical and operational vehicle characteristics are presented. The impacts of existing and future emission control areas, emissions abatement technologies, types of fuel, ship speed, cargo capacity and utilization factors in the required freight rate are evaluated. Internal and external costs are used to evaluate alternative intermodal chains for a set of pairs origin/destination extending to a range of regions in Northern Europe. Short sea shipping is competitive for a large set of destinations and its scope of competitiveness does not change significantly between different scenarios. Competitiveness regarding external costs shows more variation but, due to the small relative magnitude of these costs, internalization shows a moderate potential for promoting modal shift towards short sea shipping.</w:t>
      </w:r>
    </w:p>
    <w:p>
      <w:r>
        <w:t>POSSIBLE 2022: Epidemiological Trends of Human Monkeypox Cases in Northern, Southern, Western, and Eastern Regions in Europe: A Cross-Sectional Study — https://doi.org/10.1155/2022/4042962</w:t>
      </w:r>
    </w:p>
    <w:p>
      <w:r>
        <w:t>Shared claim-specific concepts: northern, portugal, different; EU scope visible. This is a provisional connection, not an outcome finding.</w:t>
      </w:r>
    </w:p>
    <w:p>
      <w:r>
        <w:t>Available abstract (not full text): Background: The growing amount of monkeypox cases in non-endemic regions raises concerns in societies as a potential pandemic. This study highlights the prevalence and epidemiological trends of a human monkeypox outbreak in various regions in Europe. Methods: This cross-sectional study was conducted in the Department of Physiology, College of Medicine, King Saud University, Riyadh, Saudi Arabia. The data about the monkeypox outbreak in European countries were recorded by the World Health Organization (WHO), and Centers for Disease Control and Prevention (CDC) reports. The period prevalence-based data were recorded from Jan 1, 2022, to July 7, 2022, and analyzed, and epidemiological trends were established in different European regions and countries. Results: In Europe, the human monkeypox rapidly spread in all the four subregions and involved 30 European countries, infecting 6077 people. The rising number of monkeypox cases is identified in Western Europe, 2599 (42.76%); Southern Europe, 1932 (31.79%); Northern Europe, 1487 (24.46%); and Eastern Europe, 59 (0.97%). In Western Europe, significant cases are found in Germany (1304), France (604), the Netherlands (352), Belgium (168), and Switzerland (131). In Northern Europe, it is found in the United Kingdom (1351), Ireland (44), Sweden (28), and Denmark (26); in Southern Europe, it is found in Spain (1256), Portugal (415), and I</w:t>
      </w:r>
    </w:p>
    <w:p>
      <w:r>
        <w:t>POSSIBLE 2022: The impact of the COVID-19 pandemic on Portuguese events: the case of Northern Portugal — https://doi.org/10.34190/ictr.15.1.209</w:t>
      </w:r>
    </w:p>
    <w:p>
      <w:r>
        <w:t>Shared claim-specific concepts: case, northern, portugal, used, regarding; EU scope visible. This is a provisional connection, not an outcome finding.</w:t>
      </w:r>
    </w:p>
    <w:p>
      <w:r>
        <w:t>Available abstract (not full text): Events, as forms of leisure and tourism, have had an exponential growth, visible in academic studies, but also as a new form of communication. Acting as important tools for territorial dynamization, they are assumed as generators of development opportunities for a region and leverage the positioning of a strong and positive image for tourist destinations. COVID-19 has had an impact on almost all aspects of our life. Many industries have faced significant revenue losses and contracted in terms of their growth and, naturally, one of the worst affected by the pandemic was the events industry. This pandemic crisis has introduced an unparalleled level of doubts regarding the type of events that will take place in the coming years and how they will be produced. Also, with restrictions and a population less willing to be in the physical presence of others, it's important to understand how participants are facing the possibility to attend future events. This research study aims to investigate and understand the impact of the Covid-19 pandemic on the tourism sector, particularly on the events industry, especially in the North of Portugal. It is also analysed how Portuguese were affected by the cancellation and/or postponement of events and also how they anticipate the future of this area. It is also analysed the risk and fear management and its relationship with the pandemic. In methodo</w:t>
      </w:r>
    </w:p>
    <w:p>
      <w:r>
        <w:t>POSSIBLE 2022: Pastoralism, multifunctionality, and environmental agency: Insights from mountain sheep pastoralists in Northern Portugal — https://doi.org/10.1111/joac.12480</w:t>
      </w:r>
    </w:p>
    <w:p>
      <w:r>
        <w:t>Shared claim-specific concepts: case, northern, portugal, trajectories; EU scope visible. This is a provisional connection, not an outcome finding.</w:t>
      </w:r>
    </w:p>
    <w:p>
      <w:r>
        <w:t>Available abstract (not full text): Abstract The idea of multifunctionality permeates European agriculture. Pastoralism is not spared and is valued as a vector of environmental management of the mountainous areas. Multifunctionality is nonetheless connected to entrepreneurial agriculture. Although entrepreneurship is disseminated in the European agricultural sector, little is known about the entrepreneurial evolution within traditional mountain pastoralist communities. This ethnographic paper builds on the case study of mountain sheep pastoralists in Braganza, Portugal, to augment this knowledge. It dives into the dynamics of production of sheep farming to uncover the cultural drivers of traditional pastoralism in Northern Portugal. Results show that pastoralists are unresponsive to the entrepreneurial narratives of multifunctionality as they respond to the occupational identity of shepherds in a moral economy of subsistence ethics. Pastoralists nevertheless exercise valuable environmental agency grounded in their condition as rural dwellers. Tailored narratives to their subsistence ethic are then required to rapidly address and valorize this environmental agency as new fire regimes progress and traditional pastoralism stands at the brink of extinction in Portugal. These results may ultimately contribute to the global literature and policy making on pastoralism, multifunctionality and environment: worldwide pasto</w:t>
      </w:r>
    </w:p>
    <w:p>
      <w:r>
        <w:t>POSSIBLE 2022: Application of a Geobiodiversity Index to Natural Protected Areas in Northern Portugal — https://doi.org/10.5194/icg2022-722</w:t>
      </w:r>
    </w:p>
    <w:p>
      <w:r>
        <w:t>Shared claim-specific concepts: case, northern, portugal, different; EU scope visible. This is a provisional connection, not an outcome finding.</w:t>
      </w:r>
    </w:p>
    <w:p>
      <w:r>
        <w:t>Available abstract (not full text): The majority of studies on geodiversity and geoheritage have been focused exclusively on the analysis and evaluation of abiotic elements. Although some authors have highlighted the important connections between abiotic and biotic elements, it was not enough to highlight them systematically. In this sense, it is necessary to do the geodiversity potential analysis in a more complete sense. That is, all elements should be contemplated. In the context of the project “Clictour - Climate change resilient tourism in protected areas of Northern Portugal”, three protected areas were chosen as case studies. These areas are located in northwest Portugal, namely the Peneda-Gerês National Park, the Alvão Natural Park, and the Litoral Norte Natural Park. Despite their geodiversity richness, these parks were established mainly based on their biodiversity. The objective of this proposal is the application of a geobiodiversity index. This index is based on the work done by Steinke (2021), which is capable of indicating the most relevant areas of geological, geomorphological, and vegetational aspects to be conserved within existing legal instruments. The methodological procedures were centered on segmenting the three areas in hexagonal cells. The parks were subjected to a spatial matrix analysis in GIS and geostatistical environments capable of articulating the various elements and generating an</w:t>
      </w:r>
    </w:p>
    <w:p>
      <w:r>
        <w:t>POSSIBLE 2022: From Problematic Laggard to Star of the South? The Comparative Significance of the Portuguese Case — https://doi.org/10.1093/oxfordhb/9780192855404.013.1</w:t>
      </w:r>
    </w:p>
    <w:p>
      <w:r>
        <w:t>Shared claim-specific concepts: case, northern, portugal, used; EU scope visible. This is a provisional connection, not an outcome finding.</w:t>
      </w:r>
    </w:p>
    <w:p>
      <w:r>
        <w:t>Available abstract (not full text): Abstract This chapter identifies points of major comparative and theoretical importance of the Portuguese case and reviews hypotheses that are potentially useful for explaining the country’s unusual record of performance and democratic practice. The chapter also considers alternative frames of reference that have been used to compare the Portuguese case with others. Portugal’s status as the pioneer of the worldwide Third Wave of democratization in 1974 marked a clear break in the country’s political development, even though the pre-democratization past continues to exert its influence in various ways. With the functioning of the institutions and political culture put in place by the 1974 Carnation Revolution and its aftermath, Portugal achieved remarkable progress on many dimensions of performance, such as political inclusion, and can be viewed as an unusually successful case. Indeed, according to some indicators, such as women’s participation in the labour force and certain types of cultural tastes, Portuguese data has come closer to the levels found in Northern Europe than the ones from the rest of Southern Europe. This chapters examines several potential explanations for this recent record, while offering important conceptual and theoretical lessons that extend well beyond the Portuguese case.</w:t>
      </w:r>
    </w:p>
    <w:p>
      <w:r>
        <w:t>POSSIBLE 2022: Microplastic Contamination and Ecological Status of Freshwater Ecosystems: A Case Study in Two Northern Portuguese Rivers — https://doi.org/10.3390/ijerph192315956</w:t>
      </w:r>
    </w:p>
    <w:p>
      <w:r>
        <w:t>Shared claim-specific concepts: case, northern, portugal; EU scope visible. This is a provisional connection, not an outcome finding.</w:t>
      </w:r>
    </w:p>
    <w:p>
      <w:r>
        <w:t>Available abstract (not full text): BACKGROUND: Most European rivers have not yet achieved "good" ecological status. In addition, the presence and abundance of microplastics (MPs) in freshwater is a matter of great concern to the scientific community. METHODOLOGY: This study assesses the ecological status of four sampling sites of Selho (S1-S4) and Costa-Couros (C1-C4) rivers (Guimarães, Portugal), and the abundance of MPs in sediments and benthic macroinvertebrates (Oligochaeta) from those sites. RESULTS: All sites of both rivers under higher pressure did not reach a "good" ecological status (S2-S3, C2-C4) based on the macroinvertebrate community. High levels of nutrients were observed at all sites in both rivers (except C2), especially phosphorus. In the Oligochaeta's gut of Costa-Couros river, the high number of MPs seems to be associated with their weight (95.25 ± 25.61 to 1069.00 ± 385.30 MPs g/fresh weight), suggesting the existence of malnutrition and digestive disorders, whereas the highest number of MPs in gut (134.00 ± 30.36 to 558.6 ± 100.70 MPs g/fresh weight) were found for the heaviest organisms of Selho. CONCLUSIONS: Thus, sites with higher ecological status do not necessarily have lower abundance of MPs. In the sediments, urbanization seems to be the main driver for MP contamination. MP contamination is pervasive across the sediments and Oligochaeta's gut in both rivers. Since MPs have the potenti</w:t>
      </w:r>
    </w:p>
    <w:p>
      <w:r>
        <w:t>POSSIBLE 2021: Accessibility in European Peripheral Territories: Analyzing the Portuguese Mainland Connectivity Patterns from 1985 to 2020 — https://doi.org/10.3390/infrastructures6060092</w:t>
      </w:r>
    </w:p>
    <w:p>
      <w:r>
        <w:t>Shared claim-specific concepts: case, northern, portugal; EU scope visible. This is a provisional connection, not an outcome finding.</w:t>
      </w:r>
    </w:p>
    <w:p>
      <w:r>
        <w:t>Available abstract (not full text): The inner periphery European countries, as is the case of Portugal, are characterized by poor access to essential areas and services of general and social relations. Contextually, this paper aims to explore the linkages between inner peripheries, ultra-peripherality concepts, and the concept of accessibility from 1985 to 2020, in parallel with the analysis of some demographic trends in the same research period. Thus, the study deals with accessibility and the analysis of accessibility-related spatial distribution to represent the traditional core—periphery pattern, with the highest accessibility in the center of the mainland and west coastal area, and the lowest accessibility in remote regions. The results show that the distribution of the road infrastructure is not uniform in Portugal. Furthermore, the NUTS II regions of PT13 Lisboa e Vale do Tejo (the Lisbon region) and PT11 Norte (northern Portugal) have the greatest road per km2. The Lisbon region has the highest concentration of national roads globally, while the northern region has the highest concentration of municipal roads. These two regions are, by far, the most densely populated, encompassing about ¾ of the national population and GDP.</w:t>
      </w:r>
    </w:p>
    <w:p>
      <w:pPr>
        <w:pStyle w:val="Heading2"/>
      </w:pPr>
      <w:r>
        <w:t>Analysing the potential of integrating wind and solar power in Europe using spatial optimisation under various scenarios</w:t>
      </w:r>
    </w:p>
    <w:p>
      <w:r>
        <w:t>Original source (2018): https://doi.org/10.1016/j.rser.2018.05.071</w:t>
      </w:r>
    </w:p>
    <w:p>
      <w:r>
        <w:t>Original wording (abstract; indexed_source_text_not_full_document_verified): We test the potential of this method by modelling several scenarios exploring the effects of vRES penetration, alternative demand profiles, access to wind sites located far offshore, and alternative PV configurations. We find that expanding offshore wind capacity in the North Sea is a ‘no regret’ option, though correlated generation patterns with onshore wind farms in neighbouring countries at high vRES penetration rates may lead to significant surplus generation.</w:t>
      </w:r>
    </w:p>
    <w:p>
      <w:r>
        <w:t>POSSIBLE 2024: The opportunities and potential of camelina in marginal land in Europe — https://doi.org/10.1016/j.indcrop.2024.118224</w:t>
      </w:r>
    </w:p>
    <w:p>
      <w:r>
        <w:t>Shared claim-specific concepts: potential, sites, far, capacity; EU scope visible. This is a provisional connection, not an outcome finding.</w:t>
      </w:r>
    </w:p>
    <w:p>
      <w:r>
        <w:t>Available abstract (not full text): The European bioeconomy is steadily driving an industrial, economic, and social growth looking for sustainable biobased feedstocks able to replace fossil-based materials. In this scenario, there is an urgent and increasing need to produce locally industrial crops, with multiple applications and broad suitability to different pedo-climates. Furthermore, the actual EU legislation imposes to produce industrial crops not competing with food ones, and one possibility is to grow them on marginal land. Among others, camelina [Camelina sativa (L.) Crantz] has been identified as one of the most suitable options for marginal land in Europe, but so far there is a lack of studies conducted in such conditions able to provide reliable production data, on which it will be possible to build plausible business plans. At this scope different field trials have been established in four European countries, i.e., Italy, Greece, Germany, and Poland, in multiple growing seasons from 2018 to 2021, under different types of marginality. In details, in Italy camelina was tested under steep slopes (25% and 15%), in Greece in a soil with low fertility (pH &lt; 5.5) and adverse terrain conditions (steep slope &gt;12%); in Germany in a soil with limitations in rooting, i.e., rooting depth &lt; 30 cm + stoniness &gt; 15%, and in Poland in two sites one with sand &gt; 40%, and the other with clay &gt; 50% of the texture. Camelin</w:t>
      </w:r>
    </w:p>
    <w:p>
      <w:r>
        <w:t>POSSIBLE 2024: Disparities of Central and Eastern European Countries of European Union in innovation potential: A multi-criteria assessment — https://doi.org/10.1016/j.joitmc.2024.100282</w:t>
      </w:r>
    </w:p>
    <w:p>
      <w:r>
        <w:t>Shared claim-specific concepts: test, potential, method, capacity; EU scope visible. This is a provisional connection, not an outcome finding.</w:t>
      </w:r>
    </w:p>
    <w:p>
      <w:r>
        <w:t>Available abstract (not full text): The primary objective of the article is to evaluate the innovation potential of Central and Eastern European Union countries. The Technique for Order of Preference by Similarity to Ideal Solution method was employed to assess and rank this potential. The research was based on 10 indicators that characterize the main areas related to innovation, namely intellectual capital (as a measure of social innovative capacity), financial capital (as a measure of the potential for financing research and development) as well as research and innovation activities. Three objective approaches were used to calculate weights of these evaluation criteria (in the TOPSIS method): Shanon-Entropy, criteria importance through intercriteria correlation and equal weights. As a evaluate of the level of innovation potential of studied CEE countries between 2013-2022, the determined values of the Innovation Potential Index were used to evaluate the studied countries and divide them into four groups. With the use of the two non-parametric test, the relationships of this index with selected parameters were also measured. The research results show that the innovation potential level of CEE countries is highly differentiated. Slovenia, the Czech Republic and Estonia, countries investing in R&amp;D and social development, were found to have a high level of innovation. The remaining countries need to take more decis</w:t>
      </w:r>
    </w:p>
    <w:p>
      <w:r>
        <w:t>POSSIBLE 2023: Interactive robots for health in Europe: Technology readiness and adoption potential — https://doi.org/10.3389/fpubh.2023.979225</w:t>
      </w:r>
    </w:p>
    <w:p>
      <w:r>
        <w:t>Shared claim-specific concepts: potential, far; EU scope visible. This is a provisional connection, not an outcome finding.</w:t>
      </w:r>
    </w:p>
    <w:p>
      <w:r>
        <w:t xml:space="preserve">Available abstract (not full text): Introduction: Social robots are accompanied by high expectations of what they can bring to society and in the healthcare sector. So far, promising assumptions have been presented about how and where social robots are most relevant. We know that the industry has used robots for a long time, but what about social uptake outside industry, specifically, in the healthcare sector? This study discusses what trends are discernible, to better understand the gap between technology readiness and adoption of interactive robots in the welfare and health sectors in Europe. Methods: An assessment of interactive robot applications at the upper levels of the Technology Readiness Level scale is combined with an assessment of adoption potential based on Rogers' theory of diffusion of innovation. Most robot solutions are dedicated to individual rehabilitation or frailty and stress. Fewer solutions are developed for managing welfare services or public healthcare. Results: The results show that while robots are ready from the technological point of view, most of the applications had a low score for demand according to the stakeholders. Discussion: To enhance social uptake, a more initiated discussion, and more studies on the connections between technology readiness and adoption and use are suggested. Applications being available to users does not mean they have an advantage over previous solutions. </w:t>
      </w:r>
    </w:p>
    <w:p>
      <w:r>
        <w:t>POSSIBLE 2022: Evaluation of laboratory test methods for assessing the alkali-reactivity potential of aggregates by field site tests — https://doi.org/10.3989/mc.2022.17221</w:t>
      </w:r>
    </w:p>
    <w:p>
      <w:r>
        <w:t>Shared claim-specific concepts: test, potential, method, sites; EU scope visible. This is a provisional connection, not an outcome finding.</w:t>
      </w:r>
    </w:p>
    <w:p>
      <w:r>
        <w:t>Available abstract (not full text): Field site tests were carried out to assess the reliability of the tests developed by RILEM and some regional tests to evaluate the alkali-reactivity potential of aggregates (eight tests were included). One hundred concrete cubes made with 13 different European aggregate combinations were stored on eight different European field sites to compare their expansions with the laboratory test results. All highly reactive aggregate combinations caused significant expansion of concrete cubes within the first six years on all field sites from Norway to Spain. These and the non-reactive aggregate combinations were correctly identified with all laboratory tests. Concrete cubes with moderately reactive aggregate combinations expanded very slowly and mainly in the outdoor exposure sites with warm climate conditions. The RILEM test method AAR-4.1 (60°C accelerated concrete prism test) and the Norwegian concrete prism test at 38°C seem to be best suited to identity the potential reactivity of moderately reactive aggregate combinations.</w:t>
      </w:r>
    </w:p>
    <w:p>
      <w:r>
        <w:t>POSSIBLE 2021: Testing UNFC as a harmonized supporting tool for resource management in Europe — https://doi.org/10.5194/egusphere-egu21-15566</w:t>
      </w:r>
    </w:p>
    <w:p>
      <w:r>
        <w:t>Shared claim-specific concepts: test, potential; EU scope visible. This is a provisional connection, not an outcome finding.</w:t>
      </w:r>
    </w:p>
    <w:p>
      <w:r>
        <w:t>Available abstract (not full text): With the global increase in raw material demand comes the need for harmonized supporting tools for sustainable resource management in Europe. Europe needs to assess their resource potential, but the European countries do not have a common tool to aggregate information for continent-wide resource inventories. The United Nations Framework Classification for Resources (UNFC) is a system that may be used for this purpose. One of the specific tasks in the MINTELL4EU project under the GeoERA programme is to test if the European geological surveys will be able to use UNFC as a tool to evaluate a country’s known and potential resources across variable levels of knowledge. The project will also show, if the application of UNFC can provide better harmonization of mineral resource data nationally and across Europe. The work on UNFC in MINTELL4EU is based on case studies to gain experience. Based on the knowledge and lessons learned from the case studies, guidelines and recommendations for further work will be given. Preliminary results show that there is a need for a more harmonized system and that stricter guidelines are required. On top of this, there are different levels of experience in UNFC among the European geological surveys, and the approach and methods on UNFC varies between the countries.</w:t>
      </w:r>
    </w:p>
    <w:p>
      <w:r>
        <w:t>POSSIBLE 2020: Sources of particulate-matter air pollution and its oxidative potential in Europe — https://doi.org/10.1038/s41586-020-2902-8</w:t>
      </w:r>
    </w:p>
    <w:p>
      <w:r>
        <w:t>Shared claim-specific concepts: potential, modelling, find; EU scope visible. This is a provisional connection, not an outcome finding.</w:t>
      </w:r>
    </w:p>
    <w:p>
      <w:r>
        <w:t>Available abstract (not full text): . Here we use field observations and air-quality modelling to quantify the major primary and secondary sources of particulate matter and of oxidative potential in Europe. We find that secondary inorganic components, crustal material and secondary biogenic organic aerosols control the mass concentration of particulate matter. By contrast, oxidative potential concentration is associated mostly with anthropogenic sources, in particular with fine-mode secondary organic aerosols largely from residential biomass burning and coarse-mode metals from vehicular non-exhaust emissions. Our results suggest that mitigation strategies aimed at reducing the mass concentrations of particulate matter alone may not reduce the oxidative potential concentration. If the oxidative potential can be linked to major health impacts, it may be more effective to control specific sources of particulate matter rather than overall particulate mass.</w:t>
      </w:r>
    </w:p>
    <w:p>
      <w:r>
        <w:t>POSSIBLE 2020: Environmental impacts of household appliances in Europe and scenarios for their impact reduction — https://doi.org/10.1016/j.jclepro.2020.121952</w:t>
      </w:r>
    </w:p>
    <w:p>
      <w:r>
        <w:t>Shared claim-specific concepts: potential, method, several; EU scope visible. This is a provisional connection, not an outcome finding.</w:t>
      </w:r>
    </w:p>
    <w:p>
      <w:r>
        <w:t>Available abstract (not full text): Assessing the environmental impact due to consumption of goods and services is a pivotal step towards achieving the sustainable development goal related to responsible production and consumption (i.e. SDG 12). Household appliances plays a crucial role and should be assessed in a systemic manner, namely considering all life cycle stages, technological efficiency, and affluence aspects. The present study assess the impact of such household appliances used in Europe, and tests scenarios of potential impact reduction at various scales. Life cycle assessment is applied to 14 different household appliances (ranging from dishwashers to television devices) selected to build a set of representative products, based on their economic value and diffusion in households in Europe. Related impacts are calculated with the Environmental Footprint method for calculating a Consumer Footprint "appliances" for the baseline year 2010. A number of scenarios encompassing eco-solutions on a technical level, changes in consumption pattern, behavioral changes, as well as the combination of all these aspects are run to estimate the Consumer Footprint related to household appliances for the year 2030, compared against this baseline scenario. The baseline Consumer Footprint is confirming the importance of the use phase in leading the impacts in almost all impact categories. Testing different scenarios concl</w:t>
      </w:r>
    </w:p>
    <w:p>
      <w:r>
        <w:t>POSSIBLE 2020: Matching CIE illuminants to measured spectral power distributions: A method to evaluate non-visual potential of daylight in two European cities — https://doi.org/10.1016/j.solener.2020.08.021</w:t>
      </w:r>
    </w:p>
    <w:p>
      <w:r>
        <w:t>Shared claim-specific concepts: potential, method; EU scope visible. This is a provisional connection, not an outcome finding.</w:t>
      </w:r>
    </w:p>
    <w:p>
      <w:r>
        <w:t>Available abstract (not full text): The evaluation of non-visual effects of light is a crucial topic in lighting design research and practice. Performing such analysis requires precise information about the spectral distribution of the tested light source. Assessing non-visual effects of daylight is complicated due to its spectral composition continuously changing, depending on many factors. Currently there are no available databases with spectral and spatial radiation patterns of the sky vault for locations spread all over the world, and an easy and common method to evaluate non-visual effects of daylight is lacking. The goal of the paper is to provide a simple method to evaluate the non-visual potential of daylight, accounting for its variability. In order to present it, spectral measurements were conducted in two European cities in spring and summer. Horizontal and vertical illuminance toward the four cardinal directions was measured. Daylight variability was analysed in terms of illuminance, Correlated Colour Temperature (CCT) and Melanopic to Photopic (M/P) ratio. A comparison between the measured spectra and the CIE standard illuminants was performed and it was found that the usefulness of this method to evaluate non-visual effects of light in terms of M/P is adequate and provides reliable results. Therefore, a simple method to estimate the non-visual potential of daylight based on the use of D series of il</w:t>
      </w:r>
    </w:p>
    <w:p>
      <w:r>
        <w:t>POSSIBLE 2019: Economic, geological and technical potential mapping test in Europe for GSHP systems — https://openalex.org/W2921479659</w:t>
      </w:r>
    </w:p>
    <w:p>
      <w:r>
        <w:t>Shared claim-specific concepts: test, potential, method, several, sites; EU scope visible. This is a provisional connection, not an outcome finding.</w:t>
      </w:r>
    </w:p>
    <w:p>
      <w:r>
        <w:t>Available abstract (not full text): In order to promote the deployment of low enthalpy geothermal closed-loop systems at European scale, the definition and quantification of the feasibility and potential for different locations is fundamental. In particular, spatial information presented as thematic maps allow the decision process optimization, by identifying the most suitable areas and quantifying their economic and energetic potential. The mapping work described hereafter is related to the European project “Cheap-GSHPs”, which aims to reduce the total cost of ownership, composed out of investment and operating costs, by increasing the safety of shallow geothermal systems during installation and operation and by increasing the awareness of this technology throughout Europe. The work here presented is voted to merge all geological, climatic and energetic data, developing a method to map the techno-economic potential of closed-loop shallow geothermal systems (expressed as €/kW) applied in some test sites representative of main European contexts. Several databases have been created after the collection of geological, climatic, energetic, technological, environmental and economic data at European scale produced within the project. A large amount of numerical simulations were run to standardize 9 representative building types (residential and non- residential) and their energetic requirements in the identified 10 ref</w:t>
      </w:r>
    </w:p>
    <w:p>
      <w:r>
        <w:t>POSSIBLE 2019: HIV testing strategies outside of health care settings in the European Union (EU)/European Economic Area (EEA): a systematic review to inform European Centre for Disease Prevention and Control guidance — https://doi.org/10.1111/hiv.12807</w:t>
      </w:r>
    </w:p>
    <w:p>
      <w:r>
        <w:t>Shared claim-specific concepts: test, potential, several; EU scope visible. This is a provisional connection, not an outcome finding.</w:t>
      </w:r>
    </w:p>
    <w:p>
      <w:r>
        <w:t>Available abstract (not full text): OBJECTIVES: In recent years, new technologies and new approaches to scale up HIV testing have emerged. The objective of this paper was to synthesize the body of recent evidence on strategies aimed at increasing the uptake and coverage of HIV testing outside of health care settings in the European Union (EU)/European Economic Area (EEA). METHODS: Systematic searches to identify studies describing effective HIV testing interventions and barriers to testing were run in five databases (2010-2017) with no language restrictions; the grey literature was searched for similar unpublished studies (2014-2017). Study selection, data extraction and critical appraisal were performed by two independent reviewers following Preferred Reporting Items for Systematic Reviews and Meta-Analyses (PRISMA) guidelines. RESULTS: Eighty studies on HIV testing in non-health care settings were identified, the majority set in Northern Europe. Testing was implemented in 65 studies, with men who have sex with men the risk group most often targeted. Testing coverage and positivity/reactivity rates varied widely by setting and population group. However, testing in community and outreach settings was effective at reaching people who had never previously been tested and acceptability of HIV testing, particularly rapid testing, outside of health care settings was found to be high. Other interventions aimed to incre</w:t>
      </w:r>
    </w:p>
    <w:p>
      <w:pPr>
        <w:pStyle w:val="Heading2"/>
      </w:pPr>
      <w:r>
        <w:t>Assessing the Future of Renewable Energy Consumption for United Kingdom, Turkey and Nigeria</w:t>
      </w:r>
    </w:p>
    <w:p>
      <w:r>
        <w:t>Original source (2018): https://doi.org/10.17323/2500-2597.2018.4.62.77</w:t>
      </w:r>
    </w:p>
    <w:p>
      <w:r>
        <w:t>Original wording (abstract; indexed_source_text_not_full_document_verified): Then, a prediction model is developed for the year 2030. These findings support the advantages of government policies encouraging the use of RE by implementing RE markets and RE portfolio standards to not only enhance the security and environmental concerns, but also from a macroeconomic point of view (stable economic growth).</w:t>
      </w:r>
    </w:p>
    <w:p>
      <w:r>
        <w:t>POSSIBLE 2024: Developing clinical prediction models: a step-by-step guide — https://doi.org/10.1136/bmj-2023-078276</w:t>
      </w:r>
    </w:p>
    <w:p>
      <w:r>
        <w:t>Shared claim-specific concepts: prediction, also; EU scope not established. This is a provisional connection, not an outcome finding.</w:t>
      </w:r>
    </w:p>
    <w:p>
      <w:r>
        <w:t>Available abstract (not full text): 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w:t>
      </w:r>
    </w:p>
    <w:p>
      <w:r>
        <w:t>POSSIBLE 2023: There is no such thing as a validated prediction model — https://doi.org/10.1186/s12916-023-02779-w</w:t>
      </w:r>
    </w:p>
    <w:p>
      <w:r>
        <w:t>Shared claim-specific concepts: prediction, support, not, but; EU scope not established. This is a provisional connection, not an outcome finding.</w:t>
      </w:r>
    </w:p>
    <w:p>
      <w:r>
        <w:t>Available abstract (not full text): BACKGROUND: Clinical prediction models should be validated before implementation in clinical practice. But is favorable performance at internal validation or one external validation sufficient to claim that a prediction model works well in the intended clinical context? MAIN BODY: We argue to the contrary because (1) patient populations vary, (2) measurement procedures vary, and (3) populations and measurements change over time. Hence, we have to expect heterogeneity in model performance between locations and settings, and across time. It follows that prediction models are never truly validated. This does not imply that validation is not important. Rather, the current focus on developing new models should shift to a focus on more extensive, well-conducted, and well-reported validation studies of promising models. CONCLUSION: Principled validation strategies are needed to understand and quantify heterogeneity, monitor performance over time, and update prediction models when appropriate. Such strategies will help to ensure that prediction models stay up-to-date and safe to support clinical decision-making.</w:t>
      </w:r>
    </w:p>
    <w:p>
      <w:r>
        <w:t>POSSIBLE 2020: Prediction models for diagnosis and prognosis of covid-19: systematic review and critical appraisal — https://doi.org/10.1136/bmj.m1328</w:t>
      </w:r>
    </w:p>
    <w:p>
      <w:r>
        <w:t>Shared claim-specific concepts: prediction, developed, support, also; EU scope not established. This is a provisional connection, not an outcome finding.</w:t>
      </w:r>
    </w:p>
    <w:p>
      <w:r>
        <w:t>Available abstract (not full text): Abstract Objective To review and appraise the validity and usefulness of published and preprint reports of prediction models for prognosis of patients with covid-19, and for detecting people in the general population at increased risk of covid-19 infection or being admitted to hospital or dying with the disease. Design Living systematic review and critical appraisal by the covid-PRECISE (Precise Risk Estimation to optimise covid-19 Care for Infected or Suspected patients in diverse sEttings) group. Data sources PubMed and Embase through Ovid, up to 17 February 2021, supplemented with arXiv, medRxiv, and bioRxiv up to 5 May 2020. Study selection Studies that developed or validated a multivariable covid-19 related prediction model. Data extraction At least two authors independently extracted data using the CHARMS (critical appraisal and data extraction for systematic reviews of prediction modelling studies) checklist; risk of bias was assessed using PROBAST (prediction model risk of bias assessment tool). Results 126 978 titles were screened, and 412 studies describing 731 new prediction models or validations were included. Of these 731, 125 were diagnostic models (including 75 based on medical imaging) and the remaining 606 were prognostic models for either identifying those at risk of covid-19 in the general population (13 models) or predicting diverse outcomes in those individ</w:t>
      </w:r>
    </w:p>
    <w:p>
      <w:r>
        <w:t>POSSIBLE 2020: Calculating the sample size required for developing a clinical prediction model — https://doi.org/10.1136/bmj.m441</w:t>
      </w:r>
    </w:p>
    <w:p>
      <w:r>
        <w:t>Shared claim-specific concepts: prediction, developed; EU scope not established. This is a provisional connection, not an outcome finding.</w:t>
      </w:r>
    </w:p>
    <w:p>
      <w:r>
        <w:t>Available abstract (not full text): Clinical prediction models aim to predict outcomes in individuals, to inform diagnosis or prognosis in healthcare. Hundreds of prediction models are published in the medical literature each year, yet many are developed using a dataset that is too small for the total number of participants or outcome events. This leads to inaccurate predictions and consequently incorrect healthcare decisions for some individuals. In this article, the authors provide guidance on how to calculate the sample size required to develop a clinical prediction model.</w:t>
      </w:r>
    </w:p>
    <w:p>
      <w:r>
        <w:t>POSSIBLE 2020: Systematic review of prediction models for gestational hypertension and preeclampsia — https://doi.org/10.1371/journal.pone.0230955</w:t>
      </w:r>
    </w:p>
    <w:p>
      <w:r>
        <w:t>Shared claim-specific concepts: prediction, developed, use, not, only; EU scope not established. This is a provisional connection, not an outcome finding.</w:t>
      </w:r>
    </w:p>
    <w:p>
      <w:r>
        <w:t>Available abstract (not full text): INTRODUCTION: Prediction models for gestational hypertension and preeclampsia have been developed with data and assumptions from developed countries. Their suitability and application for low resource settings have not been tested. This review aimed to identify and assess the methodological quality of prediction models for gestational hypertension and pre-eclampsia with reference to their application in low resource settings. METHODS: Using combinations of keywords for gestational hypertension, preeclampsia and prediction models seven databases were searched to identify prediction models developed with maternal data obtained before 20 weeks of pregnancy and including at least three predictors (Prospero registration CRD 42017078786). Prediction model characteristics and performance measures were extracted using the CHARMS, STROBE and TRIPOD checklists. The National Institute of Health quality assessment tools for observational cohort and cross-sectional studies were used for study quality appraisal. RESULTS: We retrieved 8,309 articles out of which 40 articles were eligible for review. Seventy-seven percent of all the prediction models combined biomarkers with maternal clinical characteristics. Biomarkers used as predictors in most models were pregnancy associated plasma protein-A (PAPP-A) and placental growth factor (PlGF). Only five studies were conducted in a low-and middle i</w:t>
      </w:r>
    </w:p>
    <w:p>
      <w:r>
        <w:t>POSSIBLE 2020: Prediction models for childhood asthma: A systematic review — https://doi.org/10.1111/pai.13247</w:t>
      </w:r>
    </w:p>
    <w:p>
      <w:r>
        <w:t>Shared claim-specific concepts: prediction, developed, not, but; EU scope not established. This is a provisional connection, not an outcome finding.</w:t>
      </w:r>
    </w:p>
    <w:p>
      <w:r>
        <w:t>Available abstract (not full text): BACKGROUND: The inability to objectively diagnose childhood asthma before age five often results in both under-treatment and over-treatment of asthma in preschool children. Prediction tools for estimating a child's risk of developing asthma by school-age could assist physicians in early asthma care for preschool children. This review aimed to systematically identify and critically appraise studies which either developed novel or updated existing prediction models for predicting school-age asthma. METHODS: Three databases (MEDLINE, Embase and Web of Science Core Collection) were searched up to July 2019 to identify studies utilizing information from children ≤5 years of age to predict asthma in school-age children (6-13 years). Validation studies were evaluated as a secondary objective. RESULTS: Twenty-four studies describing the development of 26 predictive models published between 2000 and 2019 were identified. Models were either regression-based (n = 21) or utilized machine learning approaches (n = 5). Nine studies conducted validations of six regression-based models. Fifteen (out of 21) models required additional clinical tests. Overall model performance, assessed by area under the receiver operating curve (AUC), ranged between 0.66 and 0.87. Models demonstrated moderate ability to either rule in or rule out asthma development, but not both. Where external validation was per</w:t>
      </w:r>
    </w:p>
    <w:p>
      <w:r>
        <w:t>POSSIBLE 2020: Overview of clinical prediction models — https://doi.org/10.21037/atm.2019.11.121</w:t>
      </w:r>
    </w:p>
    <w:p>
      <w:r>
        <w:t>Shared claim-specific concepts: prediction, not, only, but, also; EU scope not established. This is a provisional connection, not an outcome finding.</w:t>
      </w:r>
    </w:p>
    <w:p>
      <w:r>
        <w:t>Available abstract (not full text): Clinical prediction models are becoming more and more popular over recent years, which could be used in not only medicine area but also other areas, such as engineering, mathematics, and computer science (1).</w:t>
      </w:r>
    </w:p>
    <w:p>
      <w:r>
        <w:t>POSSIBLE 2019: Prediction Models for Suicide Attempts and Deaths — https://doi.org/10.1001/jamapsychiatry.2019.0174</w:t>
      </w:r>
    </w:p>
    <w:p>
      <w:r>
        <w:t>Shared claim-specific concepts: prediction, developed, findings, use, implementing, concerns; EU scope not established. This is a provisional connection, not an outcome finding.</w:t>
      </w:r>
    </w:p>
    <w:p>
      <w:r>
        <w:t xml:space="preserve">Available abstract (not full text): Importance: Suicide prediction models have the potential to improve the identification of patients at heightened suicide risk by using predictive algorithms on large-scale data sources. Suicide prediction models are being developed for use across enterprise-level health care systems including the US Department of Defense, US Department of Veterans Affairs, and Kaiser Permanente. Objectives: To evaluate the diagnostic accuracy of suicide prediction models in predicting suicide and suicide attempts and to simulate the effects of implementing suicide prediction models using population-level estimates of suicide rates. Evidence Review: A systematic literature search was conducted in MEDLINE, PsycINFO, Embase, and the Cochrane Library to identify research evaluating the predictive accuracy of suicide prediction models in identifying patients at high risk for a suicide attempt or death by suicide. Each database was searched from inception to August 21, 2018. The search strategy included search terms for suicidal behavior, risk prediction, and predictive modeling. Reference lists of included studies were also screened. Two reviewers independently screened and evaluated eligible studies. Findings: From a total of 7306 abstracts reviewed, 17 cohort studies met the inclusion criteria, representing 64 unique prediction models across 5 countries with more than 14 million participants. The </w:t>
      </w:r>
    </w:p>
    <w:p>
      <w:r>
        <w:t>POSSIBLE 2019: Prediction models for network-linked data — https://doi.org/10.1214/18-aoas1205</w:t>
      </w:r>
    </w:p>
    <w:p>
      <w:r>
        <w:t>Shared claim-specific concepts: prediction, but; EU scope not established. This is a provisional connection, not an outcome finding.</w:t>
      </w:r>
    </w:p>
    <w:p>
      <w:r>
        <w:t>Available abstract (not full text): Prediction algorithms typically assume the training data are independent samples, but in many modern applications samples come from individuals connected by a network. For example, in adolescent health studies of risk-taking behaviors, information on the subjects’ social network is often available and plays an important role through network cohesion, the empirically observed phenomenon of friends behaving similarly. Taking cohesion into account in prediction models should allow us to improve their performance. Here we propose a network-based penalty on individual node effects to encourage similarity between predictions for linked nodes, and show that incorporating it into prediction leads to improvement over traditional models both theoretically and empirically when network cohesion is present. The penalty can be used with many loss-based prediction methods, such as regression, generalized linear models, and Cox’s proportional hazard model. Applications to predicting levels of recreational activity and marijuana usage among teenagers from the AddHealth study based on both demographic covariates and friendship networks are discussed in detail and show that our approach to taking friendships into account can significantly improve predictions of behavior while providing interpretable estimates of covariate effects.</w:t>
      </w:r>
    </w:p>
    <w:p>
      <w:r>
        <w:t>POSSIBLE 2019: Prediction model — https://doi.org/10.6084/m9.figshare.11299298</w:t>
      </w:r>
    </w:p>
    <w:p>
      <w:r>
        <w:t>Shared claim-specific concepts: prediction, developed; EU scope not established. This is a provisional connection, not an outcome finding.</w:t>
      </w:r>
    </w:p>
    <w:p>
      <w:r>
        <w:t>Available abstract (not full text): Prediction model developed</w:t>
      </w:r>
    </w:p>
    <w:p>
      <w:pPr>
        <w:pStyle w:val="Heading2"/>
      </w:pPr>
      <w:r>
        <w:t>Baltic herring for food: Shades of grey in how backcasting recommendations work across exploratory scenarios</w:t>
      </w:r>
    </w:p>
    <w:p>
      <w:r>
        <w:t>Original source (2018): https://doi.org/10.1016/j.techfore.2018.11.001</w:t>
      </w:r>
    </w:p>
    <w:p>
      <w:r>
        <w:t>Original wording (abstract; indexed_source_text_not_full_document_verified): The case study: 1) develops recommendations on how the use of Baltic herring as food can be increased based on a participatory backcasting workshop with fisheries experts; 2) identifies four exploratory scenarios on the future of Baltic fisheries governance based on a literature review; 3) assesses how the recommendations work under four alternative plausible futures. Together, these stress the need to analyse simultaneously multiple drivers, stakeholders, exploratory scenarios, normative recommendations, and synergies and frictions between recommendations.</w:t>
      </w:r>
    </w:p>
    <w:p>
      <w:r>
        <w:t>POSSIBLE 2026: Emission factors for motorcycles in developing countries: insights and recommendations from a Colombian case study — https://doi.org/10.3389/frsc.2026.1730395</w:t>
      </w:r>
    </w:p>
    <w:p>
      <w:r>
        <w:t>Shared claim-specific concepts: case, recommendations, increased, identifies; EU scope not established. This is a provisional connection, not an outcome finding.</w:t>
      </w:r>
    </w:p>
    <w:p>
      <w:r>
        <w:t>Available abstract (not full text): Motorcycles in Latin America and the Caribbean have increased by nearly 150% since the early 2000s, now accounting for up to 60% of the vehicle fleet in some countries. This surge calls for a comprehensive assessment of their environmental impacts and contributions to local and global pollution. Understanding the role of motorcycles in atmospheric pollution is essential for developing effective mitigation strategies and informed policies. However, there is a significant lack of standardized methods for estimating motorcycle emissions, which hinders air pollution analysis and the development of effective control measures. This Brief Research Report highlights the urgent need for a systematic analysis of emission factors (EFs) for motorcycles used in local inventories. It focuses on developing countries, with a Colombian case study that: (i) examines current EFs used in official local inventories; (ii) identifies criteria for selecting suitable EFs in cities with limited measured data; and (iii) makes recommendations tailored to local conditions to ensure consistency across motorcycle categories, technologies, and pollutants, illustrated with one applied example. The study underscores the importance of improving EFs to establish a stronger foundation for policies aimed at improving air quality management in developing regions.</w:t>
      </w:r>
    </w:p>
    <w:p>
      <w:r>
        <w:t>POSSIBLE 2026: Adherence to dietary recommendations and the risk of developing giant cell arteritis: A nested Case-Control study — https://doi.org/10.1016/j.semarthrit.2026.153003</w:t>
      </w:r>
    </w:p>
    <w:p>
      <w:r>
        <w:t>Shared claim-specific concepts: case, recommendations, increased, four, review; EU scope not established. This is a provisional connection, not an outcome finding.</w:t>
      </w:r>
    </w:p>
    <w:p>
      <w:r>
        <w:t>Available abstract (not full text): OBJECTIVES: To investigate the relation between adherence to dietary recommendations, the quantified intake of the components of these recommendations, and the risk of developing giant cell arteritis (GCA). METHODS: Participants in the Malmö Diet and Cancer Study cohort who subsequently developed GCA were identified through register linkage and validated in a structured review. Four controls, matched for age, sex, and year of inclusion, were selected per case. Diet quality was assessed using the Swedish Dietary Guidelines Score (SDGS, range 0-5). The relations for the SDGS, adherence to recommendations for each component and total intake of each component with development of GCA were assessed using logistic regression, adjusted for total energy intake, leisure-time physical activity and alcohol intake. Potential misreporters of total energy intake were excluded. RESULTS: There were 193 incident cases of GCA. High adherence to dietary guidelines (SDGS 4-5 vs 0-1) was associated with subsequent development of GCA (adjusted odds ratio 2.70; 95% CI 1.43-5.10). In adjusted models, adherence to recommended intake of added sugar, fish and shellfish and vegetables and fruit was associated with an increased risk of GCA. A reduced risk was seen with higher quantified consumption of added sugar, and an increased risk with higher intakes of fiber and fish and shellfish. CONCLUSIONS: An ove</w:t>
      </w:r>
    </w:p>
    <w:p>
      <w:r>
        <w:t>POSSIBLE 2025: Mixed Methods Research in the Field of Clinical Practice Guidelines: The Case of Developing a Methodological Model for Good Practice Recommendation — https://doi.org/10.1177/15586898251362907</w:t>
      </w:r>
    </w:p>
    <w:p>
      <w:r>
        <w:t>Shared claim-specific concepts: case, use, exploratory; EU scope not established. This is a provisional connection, not an outcome finding.</w:t>
      </w:r>
    </w:p>
    <w:p>
      <w:r>
        <w:t>Available abstract (not full text): Mixed methods research provides a valuable opportunity to deepen our understanding of phenomena. However, practical guidance on using the method to develop methodological models in clinical practice guidelines (CPGs) field is limited. This article illustrates the use of exploratory sequential mixed methods design to develop a methodological model to standardize the formation of good practice recommendation (GPR) within CPGs in the context of weak evidence or no evidence. It demonstrates how qualitative and quantitative data can be systematically integrated throughout the model construction and validation. The GPR methodological model includes three main themes: connotation , procedure and methods , and reporting guideline . It assists CPGs developers in GPR formulation, aligns researchers’ methodological understanding of GPR, and informs future GPR methodological development.</w:t>
      </w:r>
    </w:p>
    <w:p>
      <w:r>
        <w:t>POSSIBLE 2025: DEVELOPING CONFERENCE INTERPRETER TRAINING IN UKRAINE WITHIN THE EU INTEGRATION FRAMEWORK: CASE STUDIES, RESEARCH, AND STRATEGIC RECOMMENDATIONS — https://doi.org/10.34079/2415-3168-2025-18-33-101-106</w:t>
      </w:r>
    </w:p>
    <w:p>
      <w:r>
        <w:t>Shared claim-specific concepts: case, recommendations, identifies; EU scope visible. This is a provisional connection, not an outcome finding.</w:t>
      </w:r>
    </w:p>
    <w:p>
      <w:r>
        <w:t>Available abstract (not full text): This article examines the evolution of conference interpreter training in Ukraine in the context of the country’s European integration and the growing demand for multilingual communication in international institutions. It explores how interpreter education is being reshaped to align with the European Union’s standards, institutional frameworks, and quality assurance mechanisms. Drawing on EU-funded research, comparative case studies from established training systems in EU member states, and recent national reforms and pilot initiatives in Ukraine, the study identifies both successful practices and systemic challenges. Special attention is given to institutional development, the role of professional networks, and the integration of EU-accredited curricula. The article offers strategic recommendations aimed at ensuring sustainable, high-quality interpreter training capable of supporting Ukraine’s participation in the multilingual and multicultural environment of the EU. It argues for greater institutional support, long-term investment,and cross-border cooperation to build a resilient infrastructure for professional conference interpreting that meets European standards. Key words:conference interpreting, interpreter training, EU integration, EMCI standards, Ukraine, multilingualism, European Parliament, higher education reform, accreditation, language policy</w:t>
      </w:r>
    </w:p>
    <w:p>
      <w:r>
        <w:t>POSSIBLE 2024: Developing a Multi-Criteria Restaurant Recommendation System with MOORA: A Case Study in Gading Serpong — https://doi.org/10.33168/jliss.2024.1128</w:t>
      </w:r>
    </w:p>
    <w:p>
      <w:r>
        <w:t>Shared claim-specific concepts: case, recommendations, use, food, based, assesses; EU scope not established. This is a provisional connection, not an outcome finding.</w:t>
      </w:r>
    </w:p>
    <w:p>
      <w:r>
        <w:t>Available abstract (not full text): The rapid growth of the restaurant industry in Indonesia, particularly in the Gading Serpong area, has led to an increasing variety of dining options.This abundance of choices can often lead to confusion among consumers when selecting a restaurant.To address this issue, this study aims to develop a web-based restaurant recommendation system using the Multi-Objective Optimization by Ratio Analysis (MOORA) method.The system assists users in making informed decisions by providing restaurant recommendations based on their preferences.The MOORA method is employed to rank restaurants considering multiple criteria such as price, operating hours, cleanliness, food variety, and ratings.The system's effectiveness is evaluated using the End-user Computing Satisfaction (EUCS) method, which assesses user satisfaction across five dimensions: content, accuracy, format, ease of use, and timeliness.The results indicate that the developed system achieves an overall user satisfaction rate of 87.53%, demonstrating its potential to assist users in restaurant selection.This research contributes to the application of multi-criteria decision-making methods in recommendation systems and highlights the importance of user satisfaction evaluation in system development.</w:t>
      </w:r>
    </w:p>
    <w:p>
      <w:r>
        <w:t>POSSIBLE 2023: Storytelling at board meetings: A case study of co-developing recommendations — https://doi.org/10.35680/2372-0247.1742</w:t>
      </w:r>
    </w:p>
    <w:p>
      <w:r>
        <w:t>Shared claim-specific concepts: case, recommendations, use, governance; EU scope not established. This is a provisional connection, not an outcome finding.</w:t>
      </w:r>
    </w:p>
    <w:p>
      <w:r>
        <w:t>Available abstract (not full text): In healthcare, stories shared by patients often provide details and insights into experiences of illness and care. Stories are a way to educate healthcare providers and others to improve care and systems to become more patient and family centred and to better meet patients’ needs and priorities. Telling stories may bring benefits to both storytellers and audience members but also presents risks of harm. A reflective storytelling practice aims to honor stories and storytellers by ensuring there is time to prepare, reflect, learn, ask questions, and engage in dialogue with the storyteller to explore what went well and where there are learning and improvement opportunities. Healthcare Excellence Canada (HEC) is a pan-Canadian health organization focused on improving the quality and safety of care in Canada. HEC commits to engage patients, caregivers, and communities and aims to develop practices and structures to enable engagement activities. At the request of the HEC Board, the Patient Engagement and Partnerships team co-developed recommendations on the process for how best to meaningfully share stories at Board meetings, including stories from those leading, providing, and receiving care. This Case Study outlines the process HEC used to co-develop storytelling recommendations, focusing on a trauma-informed approach to create safe spaces for preparing, learning from and reflectin</w:t>
      </w:r>
    </w:p>
    <w:p>
      <w:r>
        <w:t>POSSIBLE 2023: The challenges of developing accurate mood-based music recommendation systems: A Conceptual Case Investigation — https://doi.org/10.21203/rs.3.rs-3364709/v1</w:t>
      </w:r>
    </w:p>
    <w:p>
      <w:r>
        <w:t>Shared claim-specific concepts: case, based, identifies; EU scope not established. This is a provisional connection, not an outcome finding.</w:t>
      </w:r>
    </w:p>
    <w:p>
      <w:r>
        <w:t>Available abstract (not full text): Abstract The development of accurate mood-based music recommendation systems is a challenging task due to the complexity and subjectivity of human emotions, the lack of standardized datasets for mood detection, the diversity of music genres and styles, the cold start problem, and the user's personal preferences. This paper presents a conceptual framework with documentation analysis case study with different scenarios for studying the challenges of developing accurate mood-based music recommendation systems. Case 1 investigated combination of physiological signals and audio features to detect users' moods, Case 2 investigated large dataset of music tracks that had been labeled with emotions to train a machine learning algorithm to recommend music based on users' moods Music recommendation system that uses a combination of collaborative filtering and content-based filtering. We analysis the secondary source of data studied by researchers at the University of California, Berkeley, University of Amsterdam and University of Cambridge. The conceptual framework is based on the theory of emotions, and the documentation analysis identifies the different methods that have been used to develop these systems. The different scenarios are based on the different methods that have been used to develop mood-based music recommendation systems. The paper concludes by discussing the challenges tha</w:t>
      </w:r>
    </w:p>
    <w:p>
      <w:r>
        <w:t>POSSIBLE 2022: Experts’ recommendations for developing academic staff’s research skills: a case in Vietnam — https://doi.org/10.28918/erudita.v2i2.6139</w:t>
      </w:r>
    </w:p>
    <w:p>
      <w:r>
        <w:t>Shared claim-specific concepts: case, recommendations, experts; EU scope not established. This is a provisional connection, not an outcome finding.</w:t>
      </w:r>
    </w:p>
    <w:p>
      <w:r>
        <w:t>Available abstract (not full text): Due to many reasons, research productivity from Vietnamese lecturers has not been as good as expected, and their lack of research skills is dominant. Therefore, teacher professional development in enhancing lecturers’ research productivity has received more attention from institutional administrators and policymakers. This current study was conducted to explore the types of professional development activities, according Vietnamese educational experts, are solutions to lecturers’ research productivity. Twenty experts were engaging in a conference discussing what should be done to develop tertiary lecturers’ research productivity. The meeting minutes and conference reports were used as the data for further analyses. According to the data, the experts proposed three different professional development activities for enhancing their staff’s research productivity, including organizing training events for developing lecturers’ research skills and knowledge, formulating research teams according to their interests, and encouraging them to write and publish their studies throughout rewards and punishments. The findings are expected to contribute to dealing with the current issues related to research productivity and provide researchers interested in this field with practical ideas for further research.</w:t>
      </w:r>
    </w:p>
    <w:p>
      <w:r>
        <w:t>POSSIBLE 2022: Report on the Decision Support Tools used in the FarFish case studies for developing Management Recommendations 2 — https://doi.org/10.5281/zenodo.6542462</w:t>
      </w:r>
    </w:p>
    <w:p>
      <w:r>
        <w:t>Shared claim-specific concepts: case, recommendations, use, work; EU scope not established. This is a provisional connection, not an outcome finding.</w:t>
      </w:r>
    </w:p>
    <w:p>
      <w:r>
        <w:t>Available abstract (not full text): This document contains a report of the Decision support tools used for developing management recommendations (MRs) in each of the FarFish case studies. These tools have been selected in coordination with the production of the version two of the Management Recommendations for each case study. It continues the work program outlined in Deliverable 6.4 and 6.7 in collaboration with other work packages (WPs) of FarFish, mainly WP1, WP4 and WP7. The report shows the outputs of the satellite work in support of compliance. It summarizes the use of the FarFish-DLMtool developed for supporting stock assessment in data limited situations, including implementation, training applications and dissemination beyond FarFish. It also describes how some data limited methods were explored using small pelagics data from West Africa and the plan to use them to understand the effect of the environment on the population.</w:t>
      </w:r>
    </w:p>
    <w:p>
      <w:r>
        <w:t>POSSIBLE 2022: Comparative Analysis, Use Recommendations, and Application Cases of Methods for Develop Ship Emission Inventories — https://doi.org/10.3390/atmos13081224</w:t>
      </w:r>
    </w:p>
    <w:p>
      <w:r>
        <w:t>Shared claim-specific concepts: recommendations, use, based; EU scope not established. This is a provisional connection, not an outcome finding.</w:t>
      </w:r>
    </w:p>
    <w:p>
      <w:r>
        <w:t>Available abstract (not full text): Ship exhaust emissions have been considered as a significant source of air pollution that has an adverse impact on the global climate and human health. It is of vital importance to create an accurate ship emission inventory for the purpose of formulating effective control measures. A wide range of inventory compilation methods have been proposed around the globe, and there has long been a pressing need to analyze and compare these methods in depth. This study sorted out and categorized inventory compilation methods of ship emissions in recent decades. Five main methods were compared and analyzed by their applicability, complexity, time of calculation, accuracy of results, etc. In addition, a new method was proposed to develop an emission inventory based on a vessel energy consumption reporting system. This method is believed to have the potential advantages to produce results of higher accuracy and temporal and spatial resolutions. To perform the validation, three cases at different scales were selected in part of China and surrounding maritime waters (large-scale), the Yangtze River Delta region (medium-scale), and Tianjin Port (small-scale), respectively. The analysis results show that: each of methods have different technical characteristics. Computed results significantly between methods, with the maximum deviation of up to 87%. It is advisable that the optimal method shoul</w:t>
      </w:r>
    </w:p>
    <w:p>
      <w:r>
        <w:t>POSSIBLE 2022: Developing Self-Advocacy Skills through Machine Learning Education: The Case of Ad Recommendation on Facebook — https://doi.org/10.1609/icwsm.v16i1.19337</w:t>
      </w:r>
    </w:p>
    <w:p>
      <w:r>
        <w:t>Shared claim-specific concepts: case, recommendations, use, increased, experts; EU scope not established. This is a provisional connection, not an outcome finding.</w:t>
      </w:r>
    </w:p>
    <w:p>
      <w:r>
        <w:t>Available abstract (not full text): Facebook users interact with algorithms every day. These algorithms can perpetuate harm via incongruent targeted ads, echo chambers, or "rabbit hole" recommendations. Education around the machine learning (ML) behind Facebook (FB) can help users to point out algorithmic bias and harm, and advocate for themselves effectively when things go wrong. One algorithm that FB users interact with regularly is User-Based Collaborative Filtering (UB-CF) which provides the basis for ad recommendation. We contribute a novel research approach for teaching users about a commonly used algorithm in machine learning in real-world context -- an instructive web application using real examples built from the user's own FB data on ad interests. The instruction also prompts users to reflect on their interactions with ML systems, specifically Facebook. In a between-subjects design, we tested both Data Science Novices and Experts on the efficacy of the UB-CF instruction. Taking care to highlight the voices of marginalized users, we use the application as a prompt for surfacing potential harms perpetuated by FB ad recommendations, and qualitatively analyze themes of harm and proposed solutions provided by users themselves. The instruction increased comprehension of UB-CF for both groups, and we show that comprehension is associated with mentioning the mechanisms of the algorithm more in advocacy statemen</w:t>
      </w:r>
    </w:p>
    <w:p>
      <w:r>
        <w:t>POSSIBLE 2022: An Analysis on Existing Energy Policies and future Policy Recommendations for Developing Nations: A case Study of Pakistan — https://doi.org/10.5281/zenodo.6421622</w:t>
      </w:r>
    </w:p>
    <w:p>
      <w:r>
        <w:t>Shared claim-specific concepts: case, recommendations, alternative; EU scope not established. This is a provisional connection, not an outcome finding.</w:t>
      </w:r>
    </w:p>
    <w:p>
      <w:r>
        <w:t>Available abstract (not full text): Abstract: The existing energy policy is tilted in the favour of the fossil fuels, which has resulted in an ever-increasing cost and consumption graph. The paper discusses the supply and demand obtained from the existing data and future trends. The installation cost and overall cost associated with the renewable energy is analysed as an alternative to existing fossil fuel base. Finally, the policy implications and the analysis of the existing and future energy supply and demand are discussed in the paper.</w:t>
      </w:r>
    </w:p>
    <w:p>
      <w:pPr>
        <w:pStyle w:val="Heading2"/>
      </w:pPr>
      <w:r>
        <w:t>Central-East European employees on the labour market of London</w:t>
      </w:r>
    </w:p>
    <w:p>
      <w:r>
        <w:t>Original source (2018): https://doi.org/10.33605/croma-012018-004</w:t>
      </w:r>
    </w:p>
    <w:p>
      <w:r>
        <w:t>Original wording (abstract; indexed_source_text_not_full_document_verified): Practical implications – The conclusions of the study provide an adequate framework for the development of a rational economic policy program, which is the basis for future development, for the conscious development of the future of our region.</w:t>
      </w:r>
    </w:p>
    <w:p>
      <w:r>
        <w:t>POSSIBLE 2024: A Dynamical Systems View of Psychiatric Disorders—Practical Implications — https://doi.org/10.1001/jamapsychiatry.2024.0228</w:t>
      </w:r>
    </w:p>
    <w:p>
      <w:r>
        <w:t>Shared claim-specific concepts: practical, implications, conclusions; EU scope not established. This is a provisional connection, not an outcome finding.</w:t>
      </w:r>
    </w:p>
    <w:p>
      <w:r>
        <w:t xml:space="preserve">Available abstract (not full text): Importance: Dynamical systems theory is widely used to explain tipping points, cycles, and chaos in complex systems ranging from the climate to ecosystems. It has been suggested that the same theory may be used to explain the nature and dynamics of psychiatric disorders, which may come and go with symptoms changing over a lifetime. Here we review evidence for the practical applicability of this theory and its quantitative tools in psychiatry. Observations: Emerging results suggest that time series of mood and behavior may be used to monitor the resilience of patients using the same generic dynamical indicators that are now employed globally to monitor the risks of collapse of complex systems, such as tropical rainforest and tipping elements of the climate system. Other dynamical systems tools used in ecology and climate science open ways to infer personalized webs of causality for patients that may be used to identify targets for intervention. Meanwhile, experiences in ecological restoration help make sense of the occasional long-term success of short interventions. Conclusions and Relevance: Those observations, while promising, evoke follow-up questions on how best to collect dynamic data, infer informative timescales, construct mechanistic models, and measure the effect of interventions on resilience. Done well, monitoring resilience to inform well-timed interventions may be </w:t>
      </w:r>
    </w:p>
    <w:p>
      <w:r>
        <w:t>POSSIBLE 2023: Practical implications of workplace ostracism: a systematic literature review — https://doi.org/10.1108/baj-12-2022-0036</w:t>
      </w:r>
    </w:p>
    <w:p>
      <w:r>
        <w:t>Shared claim-specific concepts: practical, implications; EU scope not established. This is a provisional connection, not an outcome finding.</w:t>
      </w:r>
    </w:p>
    <w:p>
      <w:r>
        <w:t>Available abstract (not full text): Purpose This review analyzes data from research articles published from 2010 to 2022 related to workplace ostracism which include theoretical or empirical practical implications. The primary motive of this review is to identify main themes of practical implications relevant to workplace ostracism. Design/methodology/approach In total, 86 research articles published in 56 journals were retrieved from six well-known management science databases, namely, Science Direct, Emerald Online, Springer Link, Taylor and Francis, Wiley and Sage. The affinity diagram was utilized to organize the practical implications of the studies into meaningful themes. Moreover, in order to prioritize the main themes, the Pareto diagram was utilized. Findings Eleven themes have been used to categorize the practical implications of the reviewed articles, demonstrating various human resource (HR) interventions for avoiding or limiting the feelings of ostracism at work. Specifically, they focus on training and development, culture, formal and informal meetings, interpersonal relationships, task interdependence, monitoring, trust and transparency, proper channel, job autonomy and individual characteristics. Originality/value While many systematic and traditional literature reviews have been undertaken in an attempt to thoroughly organize extant literature on various aspects of workplace ostracism, no study h</w:t>
      </w:r>
    </w:p>
    <w:p>
      <w:r>
        <w:t>POSSIBLE 2023: Sex and Gender Differences in Stroke and Their Practical Implications in Acute Care — https://doi.org/10.5853/jos.2022.04077</w:t>
      </w:r>
    </w:p>
    <w:p>
      <w:r>
        <w:t>Shared claim-specific concepts: practical, implications, conclusions, provide; EU scope not established. This is a provisional connection, not an outcome finding.</w:t>
      </w:r>
    </w:p>
    <w:p>
      <w:r>
        <w:t>Available abstract (not full text): There are several controversies regarding the role of sex and gender in the pathophysiology and management of acute stroke. Assessing the role of sex, i.e., biological/pathophysiological factors, and gender, i.e., sociocultural factors, in isolation is often not possible since they are closely intertwined with each other. To complicate matters even more, the functional baseline status of women and men at the time of their first stroke is substantially different, whereby women have, on average, a poorer reported/ascertained baseline function compared to men. These differences in baseline variables account for a large part of the differences in post-stroke outcomes between women and men. Adjusting for these baseline differences is difficult, and in many cases, residual confounding cannot be excluded. Despite these obstacles, a better understanding of how patient sex and gender differences influence acute stroke and stroke care pathways is crucial to avoid biases and allow us to provide the best possible care for all acute stroke patients. Disregarding patient sex and gender on one hand and ignoring potential confounding factors in sex- and gender-stratified analyses on the other hand, may cause researchers to come to erroneous conclusions and physicians to provide suboptimal care. This review outlines sex- and gender-related factors in key aspects of acute stroke, including acute</w:t>
      </w:r>
    </w:p>
    <w:p>
      <w:r>
        <w:t>POSSIBLE 2022: THEORETICAL AND PRACTICAL ASPECTS REGARDING THE ISSUANCE OF EUROPEAN INVESTIGATION ORDER — https://openalex.org/W4365816987</w:t>
      </w:r>
    </w:p>
    <w:p>
      <w:r>
        <w:t>Shared claim-specific concepts: practical, implications, conclusions, framework; EU scope visible. This is a provisional connection, not an outcome finding.</w:t>
      </w:r>
    </w:p>
    <w:p>
      <w:r>
        <w:t>Available abstract (not full text): The chosen topic, through its novelty in the field of international judicial cooperation in criminal matters, presents both theoretical and practical importance through the procedural-criminal implications it determines. The author analyzes both synthetically and analytically the functionality of the institution of the European investigation order, determining its content, application limits and subjects involved in the criminal trial report, highlighting the aspects of non-correlation of the objective with the intended purpose. The conclusions materialized in proposals to complete and improve the existing legislative framework, represented by Law no. 236/2017.</w:t>
      </w:r>
    </w:p>
    <w:p>
      <w:r>
        <w:t>POSSIBLE 2022: Globalization, Green Economy and Environmental Challenges: State of the Art Review for Practical Implications — https://doi.org/10.3389/fenvs.2022.870271</w:t>
      </w:r>
    </w:p>
    <w:p>
      <w:r>
        <w:t>Shared claim-specific concepts: practical, implications, provide, framework; EU scope not established. This is a provisional connection, not an outcome finding.</w:t>
      </w:r>
    </w:p>
    <w:p>
      <w:r>
        <w:t>Available abstract (not full text): Globalization has significantly influenced the economy, ecology, and society during the previous decade. Meanwhile, the green economy has emerged as a critical policy framework for growth and development in developed and developing countries. The current study is an attempt to provide a detailed review on globalization, green economy, and climate challenges to draw some implications. There are disagreements between competing green economic discourses and a variety of definitions, all of which have problems. Recognizing the environmental effects of natural resource depletion and the economic benefits of environmental management are common examples of green economy operationalization. The new study also examines climate change’s impact on the green economy and infrastructure development. The study further considers the role of economic structure to mitigate environmental issues, increase production efficiency, enhance green economy and environmentally friendly technologies. The present study concluded that working toward a green economy helps reduce poverty in the four ways indicated in this study. It also shed a brief light to improves poor people’s access to a healthy and safe environment while increasing human security by preventing or resolving conflicts over land, food, water, and other natural resources.</w:t>
      </w:r>
    </w:p>
    <w:p>
      <w:r>
        <w:t>POSSIBLE 2022: The European Union-Africa Migration Partnership: Asymmetry, Conditionality, and Rights Implications: Institutional Dimensions and Reform Pathways — https://doi.org/10.5281/zenodo.19519549</w:t>
      </w:r>
    </w:p>
    <w:p>
      <w:r>
        <w:t>Shared claim-specific concepts: practical, implications; EU scope visible. This is a provisional connection, not an outcome finding.</w:t>
      </w:r>
    </w:p>
    <w:p>
      <w:r>
        <w:t>Available abstract (not full text): This article examines The European Union-Africa Migration Partnership: Asymmetry, Conditionality, and Rights Implications: Institutional Dimensions and Reform Pathways with a focused emphasis on Algeria within the field of Political Science. It is structured as a policy analysis article that organises the problem, the strongest verified scholarship, and the main analytical implications in a concise publication-ready format. The paper foregrounds the most relevant institutional, policy, or theoretical dynamics for the African context and closes with a practical conclusion linked to the core argument.</w:t>
      </w:r>
    </w:p>
    <w:p>
      <w:r>
        <w:t>POSSIBLE 2021: How is human resource management research (not) helping practice? In defence of practical implications — https://doi.org/10.1111/1748-8583.12414</w:t>
      </w:r>
    </w:p>
    <w:p>
      <w:r>
        <w:t>Shared claim-specific concepts: practical, implications, provide; EU scope not established. This is a provisional connection, not an outcome finding.</w:t>
      </w:r>
    </w:p>
    <w:p>
      <w:r>
        <w:t>Available abstract (not full text): Abstract This article provokes that human resource management (HRM) research is a long way from helping practice. Following a review of HRM empirical articles published in 2018, we show the limited focus academic journals place on practical implications. We provoke that HRM journals are failing to ‘do the right thing’ by not requiring authors to pay enough attention to communicating the practical implications of their research. In half of the articles that we reviewed (n = 324) less than 2% of the text focuses on practical implications. We also found that where practical implications were offered, they were often obscure, implicit, and used unintelligible terms. We argue for extensive practical implications to be included in publications that provide an impetus to research relevant topics and close the knowledge‐translation gap.</w:t>
      </w:r>
    </w:p>
    <w:p>
      <w:r>
        <w:t>POSSIBLE 2020: Practical Implications From European Hospital Pharmacists on Prospective Risk Assessment for Medicine Shortages — https://doi.org/10.3389/fmed.2020.00407</w:t>
      </w:r>
    </w:p>
    <w:p>
      <w:r>
        <w:t>Shared claim-specific concepts: practical, implications, framework; EU scope visible. This is a provisional connection, not an outcome finding.</w:t>
      </w:r>
    </w:p>
    <w:p>
      <w:r>
        <w:t>Available abstract (not full text): Objective This study aimed to obtain a comprehensive overview on the perception, attitudes and experience of European pharmacists with prospective risk assessment procedures in everyday practice, as well as to identify challenges and solutions. This is a follow-up study to the surveys on prospective risk assessment previously carried out within the COST Action 15105 among pharmacists across Europe. Methodology In-depth interviews were performed using an interview guide comprising 25 questions. Interviews were transcribed ad verbatim and imported into NVivo 10 for framework analysis. In NVivo, the interviews were coded through assigning text segments to a responding code from a coding tree, covering the full content of the interviews. Coded text segments were then charted into a matrix, and analyzed by interpreting all text segments per code. Results In total, 18 interviews were conducted. From the framework analysis, 6 codes and 12 sub-codes emerged. Overall, despite citing specific issues pertaining to its implementation, the interviewees considered multi-stakeholder and multi-disciplinary prospective risk assessment to be essential. While healthcare professionals reported being aware of the importance of risk assessment, they cited insufficient knowledge and skills to be a major obstacle in everyday practice. They also reported inadequate IT support since a paper-based system</w:t>
      </w:r>
    </w:p>
    <w:p>
      <w:r>
        <w:t>POSSIBLE 2019: Artificial Intelligence in Clinical Decision Support: Challenges for Evaluating AI and Practical Implications — https://doi.org/10.1055/s-0039-1677903</w:t>
      </w:r>
    </w:p>
    <w:p>
      <w:r>
        <w:t>Shared claim-specific concepts: practical, implications; EU scope visible. This is a provisional connection, not an outcome finding.</w:t>
      </w:r>
    </w:p>
    <w:p>
      <w:r>
        <w:t>Available abstract (not full text): OBJECTIVES: This paper draws attention to: i) key considerations for evaluating artificial intelligence (AI) enabled clinical decision support; and ii) challenges and practical implications of AI design, development, selection, use, and ongoing surveillance. METHOD: A narrative review of existing research and evaluation approaches along with expert perspectives drawn from the International Medical Informatics Association (IMIA) Working Group on Technology Assessment and Quality Development in Health Informatics and the European Federation for Medical Informatics (EFMI) Working Group for Assessment of Health Information Systems. RESULTS: There is a rich history and tradition of evaluating AI in healthcare. While evaluators can learn from past efforts, and build on best practice evaluation frameworks and methodologies, questions remain about how to evaluate the safety and effectiveness of AI that dynamically harness vast amounts of genomic, biomarker, phenotype, electronic record, and care delivery data from across health systems. This paper first provides a historical perspective about the evaluation of AI in healthcare. It then examines key challenges of evaluating AI-enabled clinical decision support during design, development, selection, use, and ongoing surveillance. Practical aspects of evaluating AI in healthcare, including approaches to evaluation and indicators to monito</w:t>
      </w:r>
    </w:p>
    <w:p>
      <w:r>
        <w:t>POSSIBLE 2019: Conclusion, implications, and outlook — https://doi.org/10.4324/9780429021787-8</w:t>
      </w:r>
    </w:p>
    <w:p>
      <w:r>
        <w:t>Shared claim-specific concepts: practical, implications, conclusions, basis; EU scope visible. This is a provisional connection, not an outcome finding.</w:t>
      </w:r>
    </w:p>
    <w:p>
      <w:r>
        <w:t>Available abstract (not full text): In this final chapter, conclusions are drawn on the results from the regression model and the constant comparative analysis and on this basis takes place the presentation of the dynamic Iceberg Model of LX learning for linguistic and cultural diverse contexts. Furthermore, implications as well as practical applications for teachers, parents, children, policymakers, and educationalists in both a local and broader European context are established. Finally, limitations regarding the used research methods and directions for future research are presented.</w:t>
      </w:r>
    </w:p>
    <w:p>
      <w:r>
        <w:t>POSSIBLE 2019: Education Research At Risk In Europe: What are the scientific, ethical, political and practical implications? — https://openalex.org/W4412337840</w:t>
      </w:r>
    </w:p>
    <w:p>
      <w:r>
        <w:t>Shared claim-specific concepts: practical, implications, conclusions, provide; EU scope visible. This is a provisional connection, not an outcome finding.</w:t>
      </w:r>
    </w:p>
    <w:p>
      <w:r>
        <w:t>Available abstract (not full text): As the ECER 2019 theme emphasizes, in an era increasingly perceived as unstable, unsustainable and at risk, educational processes, developments and capacity building become uncertain. Educational research (ER) is seen as having a pivotal role to play in generating answers to the many questions arising from this unstable landscape. However, ER itself is not exempt from risks that can hinder the ability to deal with this task. This workshop examines the types of risk that contemporary scholars struggle with and engage with different efforts tonavigate such a landscape of risk in order to ensure the continued relevance and impact of ER. Examples from such a landscape of risk could be how scholars in many countries face violence, prosecution or restrictions (SAR, 2018). Scholars are at times forced to limit their activities and mobility, or face isolation from the scientific community. Moreover, academic freedom is also at risk beyond the individual level: worldwide, a number of HE organisations are currently under attack, suffering political coercion and intimidation, and even forced to shut down or relocate (Karran et al., 2017). ER is also at risk for institutional reasons, as some public authorities and private companies investing in research push scholars to soften or eliminate conclusions that are not in line with the results they expect (Drenth, 2010). Another fundamental ri</w:t>
      </w:r>
    </w:p>
    <w:p>
      <w:pPr>
        <w:pStyle w:val="Heading2"/>
      </w:pPr>
      <w:r>
        <w:t>Climate change mitigation: evidences from the European scenario</w:t>
      </w:r>
    </w:p>
    <w:p>
      <w:r>
        <w:t>Original source (2018): https://doi.org/10.1504/ijmne.2018.095079</w:t>
      </w:r>
    </w:p>
    <w:p>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r>
        <w:t>POSSIBLE 2026: Changes in greenhouse gas emissions from agriculture in selected European Union countries — https://doi.org/10.14254/2071-8330.2026/19-1/10</w:t>
      </w:r>
    </w:p>
    <w:p>
      <w:r>
        <w:t>Shared claim-specific concepts: greenhouse, gas, emissions; EU scope visible. This is a provisional connection, not an outcome finding.</w:t>
      </w:r>
    </w:p>
    <w:p>
      <w:r>
        <w:t>Available abstract (not full text):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r>
        <w:t>POSSIBLE 2025: Reducing Greenhouse Gas Emissions in Hungary in Light of the Dynamically Changing Requirements of the European Union — https://doi.org/10.56251/gfga3859</w:t>
      </w:r>
    </w:p>
    <w:p>
      <w:r>
        <w:t>Shared claim-specific concepts: aims, greenhouse, gas, emissions; EU scope visible. This is a provisional connection, not an outcome finding.</w:t>
      </w:r>
    </w:p>
    <w:p>
      <w:r>
        <w:t>Available abstract (not full text):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r>
        <w:t>POSSIBLE 2025: THE ROLE OF ENVIRONMENTAL TAXES IN GENERATING TAX REVENUES AND REDUCING GREENHOUSE GAS EMISSIONS IN THE EUROPEAN UNION — https://doi.org/10.55654/jfs.2025.10.sp.19</w:t>
      </w:r>
    </w:p>
    <w:p>
      <w:r>
        <w:t>Shared claim-specific concepts: aims, reduce, greenhouse, gas, emissions, objectives; EU scope visible. This is a provisional connection, not an outcome finding.</w:t>
      </w:r>
    </w:p>
    <w:p>
      <w:r>
        <w:t>Available abstract (not full text):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r>
        <w:t>POSSIBLE 2025: The Role of Organic Farming in Reducing Greenhouse Gas Emissions from Agriculture in the European Union — https://doi.org/10.3390/agronomy15010198</w:t>
      </w:r>
    </w:p>
    <w:p>
      <w:r>
        <w:t>Shared claim-specific concepts: greenhouse, gas, emissions, levels, objectives, ghg; EU scope visible. This is a provisional connection, not an outcome finding.</w:t>
      </w:r>
    </w:p>
    <w:p>
      <w:r>
        <w:t>Available abstract (not full text):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r>
        <w:t>POSSIBLE 2025: Analysis of Greenhouse Gas Emissions from Ships Visiting European Ports — https://doi.org/10.3233/pmst250013</w:t>
      </w:r>
    </w:p>
    <w:p>
      <w:r>
        <w:t>Shared claim-specific concepts: greenhouse, gas, emissions, compared, levels, reduction; EU scope visible. This is a provisional connection, not an outcome finding.</w:t>
      </w:r>
    </w:p>
    <w:p>
      <w:r>
        <w:t>Available abstract (not full text):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r>
        <w:t>POSSIBLE 2024: Reducing greenhouse gases from ruminants: a Korean perspective — https://doi.org/10.5187/ait.2024.11.2.93</w:t>
      </w:r>
    </w:p>
    <w:p>
      <w:r>
        <w:t>Shared claim-specific concepts: aims, reduce, greenhouse, gas, provide, energy; EU scope visible. This is a provisional connection, not an outcome finding.</w:t>
      </w:r>
    </w:p>
    <w:p>
      <w:r>
        <w:t>Available abstract (not full text):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r>
        <w:t>POSSIBLE 2023: Analysis of greenhouse gas and pollutant emission reduction in Ukraine and European Union countries — https://doi.org/10.23939/jeecs2023.01.001</w:t>
      </w:r>
    </w:p>
    <w:p>
      <w:r>
        <w:t>Shared claim-specific concepts: aims, reduce, greenhouse, gas, emissions, compared; EU scope visible. This is a provisional connection, not an outcome finding.</w:t>
      </w:r>
    </w:p>
    <w:p>
      <w:r>
        <w:t>Available abstract (not full text):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r>
        <w:t>POSSIBLE 2023: On the issue of reducing greenhouse gas emissions from the combustion of organic fuels — https://doi.org/10.18799/24131830/2023/11/4122</w:t>
      </w:r>
    </w:p>
    <w:p>
      <w:r>
        <w:t>Shared claim-specific concepts: greenhouse, gas, emissions, reduction, energy; EU scope visible. This is a provisional connection, not an outcome finding.</w:t>
      </w:r>
    </w:p>
    <w:p>
      <w:r>
        <w:t xml:space="preserve">Available abstract (not full text):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r>
        <w:t>POSSIBLE 2023: Greenhouse gas emissions and Green Deal in the European Union — https://doi.org/10.3389/fenvs.2023.1141473</w:t>
      </w:r>
    </w:p>
    <w:p>
      <w:r>
        <w:t>Shared claim-specific concepts: aims, greenhouse, gas, emissions; EU scope visible. This is a provisional connection, not an outcome finding.</w:t>
      </w:r>
    </w:p>
    <w:p>
      <w:r>
        <w:t>Available abstract (not full text):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r>
        <w:t>POSSIBLE 2022: Determinants of Reducing Greenhouse Gas Emissions in European Union Countries — https://doi.org/10.3390/en15249561</w:t>
      </w:r>
    </w:p>
    <w:p>
      <w:r>
        <w:t>Shared claim-specific concepts: greenhouse, gas, emissions, compared, reduction; EU scope visible. This is a provisional connection, not an outcome finding.</w:t>
      </w:r>
    </w:p>
    <w:p>
      <w:r>
        <w:t>Available abstract (not full text): In the literature on the subject, it is argued that tax policy is one of the tools stimulating the transition toward sustainable economies. Public authorities can use two functions for this purpose: fiscal and non-fiscal functions. High emission rates and the rising rapid atmospheric changes that come with them are serious threats to the climate and sustainable development. Reducing greenhouse gas emissions is one of the goals towards which the world strives (including the EU), so as to keep a balance between people’s expectations, economic aspects, and the needs of the environment. Therefore, it is necessary to explain whether, along with other factors, environmental policy and its component “green taxes” can act as a factor in limiting greenhouse gas emissions. The purpose of this article is to seek an answer to the question of whether “green taxes” as an instrument of tax policy are a significant factor influencing climate change by contributing to reducing greenhouse gas emissions. This article attempts to identify the determinants of greenhouse gas emissions (the dependent variable) using the method of linear regression analysis. Multiple linear regression models are used to predict the value of the dependent variable based on the values of the independent variables (identified from the literature). Trading of CO2 emissions was not included in the analysis due to lack of d</w:t>
      </w:r>
    </w:p>
    <w:p>
      <w:r>
        <w:t>POSSIBLE 2022: Reducing the environmental footprint of gastrointestinal endoscopy: European Society of Gastrointestinal Endoscopy (ESGE) and European Society of Gastroenterology and Endoscopy Nurses and Associates (ESGENA) Position Statement — https://doi.org/10.1055/a-1859-3726</w:t>
      </w:r>
    </w:p>
    <w:p>
      <w:r>
        <w:t>Shared claim-specific concepts: aims, reduce, greenhouse, gas, emissions; EU scope visible. This is a provisional connection, not an outcome finding.</w:t>
      </w:r>
    </w:p>
    <w:p>
      <w:r>
        <w:t>Available abstract (not full text):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r>
        <w:t>POSSIBLE 2021: Greenhouse Gas Emissions and Health in the Countries of the European Union — https://doi.org/10.3389/fpubh.2021.756652</w:t>
      </w:r>
    </w:p>
    <w:p>
      <w:r>
        <w:t>Shared claim-specific concepts: greenhouse, gas, emissions, compared, ghg; EU scope visible. This is a provisional connection, not an outcome finding.</w:t>
      </w:r>
    </w:p>
    <w:p>
      <w:r>
        <w:t>Available abstract (not full text):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pStyle w:val="Heading2"/>
      </w:pPr>
      <w:r>
        <w:t>Climate change mitigation: evidences from the European scenario</w:t>
      </w:r>
    </w:p>
    <w:p>
      <w:r>
        <w:t>Original source (2018): https://doi.org/10.1504/ijmne.2018.10016474</w:t>
      </w:r>
    </w:p>
    <w:p>
      <w:r>
        <w:t>Original wording (abstract; indexed_source_text_not_full_document_verified): By 2050, the EU aims to reduce its greenhouse gas emissions by 80%-95% compared with 1990 levels. New objectives up to 2030 provide for a 40% reduction of GHG emissions and an increase of 27% for renewables and energy efficiency.</w:t>
      </w:r>
    </w:p>
    <w:p>
      <w:r>
        <w:t>POSSIBLE 2026: Changes in greenhouse gas emissions from agriculture in selected European Union countries — https://doi.org/10.14254/2071-8330.2026/19-1/10</w:t>
      </w:r>
    </w:p>
    <w:p>
      <w:r>
        <w:t>Shared claim-specific concepts: greenhouse, gas, emissions; EU scope visible. This is a provisional connection, not an outcome finding.</w:t>
      </w:r>
    </w:p>
    <w:p>
      <w:r>
        <w:t>Available abstract (not full text): The aim of the research was to identify changes in greenhouse gas emissions from EU countries in the years 2008-2022. The research used available Eurostat data from 24 EU countries. Descriptive statistics, the Ward method and shift share analysis were used. The survey shows that in 2021 the agricultural sector was responsible for 15.3% of total greenhouse emissions in EU. Most carbon emissions from farming come from methane (54%), followed by nitrous oxide (28%) and carbon dioxide (18%). The research shows that the largest increases in carbon pollution, creating a carbon footprint in the exploring period, were recorded in Bulgaria, Estonia, Romania, Latvia and Hungary. A different situation occurred in Croatia and Germany, where carbon dioxide and methane emissions from cultivation were reduced. The research confirms that the dynamics of changes in greenhouse gas emissions depend on the intensity of agribusiness. Moreover, the structure of greenhouse emissions varies regionally. Therefore, the European Union's policy on reducing the carbon footprint should consider regional conditions.</w:t>
      </w:r>
    </w:p>
    <w:p>
      <w:r>
        <w:t>POSSIBLE 2025: Reducing Greenhouse Gas Emissions in Hungary in Light of the Dynamically Changing Requirements of the European Union — https://doi.org/10.56251/gfga3859</w:t>
      </w:r>
    </w:p>
    <w:p>
      <w:r>
        <w:t>Shared claim-specific concepts: aims, greenhouse, gas, emissions; EU scope visible. This is a provisional connection, not an outcome finding.</w:t>
      </w:r>
    </w:p>
    <w:p>
      <w:r>
        <w:t>Available abstract (not full text): The fight against climate change requires Hungary to develop a common set of principles-based targets and to operate a coherent framework for action, monitoring and feedback in order to meet national and international targets for reducing greenhouse gas emissions. This is highlighted by the analysis of the State Audit Office of Hungary (SAO) concluded in 2024, which audited the measures aimed at reducing greenhouse gas emissions and the strategic framework of Hungary in the light of the dynamically changing requirements of the European Union (EU). Due to greenhouse gas emissions, the effects of global warming affect almost all aspects of life, the natural environment and biodiversity, all sectors of the economy, human habitats and the development of society. The estimated value of economic damages associated with climate change, including projections ranging from the costs of recovery caused by natural disasters to unrealised economic returns, are increasing. Action is of key importance for Europe, as the continent’s average temperature is rising at around twice the global average. A milestone in the fight against climate change was the Paris Agreement adopted in 2015, which set the target of reducing the average temperature rise. The European Union’s Climate Law aims to ensure that climate neutrality, i.e. a balance between greenhouse gas emissions and removals, is achieved by</w:t>
      </w:r>
    </w:p>
    <w:p>
      <w:r>
        <w:t>POSSIBLE 2025: THE ROLE OF ENVIRONMENTAL TAXES IN GENERATING TAX REVENUES AND REDUCING GREENHOUSE GAS EMISSIONS IN THE EUROPEAN UNION — https://doi.org/10.55654/jfs.2025.10.sp.19</w:t>
      </w:r>
    </w:p>
    <w:p>
      <w:r>
        <w:t>Shared claim-specific concepts: aims, reduce, greenhouse, gas, emissions, objectives; EU scope visible. This is a provisional connection, not an outcome finding.</w:t>
      </w:r>
    </w:p>
    <w:p>
      <w:r>
        <w:t>Available abstract (not full text): The aim of this study is to examine the role of environmental taxes in generating tax revenues and reducing greenhouse gas emissions in the European Union. The study investigates how these taxes, particularly those on energy and transport, contribute to the EU's climate objectives, such as climate neutrality by 2050. It also assesses differences in their implementation between Member States. In the context of the European Green Pact, the research aims to provide a comprehensive analysis of the effectiveness of these taxes in supporting climate policies and sustainable development. The study uses an econometric analysis applied to a dataset comprising relevant economic and environmental indicators, including taxes on energy, transportation, net greenhouse gas emissions and GDP per capita. This approach makes it possible to assess the relationships between the variables and to measure the impact of each type of tax-on-tax revenues and emission reductions. The analysis also includes descriptive statistics to highlight differences between Member States. The results indicate that energy taxes have a significant and positive impact on revenues from environmental taxes, contributing substantially to the budgets of Member States that implement them in an ambitious way. At the same time, fuel and transport taxes have been found to be under-used in some Member States, thus limiting their</w:t>
      </w:r>
    </w:p>
    <w:p>
      <w:r>
        <w:t>POSSIBLE 2025: The Role of Organic Farming in Reducing Greenhouse Gas Emissions from Agriculture in the European Union — https://doi.org/10.3390/agronomy15010198</w:t>
      </w:r>
    </w:p>
    <w:p>
      <w:r>
        <w:t>Shared claim-specific concepts: greenhouse, gas, emissions, levels, objectives, ghg; EU scope visible. This is a provisional connection, not an outcome finding.</w:t>
      </w:r>
    </w:p>
    <w:p>
      <w:r>
        <w:t>Available abstract (not full text): Agriculture remains a key source of greenhouse gas (GHG) emissions within the European Union, posing substantial obstacles to achieving climate objectives and fostering sustainable development. On this background, organic farming stands out as a viable alternative, offering significant potential for reducing emissions. This study explores the impact of expanding organic farming on GHG emissions in the EU agricultural sector. The empirical research examines the connection between organic farming practices and GHG emission levels using structural equation modeling, complemented by Holt and ARIMA forecasting models, to project future trends based on expected growth in organic farmland. The findings highlight a robust negative influence (p &lt; 0.001), demonstrating that organic farming practices are associated with tangible reductions in emissions. Forecasting analyses further reinforce this, predicting considerable declines in GHG emissions (by almost 14 percent below the level of 2008) as organic farming continues to expand for over 23% of agricultural land by 2035, according to the projections in this research. These insights underscore the critical role of organic farming in advancing the EU’s climate ambitions. The study concludes that broader adoption of organic practices offers a practical and impactful pathway for building a more sustainable agricultural system while mitigati</w:t>
      </w:r>
    </w:p>
    <w:p>
      <w:r>
        <w:t>POSSIBLE 2025: Analysis of Greenhouse Gas Emissions from Ships Visiting European Ports — https://doi.org/10.3233/pmst250013</w:t>
      </w:r>
    </w:p>
    <w:p>
      <w:r>
        <w:t>Shared claim-specific concepts: greenhouse, gas, emissions, compared, levels, reduction; EU scope visible. This is a provisional connection, not an outcome finding.</w:t>
      </w:r>
    </w:p>
    <w:p>
      <w:r>
        <w:t>Available abstract (not full text): Starting January 1, 2025, shipping companies will be required to monitor and record greenhouse gas (GHG) emissions data for each ship arriving at or departing from a port in the European Union. This requirement is part of the FuelEU Maritime regulation and applies to all vessels with over 5,000 gross tons for transporting passengers or cargo for commercial purposes. The FuelEU regulation includes a calculation scheme and sets limits on GHG intensity, aiming for an 80% reduction in emissions compared to 2020 levels by 2050. Short-sea shipping plays a crucial role in the European Union’s transportation policy. The study’s objective is to analyse the GHG emissions of the containerships registered from 2020 to 2023 vessels, utilising EU-MRV data from 2020 to 2023. Applying the extreme values analysis indicates no consistent trend toward reducing GHG intensity, illustrating the complexities in mitigating the GHG intensity levels requiring additional measures to achieve the proposed reduction by 2050.</w:t>
      </w:r>
    </w:p>
    <w:p>
      <w:r>
        <w:t>POSSIBLE 2024: Reducing greenhouse gases from ruminants: a Korean perspective — https://doi.org/10.5187/ait.2024.11.2.93</w:t>
      </w:r>
    </w:p>
    <w:p>
      <w:r>
        <w:t>Shared claim-specific concepts: aims, reduce, greenhouse, gas, provide, energy; EU scope visible. This is a provisional connection, not an outcome finding.</w:t>
      </w:r>
    </w:p>
    <w:p>
      <w:r>
        <w:t>Available abstract (not full text): Methane, a gas produced during the digestion process of ruminants, is a greenhouse gas that contributes to global warming and also represents energy loss. Therefore, all countries worldwide, including the United States and Europe, are trying to reduce the amount of methane gas generated. There are many research papers and excellent review papers in this regard. However, this review specifically aims to provide some insights on methane measurement methods and consider ways to reduce greenhouse gases under current domestic conditions. Enteric methane from ruminants is mainly measured using a respiration chamber and the GreenFeed system and can also be measured using an laser methane detector and sulfur hexafluoride (SF6) tracer technique. Research priority needs to be focused on measuring the current level of methane produced more accurately from Korea’s perspective, and financial support and research are imperative for this purpose. In terms of mitigation strategies, it is important to adopt and apply various processes proposed by developed countries, still equally, we also actively make efforts to research and support processes that can be implemented in domestic conditions, such as the use of agricultural by-products, food by-products, and home-grown forages in total mixed ration. Additionally, in addition to developing novel additives or substances at a strategic level, if th</w:t>
      </w:r>
    </w:p>
    <w:p>
      <w:r>
        <w:t>POSSIBLE 2023: Analysis of greenhouse gas and pollutant emission reduction in Ukraine and European Union countries — https://doi.org/10.23939/jeecs2023.01.001</w:t>
      </w:r>
    </w:p>
    <w:p>
      <w:r>
        <w:t>Shared claim-specific concepts: aims, reduce, greenhouse, gas, emissions, compared; EU scope visible. This is a provisional connection, not an outcome finding.</w:t>
      </w:r>
    </w:p>
    <w:p>
      <w:r>
        <w:t>Available abstract (not full text):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r>
        <w:t>POSSIBLE 2023: On the issue of reducing greenhouse gas emissions from the combustion of organic fuels — https://doi.org/10.18799/24131830/2023/11/4122</w:t>
      </w:r>
    </w:p>
    <w:p>
      <w:r>
        <w:t>Shared claim-specific concepts: greenhouse, gas, emissions, reduction, energy; EU scope visible. This is a provisional connection, not an outcome finding.</w:t>
      </w:r>
    </w:p>
    <w:p>
      <w:r>
        <w:t xml:space="preserve">Available abstract (not full text): Relevance. Russia has ratified the Paris Climate Agreement. However, European legislation is ambiguously aimed at extracting its own benefits in the current international relations, especially during the period of sanctions against Russia. Expectation of introduction of a carbon tax on the products and services of industry organizations requires a comprehensive analysis of the situation in the field of technology and technologies that contribute to reducing greenhouse gas emissions. Aim. Study of approaches and technologies aimed at reducing greenhouse gas emissions that stimulate the environmentally friendly production of thermal and electrical energy; identification of promising and affordable greenhouse gas condensation technology for domestic energy and features of its application. Object. The list of greenhouse gases was established by the Kyoto Protocol in 1996. The main of greenhouse gases for the energy sector are emissions of carbon dioxide generated by burning fuel in generating heat and electricity. Methods. Analysis of literature data on technologies for utilization of greenhouse gases, the possibilities of its use and reduction of emissions. Analytical calculations were performed to assess the effectiveness of carbon dioxide condensation technology. Results. The authors have carried out the analysis of literature data on regulatory requirements, UN recommendations </w:t>
      </w:r>
    </w:p>
    <w:p>
      <w:r>
        <w:t>POSSIBLE 2023: Greenhouse gas emissions and Green Deal in the European Union — https://doi.org/10.3389/fenvs.2023.1141473</w:t>
      </w:r>
    </w:p>
    <w:p>
      <w:r>
        <w:t>Shared claim-specific concepts: aims, greenhouse, gas, emissions; EU scope visible. This is a provisional connection, not an outcome finding.</w:t>
      </w:r>
    </w:p>
    <w:p>
      <w:r>
        <w:t>Available abstract (not full text): Greenhouse gas emissions (GE) represent an element that influences the lives of all people on the planet. This action must be controlled and prevented because the negative effects are starting to appear more and more in everyday life, sometimes with devastating consequences from a climate point of view and not only for the inhabitants of certain regions. At the European level, one of the main measures taken was the implementation of the Green Deal as a response to the fight against GE. The purpose of this article is to offer a description of the main elements that are influencing the GE, as well as the role of the Green Deal. It also aims to identify the characteristics of the EU countries from the GE point of view before and after the Green Deal was proposed. In this regard two more cluster analyses are also carried out regarding GE at the European level. One analysis concerns the identification and evolution of the main groups of countries from this point of view for years 2018 and 2020. The second analysis concerns the main fields in the industry for year 2020. The used methodology was DM-CRISP. In the final part of the article the obtained results are analyzed, a discussion is added based on them and also a conclusion section.</w:t>
      </w:r>
    </w:p>
    <w:p>
      <w:r>
        <w:t>POSSIBLE 2022: Determinants of Reducing Greenhouse Gas Emissions in European Union Countries — https://doi.org/10.3390/en15249561</w:t>
      </w:r>
    </w:p>
    <w:p>
      <w:r>
        <w:t>Shared claim-specific concepts: greenhouse, gas, emissions, compared, reduction; EU scope visible. This is a provisional connection, not an outcome finding.</w:t>
      </w:r>
    </w:p>
    <w:p>
      <w:r>
        <w:t>Available abstract (not full text): In the literature on the subject, it is argued that tax policy is one of the tools stimulating the transition toward sustainable economies. Public authorities can use two functions for this purpose: fiscal and non-fiscal functions. High emission rates and the rising rapid atmospheric changes that come with them are serious threats to the climate and sustainable development. Reducing greenhouse gas emissions is one of the goals towards which the world strives (including the EU), so as to keep a balance between people’s expectations, economic aspects, and the needs of the environment. Therefore, it is necessary to explain whether, along with other factors, environmental policy and its component “green taxes” can act as a factor in limiting greenhouse gas emissions. The purpose of this article is to seek an answer to the question of whether “green taxes” as an instrument of tax policy are a significant factor influencing climate change by contributing to reducing greenhouse gas emissions. This article attempts to identify the determinants of greenhouse gas emissions (the dependent variable) using the method of linear regression analysis. Multiple linear regression models are used to predict the value of the dependent variable based on the values of the independent variables (identified from the literature). Trading of CO2 emissions was not included in the analysis due to lack of d</w:t>
      </w:r>
    </w:p>
    <w:p>
      <w:r>
        <w:t>POSSIBLE 2022: Reducing the environmental footprint of gastrointestinal endoscopy: European Society of Gastrointestinal Endoscopy (ESGE) and European Society of Gastroenterology and Endoscopy Nurses and Associates (ESGENA) Position Statement — https://doi.org/10.1055/a-1859-3726</w:t>
      </w:r>
    </w:p>
    <w:p>
      <w:r>
        <w:t>Shared claim-specific concepts: aims, reduce, greenhouse, gas, emissions; EU scope visible. This is a provisional connection, not an outcome finding.</w:t>
      </w:r>
    </w:p>
    <w:p>
      <w:r>
        <w:t>Available abstract (not full text): Climate change and the destruction of ecosystems by human activities are among the greatest challenges of the 21st century and require urgent action. Health care activities significantly contribute to the emission of greenhouse gases and waste production, with gastrointestinal (GI) endoscopy being one of the largest contributors. This Position Statement aims to raise awareness of the ecological footprint of GI endoscopy and provides guidance to reduce its environmental impact. The European Society of Gastrointestinal Endoscopy (ESGE) and the European Society of Gastroenterology and Endoscopy Nurses and Associates (ESGENA) outline suggestions and recommendations for health care providers, patients, governments, and industry. MAIN STATEMENTS 1: GI endoscopy is a resource-intensive activity with a significant yet poorly assessed environmental impact. 2: ESGE-ESGENA recommend adopting immediate actions to reduce the environmental impact of GI endoscopy. 3: ESGE-ESGENA recommend adherence to guidelines and implementation of audit strategies on the appropriateness of GI endoscopy to avoid the environmental impact of unnecessary procedures. 4: ESGE-ESGENA recommend the embedding of reduce, reuse, and recycle programs in the GI endoscopy unit. 5: ESGE-ESGENA suggest that there is an urgent need to reassess and reduce the environmental and economic impact of single-use GI endoscopic dev</w:t>
      </w:r>
    </w:p>
    <w:p>
      <w:r>
        <w:t>POSSIBLE 2021: Greenhouse Gas Emissions and Health in the Countries of the European Union — https://doi.org/10.3389/fpubh.2021.756652</w:t>
      </w:r>
    </w:p>
    <w:p>
      <w:r>
        <w:t>Shared claim-specific concepts: greenhouse, gas, emissions, compared, ghg; EU scope visible. This is a provisional connection, not an outcome finding.</w:t>
      </w:r>
    </w:p>
    <w:p>
      <w:r>
        <w:t>Available abstract (not full text):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pPr>
        <w:pStyle w:val="Heading2"/>
      </w:pPr>
      <w:r>
        <w:t>Current situation and future prospects for beef production in Europe — A review</w:t>
      </w:r>
    </w:p>
    <w:p>
      <w:r>
        <w:t>Original source (2018): https://doi.org/10.5713/ajas.18.0196</w:t>
      </w:r>
    </w:p>
    <w:p>
      <w:r>
        <w:t>Original wording (abstract; indexed_source_text_not_full_document_verified): These may affect the whole industry, especially its farmers. Different future scenarios can be written depending on the major driving forces, notably meat consumption, climate change, environmental policies and future organization of the supply chain.</w:t>
      </w:r>
    </w:p>
    <w:p>
      <w:r>
        <w:t>POSSIBLE 2026: Industry 5.0 in the European Union — https://doi.org/10.1201/9781003785590</w:t>
      </w:r>
    </w:p>
    <w:p>
      <w:r>
        <w:t>Shared claim-specific concepts: industry, climate, environmental; EU scope visible. This is a provisional connection, not an outcome finding.</w:t>
      </w:r>
    </w:p>
    <w:p>
      <w:r>
        <w:t>Available abstract (not full text): This book explores the transformative shift from Industry 4.0 to Industry 5.0, emphasizing human-centricity, environmental sustainability, and resilience alongside technological innovation. Focusing on the European Union, it examines the readiness of EU-27 countries to adopt Industry 5.0 principles, offering a detailed analysis of the challenges and opportunities in this transition while integrating technological advancements with societal and environmental goals. Industry 5.0 in the European Union: A Paradigm Shift Towards People-Centered and Sustainable Development provides an in-depth analysis of Industry 5.0’s theoretical foundations, its human-centric, technological, and environmental dimensions, and the EU’s strategic role in its implementation. The book introduces a unique Industry 5.0 maturity assessment model, explores labor market implications, and offers evidence-based recommendations for fostering inclusive and sustainable industrial systems. Essential for industrial engineers, policymakers, and researchers focused on sustainable and human-centric industrial systems, this book offers valuable insights into addressing challenges like climate change and social inequality while optimizing systems for the Fifth Industrial Revolution.</w:t>
      </w:r>
    </w:p>
    <w:p>
      <w:r>
        <w:t>POSSIBLE 2025: AGGLOMERATION, NETWORKS &amp; INSTITUTIONAL SUPPORT IN THE INNOVATIVE EUROPEAN AEROSPACE INDUSTRY — https://doi.org/10.31732/2663-2209-2025-80-225-234</w:t>
      </w:r>
    </w:p>
    <w:p>
      <w:r>
        <w:t>Shared claim-specific concepts: affect, whole, industry, policies; EU scope visible. This is a provisional connection, not an outcome finding.</w:t>
      </w:r>
    </w:p>
    <w:p>
      <w:r>
        <w:t xml:space="preserve">Available abstract (not full text): This article examines the interrelated role of agglomeration, networks and institutional advantages in shaping the competitive dynamics of the European aerospace industry. The interaction of agglomerations, formal and informal networks, and public and private institutions creates the foundation for innovative development, high efficiency and competitiveness of the European aerospace industry. The aim of the article is to analyze such interactions and identify ways to ensure sustainable competitive advantages of enterprises and the industry as a whole in the process of timely response to challenges from the external environment. The aerospace industry is characterized by technological intensity, complex value chains and strong cooperation between the public and private sectors, which provides a unique context for analyzing how spatial concentration, formal and informal networks, collaborative ties and institutional frameworks jointly promote innovation and competitiveness. These principles completely correspond with ESG conception which provides European values. Agglomeration is reflected in aerospace clusters such as Toulouse, Hamburg and Turin, where knowledge sharing, research and development, pools of skilled labour, integration links and proximity to suppliers increase the efficiency of companies and the innovation level of the industry. Networks, both formal and informal, </w:t>
      </w:r>
    </w:p>
    <w:p>
      <w:r>
        <w:t>POSSIBLE 2025: The European Union’s role in European defence industry policy — https://doi.org/10.1080/14702436.2025.2472694</w:t>
      </w:r>
    </w:p>
    <w:p>
      <w:r>
        <w:t>Shared claim-specific concepts: industry, different; EU scope visible. This is a provisional connection, not an outcome finding.</w:t>
      </w:r>
    </w:p>
    <w:p>
      <w:r>
        <w:t>Available abstract (not full text): The European Union has often been described as an economic giant but a political dwarf. It has a security and defence policy, but it is not a military alliance. Despite this, the defence industry has been on the EU’s agenda for years. This development reached a new phase in 2021 when the EU budget included almost 8 billion Euro in a European Defence Fund, strengthened when the EU in 2022 acted decisively to supply Ukraine with arms and ammunition, and strengthened yet again in March 2024 when it presented a comprehensive European Defence Industrial Strategy and European Defence Industry Programme. At first glance the developments may seem counterintuitive. What makes a mainly civilian organisation develop into an actor in defence industry policy? Departing from four dilemmas arising from the specific challenges with ownership of the defence industry and efforts to create a European defence market, this article identifies the challenges that different EU initiatives try to solve, analyses economic, political and strategic rationales of the development, analyses the four dilemmas in light of the development, and discusses how it relates to the EU’s raison d’être with regard to European defence.</w:t>
      </w:r>
    </w:p>
    <w:p>
      <w:r>
        <w:t>POSSIBLE 2024: The Transformation of the European Car Industry — https://doi.org/10.32559/et.2024.2.6</w:t>
      </w:r>
    </w:p>
    <w:p>
      <w:r>
        <w:t>Shared claim-specific concepts: industry, major, climate, environmental, chain; EU scope visible. This is a provisional connection, not an outcome finding.</w:t>
      </w:r>
    </w:p>
    <w:p>
      <w:r>
        <w:t>Available abstract (not full text): The European automotive industry faces many 21st.century challenges, with sustainability and climate protection as key objectives. Among these, the European Parliament’s decision to mandate zero emission passenger cars and light commercial vehicles from 2035 marks a transformative shift. This cornerstone of the “Fit for 55” climate package carries broad economic, social and political implications, requiring significant adjustments across the automotive value chain and presenting major hurdles for stakeholders.This manuscript explores the sector’s electrification efforts, focusing on the tension between sustainability goals and economic impacts. It highlights disparities in electric vehicle affordability and accessibility across Europe, which risk deepening socio-economic inequalities, and questions the environmental and equity outcomes of weight-based regulatory incentives favouring premium models.Beyond assessing the feasibility of emissions targets, the study critically examines whether the EU’s focus on electric vehicles aligns with broader climate goals or creates new challenges. Addressing these issues aims to illuminate the immediate and long-term implications for the evolution of the automotive industry and Europe’s socio-economic landscape.</w:t>
      </w:r>
    </w:p>
    <w:p>
      <w:r>
        <w:t>POSSIBLE 2022: WHAT AFFECTS THE FINANCIAL STRUCTURE OF FIRMS IN THE ICT INDUSTRY IN SELECTED EUROPEAN COUNTRIES — https://doi.org/10.25142/aak.2022.016</w:t>
      </w:r>
    </w:p>
    <w:p>
      <w:r>
        <w:t>Shared claim-specific concepts: affect, industry, different; EU scope visible. This is a provisional connection, not an outcome finding.</w:t>
      </w:r>
    </w:p>
    <w:p>
      <w:r>
        <w:t>Available abstract (not full text): During its life cycle, a company needs different amounts of funds, which can come from different entities.Each company has a specific structure of funding sources with respect to geographical and industry affiliation.The size of the company also has an impact on the structure of these sources.There is a number of determinants that affects the financial structure which is why a universal recommendation cannot be found.Thanks to these facts, more and more research has been created for over half a century.However, it is not possible to focus on individual companies and so compare different industries and economies.This research expands knowledge in the industry of information and telecommunication technologies in the countries of the extended Visegrád Group (V4 plus Austria, Bulgaria, Romania, Slovenia).Medium and (very) large companies during the period 2010-2018 are analysed.The aim of this research is to determine whether profitability, liquidity, asset structure, GDP growth rate, inflation rate and reference interest rate affect the level of total, long-term and short-term debt.The Generalized Method of Moments was chosen to determine these impacts.The main conclusion is that without regard to the size, the level of debt is most affected by determinants that represent the external environment of companies with the level of the reference interest rate having the most significan</w:t>
      </w:r>
    </w:p>
    <w:p>
      <w:r>
        <w:t>POSSIBLE 2022: Ship of Darkness: Jazz and/as Affect in the Global Cruise Industry — https://doi.org/10.5406/25784773.5.2.02</w:t>
      </w:r>
    </w:p>
    <w:p>
      <w:r>
        <w:t>Shared claim-specific concepts: affect, industry, notably; EU scope not established. This is a provisional connection, not an outcome finding.</w:t>
      </w:r>
    </w:p>
    <w:p>
      <w:r>
        <w:t>Available abstract (not full text): This is an experimental story that dwells in the connections between academic jazz programs and the global cruise industry, the ideological and affective attachments people maintain between these two institutions in the twenty-first century, and what is at stake in their naming and contemplation.3 Using disruptively prosed rhythms and modular form, it attempts a worlding of everyday cruise life and the soundings, mobilities, and affective geographies of early-career musicians living at sea, profoundly unmoored from the places and networks in which jazz is typically thought to flourish.Narrating this story means disrupting the silence of jazz studies on a political economy that has implicated generations of university-trained musicians ever since the turn of the 1970s, which witnessed the coterminous rise of college jazz education in the United States and multinational, corporatized cruise tourism.4 From the former emerged a musical workforce particularly suited for the latter's burgeoning demand for entertainment: technically and stylistically versatile, trained to both improvise and sight-read, and otherwise poised to enter an increasingly precarious terrestrial gig economy, many of these hybrid musicians pay their dues—and their bills—not on the road, but in international waters.Studying the flow of bodies, sounds, and capital between jazz schools and cruise ships, writing th</w:t>
      </w:r>
    </w:p>
    <w:p>
      <w:r>
        <w:t>POSSIBLE 2019: Estimating the waste heat recovery in the European Union Industry — https://doi.org/10.1007/s40974-019-00132-7</w:t>
      </w:r>
    </w:p>
    <w:p>
      <w:r>
        <w:t>Shared claim-specific concepts: industry, different, major, environmental; EU scope visible. This is a provisional connection, not an outcome finding.</w:t>
      </w:r>
    </w:p>
    <w:p>
      <w:r>
        <w:t>Available abstract (not full text): Abstract Industrial processes are currently responsible for nearly 26% of European primary energy consumptions and are characterized by a multitude of energy losses. Among them, the ones that occur as heat streams rejected to the environment in the form of exhausts or effluents take place at different temperature levels. The reduction or recovery of such types of energy flows will undoubtedly contribute to the achievement of improved environmental performance as well as to reduce the overall manufacturing costs of goods. In this scenario, the current work aims at outlining the prospects of potential for industrial waste heat recovery in the European Union (EU) upon identification and quantification of primary energy consumptions among the major industrial sectors and their related waste streams and temperature levels. The paper introduces a new approach toward estimating the waste heat recovery in the European Union industry, using the Carnot efficiency in relation to the temperature levels of the processes involved. The assessment is carried out using EU statistical energy databases. The overall EU thermal energy waste is quantified at 920 TWh theoretical potential and 279 TWh Carnot potential.</w:t>
      </w:r>
    </w:p>
    <w:p>
      <w:r>
        <w:t>POSSIBLE 2019: The whole systems energy injustice of four European low-carbon transitions — https://doi.org/10.1016/j.gloenvcha.2019.101958</w:t>
      </w:r>
    </w:p>
    <w:p>
      <w:r>
        <w:t>Shared claim-specific concepts: whole, climate, environmental; EU scope visible. This is a provisional connection, not an outcome finding.</w:t>
      </w:r>
    </w:p>
    <w:p>
      <w:r>
        <w:t>Available abstract (not full text): The need for multi-scalar analysis of energy and low-carbon systems is becoming more apparent as a way to assess the holistic socioeconomic and environmental impacts of energy transitions across a variety of scales and lifecycle stages. This paper conducts a whole systems energy justice analysis of four European low-carbon transitions—nuclear power in France, smart meters in Great Britain, electric vehicles in Norway, and solar photovoltaic panels in Germany. It asks: in what ways may each of these transitions result in injustices that extend beyond communities and countries, i.e., across the whole system? It utilizes a mixed-methods research design based on 64 semi-structured research interviews with experts across all four transitions, five public focus groups, and the collection of 58 comments from twelve public internet forums to answer this question. Drawing inductively from these data, the paper identifies and analyzes 44 injustices spread across three spatial scales. Micro scale injustices concern immediate local impacts on family livelihood, community health and the environment. Meso scale injustices include national-scale issues such as rising prices for electricity and gas or unequal access to low-carbon technology. Macro scale injustices include global issues such as the extraction of minerals and metals and the circulation of waste flows. The paper then discusses th</w:t>
      </w:r>
    </w:p>
    <w:p>
      <w:pPr>
        <w:pStyle w:val="Heading2"/>
      </w:pPr>
      <w:r>
        <w:t>Delphi Prospection on Additive Manufacturing in 2030: Implications for Education and Employment in Spain</w:t>
      </w:r>
    </w:p>
    <w:p>
      <w:r>
        <w:t>Original source (2018): https://doi.org/10.3390/ma11091500</w:t>
      </w:r>
    </w:p>
    <w:p>
      <w:r>
        <w:t>Original wording (abstract; indexed_source_text_not_full_document_verified): The purpose of this paper is to anticipate the main changes that will occur in AM by 2030 as forecast by more than 100 Spanish experts through Delphi prospection performed in 2018. Such changes will enable students to have the profiles foreseen in these job trends.</w:t>
      </w:r>
    </w:p>
    <w:p>
      <w:r>
        <w:t>POSSIBLE 2020: Reservoir Governance in World's Water Towers Needs to Anticipate Multi‐purpose Use — https://doi.org/10.1029/2020ef001643</w:t>
      </w:r>
    </w:p>
    <w:p>
      <w:r>
        <w:t>Shared claim-specific concepts: purpose, anticipate; EU scope visible. This is a provisional connection, not an outcome finding.</w:t>
      </w:r>
    </w:p>
    <w:p>
      <w:r>
        <w:t>Available abstract (not full text): Abstract Mountains, said to be the world's water towers, are central for the provision of downstream water demands. This provision service is strongly challenged by climate change associated with changes in runoff amount and seasonality caused by the retreat of glaciers, rising snow lines, and changes in precipitation. One potential adaptation strategy is the construction of new water reservoirs or the adjustment of current reservoir management strategies. These strategies need to account for various water uses originating from sectors and governments with different economic interests. Here, we investigate governance processes leading to reservoir management strategies ignoring downstream water needs in one of the most important water towers of the world, the European Alps. We assess why governance processes can lead to a coordination gap between an upstream reservoir and downstream water needs. We show that downstream water deficits could potentially be covered through an upstream reservoir under mean and partially under extremely low inflow conditions. However, these hydrological conditions were neglected in the governance processes. The decision‐making when issuing the new reservoir concession was influenced by (a) a lack of knowledge and of an appropriate reservoir‐management study, (b) an interest to increase renewable energy production, (c) a focus on environmental agreem</w:t>
      </w:r>
    </w:p>
    <w:p>
      <w:pPr>
        <w:pStyle w:val="Heading2"/>
      </w:pPr>
      <w:r>
        <w:t>Drivers, trends and scenarios for the future of health in Europe. Impressions from the FRESHER project</w:t>
      </w:r>
    </w:p>
    <w:p>
      <w:r>
        <w:t>Original source (2018): https://doi.org/10.1007/s40309-017-0118-4</w:t>
      </w:r>
    </w:p>
    <w:p>
      <w:r>
        <w:t>Original wording (abstract; indexed_source_text_not_full_document_verified): In our foresight project FRESHER (FORESIGHT AND MODELLING FOR EUROPEAN HEALTH POLICY AND REGULATION) we discuss policy options with stakeholders from health, research, care, patient organisations, insurances and policy-making that go beyond the usual activities and pose alternatives that promise to be more successful. From an analysis of trends that affect NCD development far beyond the usual determinants of tobacco and alcohol consumption, salt, sugar and fat intake or sedentary behaviour the most relevant and significant trends are combined to four scenarios depicting possible futures.</w:t>
      </w:r>
    </w:p>
    <w:p>
      <w:r>
        <w:t>POSSIBLE 2026: A systematic review of foresight methods used in the formulation of futures scenarios: evidence from articles indexed in scopus and web of science (2014–2023) — https://doi.org/10.1186/s40309-026-00298-4</w:t>
      </w:r>
    </w:p>
    <w:p>
      <w:r>
        <w:t>Shared claim-specific concepts: foresight, health, beyond; EU scope not established. This is a provisional connection, not an outcome finding.</w:t>
      </w:r>
    </w:p>
    <w:p>
      <w:r>
        <w:t>Available abstract (not full text): This study presents a systematic literature review of the foresight methods used in the formulation of futures scenarios, analyzing 115 articles indexed in Scopus and Web of Science between 2014 and 2023. Applying the PRISMA methodology, the review identifies a plural methodological ecosystem in which—although qualitative approaches predominate—there are patterns of combination toward methodological triangulation aimed at strengthening plausibility and reducing bias in complex environments. The analysis shows that the most frequently used methods are environmental scanning (PESTEL), participatory workshops, the Delphi method, structural analysis (MICMAC), and Causal Layered Analysis (CLA). A significant expansion of these practices is observed beyond the traditional corporate sphere into sectors such as public health, higher education, governance, and environmental sustainability. The study further highlights an incipient presence of methods that incorporate artificial intelligence, text mining, and computational models, which complement qualitative narratives with quantitative rigor. The article proposes the concept of methodological aggregation capacity to describe the ability of scenario methodologies to coherently incorporate techniques of different epistemic natures. In conclusion, the maturity of the field rests on the systemic convergence between data-driven rigor and na</w:t>
      </w:r>
    </w:p>
    <w:p>
      <w:r>
        <w:t>POSSIBLE 2025: Territorialising Resilience: Transforming Europe for an Age of Crisis (TERRES) Case studies Annex 1 of the Final Report — https://openalex.org/W7217109416</w:t>
      </w:r>
    </w:p>
    <w:p>
      <w:r>
        <w:t>Shared claim-specific concepts: project, beyond; EU scope visible. This is a provisional connection, not an outcome finding.</w:t>
      </w:r>
    </w:p>
    <w:p>
      <w:r>
        <w:t>Available abstract (not full text): This report presents the case study annex of the ESPON project “Territorialising Resilience: Transforming Europe for an Age of Crisis (TERRES)”, examining how diverse European territories conceptualise, operationalise, and institutionalise territorial resilience in response to contemporary shocks and long-term stressors. Through a comparative analysis of six regions — Budapest Functional Urban Area (Hungary), Catalonia (Spain), the Central Italy Earthquake Crater, Latgale (Latvia), Teruel (Spain), and Upper Norrland (Sweden) — the study explores how multi-level governance arrangements, socio-economic dynamics, and spatial configurations shape adaptive, absorptive, and transformative capacities. Combining desk research, stakeholder interviews, and participatory Future Workshops, the case studies analyse the interaction between acute shocks (e.g. earthquakes, migration pressures, industrial transition, climate extremes) and structural stressors such as depopulation, governance fragmentation, and territorial inequalities. Particular attention is given to the role of Functional Urban Areas and cross-jurisdictional cooperation in strengthening territorial governance and crisis preparedness. The findings show that resilience extends beyond reactive responses: it is a systemic, place-based process requiring coordinated institutional frameworks, regulatory stability, and long-term stra</w:t>
      </w:r>
    </w:p>
    <w:p>
      <w:r>
        <w:t>POSSIBLE 2024: Foresight in public health: a tutorial on application and insights on challenges from the PHIRI foresight exercise — https://doi.org/10.1093/eurpub/ckae040</w:t>
      </w:r>
    </w:p>
    <w:p>
      <w:r>
        <w:t>Shared claim-specific concepts: foresight, health, discuss, trends; EU scope not established. This is a provisional connection, not an outcome finding.</w:t>
      </w:r>
    </w:p>
    <w:p>
      <w:r>
        <w:t>Available abstract (not full text): BACKGROUND: The application of foresight to the field of public health is limited. There is growing need to anticipate uncertain future trends and to plan for them. Foresight provides tools to experts and policymakers to discuss and plan for possible futures. Hence, the aim of this study is to illustrate how the foresight six-step approach can be applied in public health, and to provide recommendations on dealing with challenges, drawn from the Population Health Information Research Infrastructure (PHIRI) foresight exercise. METHODS: In this tutorial, we describe the six-step approach as part of foresight methodology and give examples of possible challenges. Step 1 comprises the formulation of study objectives. Step 2 focuses on developing a conceptual model and applying the Demographic Economic Sociocultural Technological Ecological and Political-Institutional (DESTEP) framework to identify and prioritize driving forces for the topic of interest. In Step 3, a time horizon and spatial level are defined. Step 4 discusses scenario logics. Steps 5 and 6 discuss different types of scenarios and associated tools for analyses. Possible challenges encountered whilst applying the foresight methodology at each of the steps, were drawn from experiences during PHIRI foresight exercise. RESULTS: Challenges associated with applying the foresight six-step approach included: formulating conci</w:t>
      </w:r>
    </w:p>
    <w:p>
      <w:r>
        <w:t>POSSIBLE 2024: Exploring the Need for Medical Futures Studies: Insights From a Scoping Review of Health Care Foresight — https://doi.org/10.2196/57148</w:t>
      </w:r>
    </w:p>
    <w:p>
      <w:r>
        <w:t>Shared claim-specific concepts: foresight, health, care, trends; EU scope not established. This is a provisional connection, not an outcome finding.</w:t>
      </w:r>
    </w:p>
    <w:p>
      <w:r>
        <w:t xml:space="preserve">Available abstract (not full text): BACKGROUND: The historical development and contemporary instances of futures studies, an interdisciplinary field that focuses on exploring and formulating alternative futures, exemplify the increasing significance of using futures methods in shaping the health care domain. Despite the wide array of these methodologies, there have been limited endeavors to employ them within the medical community thus far. OBJECTIVE: We undertook the first scoping review to date about the application of futures methodologies and published foresight projects in health care. METHODS: Through the use of the PRISMA-ScR (Preferred Reporting Items for Systematic Reviews and Meta-Analyses extension for Scoping Reviews) method, we identified 59 studies that were subsequently categorized into the following 5 distinct themes: national strategies (n=19), strategic health care foresight (n=15), health care policy and workforce dynamics (n=6), pandemic preparedness and response (n=7), and specialized medical domains (n=12). RESULTS: Our scoping review revealed that the application of futures methods and foresight has been successfully demonstrated in a wide range of fields, including national strategies, policy formulation, global threat preparedness, and technological advancements. The results of our review indicate that a total of 8 futures methods have already been used in medicine and health care, while </w:t>
      </w:r>
    </w:p>
    <w:p>
      <w:r>
        <w:t>POSSIBLE 2022: FRESHER: Challenges and opportunities for building Health/Healthy futures — https://doi.org/10.1093/eurpub/ckac129.121</w:t>
      </w:r>
    </w:p>
    <w:p>
      <w:r>
        <w:t>Shared claim-specific concepts: foresight, project, fresher, modelling, health, regulation; EU scope visible. This is a provisional connection, not an outcome finding.</w:t>
      </w:r>
    </w:p>
    <w:p>
      <w:r>
        <w:t>Available abstract (not full text): Abstract Background FRESHER (2016-2018) Foresight and modelling for European health policy and regulation - is a H2020 project that aimed at representing alternative health Scenarios to test future policies for tacking Non-Communicable Diseases (NCDs). The key added-value consists in the combination of qualitative foresight and quantitative forecast approaches: a micro-simulation model, specifically developed by the project, computed the health outcomes of the four FRESHER Scenarios. Methods The Scenarios building activities involved overall more than four-hundred experts and stakeholders, with different backgrounds within and beyond health fields, throughout all the steps of the process, in two surveys and nine workshops. The horizon scanning phase led to identify a wide range of societal trends that impact health and NCDs. Considering a long-term horizon at 2050, eight trends were then selected and ranked according to their importance and uncertainty. Results In the Scenario Building phase, the combination of different evolutions of the selected trends resulted in four alternative futures: a Business as Usual Scenario, “The rich get healthier”, two response Scenarios, “We will Health you” and “Healthy together”, and a worst case Scenario “Desolation Health”. The scenarios imagine different futures and depict how health would subsequently change in such worlds. Conclusions Giv</w:t>
      </w:r>
    </w:p>
    <w:p>
      <w:r>
        <w:t>POSSIBLE 2022: Shaping the Future of Health Data: A Scenario-Based Approach — https://doi.org/10.3233/shti220355</w:t>
      </w:r>
    </w:p>
    <w:p>
      <w:r>
        <w:t>Shared claim-specific concepts: health, stakeholders, care; EU scope visible. This is a provisional connection, not an outcome finding.</w:t>
      </w:r>
    </w:p>
    <w:p>
      <w:r>
        <w:t>Available abstract (not full text): BACKGROUND: The European health care industry faces massive changes which impose new challenges on its stakeholders. OBJECTIVE: In this paper, we present the results of a market-based analysis for upcoming changes in the European health care industry and what this specifically means for issues corresponding to data. METHOD: Scenarios are a common tool to explain and analyze future changes in business environments. This method was used in a series of workshops together with an interdisciplinary group of experts. RESULTS: Ten individual scenarios represent potential futures with distinctive subsets of data landscapes. Their assessment shows that the expected future of health data is still rather unclear, while desired changes are quite distinct. CONCLUSION: The Health Data Scenarios offer a comprehensive framework for analyzing future data-driven developments in the health care industry.</w:t>
      </w:r>
    </w:p>
    <w:p>
      <w:r>
        <w:t>POSSIBLE 2021: Foresight Capacity Building — https://doi.org/10.5281/zenodo.6630549</w:t>
      </w:r>
    </w:p>
    <w:p>
      <w:r>
        <w:t>Shared claim-specific concepts: foresight, project, health; EU scope visible. This is a provisional connection, not an outcome finding.</w:t>
      </w:r>
    </w:p>
    <w:p>
      <w:r>
        <w:t>Available abstract (not full text):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r>
        <w:t>POSSIBLE 2021: Overview of foresight related activities — https://doi.org/10.5281/zenodo.6631472</w:t>
      </w:r>
    </w:p>
    <w:p>
      <w:r>
        <w:t>Shared claim-specific concepts: foresight, health, beyond, activities; EU scope visible. This is a provisional connection, not an outcome finding.</w:t>
      </w:r>
    </w:p>
    <w:p>
      <w:r>
        <w:t>Available abstract (not full text): The Population Health Information Research Infrastructure (PHIRI) on COVID-19 seeks to lay the foundation of a federated research infrastructure on population health to support research across Europe to underpin public health policy decisions in current and future pandemics or crises. Through Work Package 9 (WP9), PHIRI aims at gaining insights in possible future health impacts of the COVID-19 outbreak, by building capacity on foresight studies. A foresight study refers to a broad range of methodologies to describe possible futures. This report presents a brief overview of the results from Task 9.1. “Overview of current foresight activities in Europe and beyond”. This task was led by Universidade NOVA de Lisboa (DGS/UNL), in collaboration with other task Partners: National Institute for Public Health and the Environment in the Netherlands (RIVM), Austrian Public Health Institute (GÖG), and the Croatian Institute of Public Health (CIPH). This report aims to present a general mapping of foresight studies in Europe, but also includes international studies and studies from other non-European countries.</w:t>
      </w:r>
    </w:p>
    <w:p>
      <w:r>
        <w:t>POSSIBLE 2020: FRESHER and RARE 2030: scanning the horizon emerging trends in health and healthcare — https://doi.org/10.1093/eurpub/ckaa165.182</w:t>
      </w:r>
    </w:p>
    <w:p>
      <w:r>
        <w:t>Shared claim-specific concepts: foresight, project, fresher, health, regulation, options; EU scope visible. This is a provisional connection, not an outcome finding.</w:t>
      </w:r>
    </w:p>
    <w:p>
      <w:r>
        <w:t>Available abstract (not full text): Abstract Background Health and healthcare are facing novel challenges ranging from broad, shifting trends to emerging innovative technologies and social practices. Foresight methodology aims to analyse emerging trends, building different future scenarios and identifying policy options to support the policy dialogue. Methods FRESHER and RARE 2030 are two EU-H2020 projects. FRESHER- FoRESight for hEalth policy development and Regulation (2016-2018) aimed at representing long term alternative health Scenarios testing future policies to tackle the burden of Non-Communicable Diseases. A micro-simulation model, specifically enhanced by the project, also computed the health outcomes of the different four Scenarios. Rare 2030-Foresight in Rare Diseases Policy (2019-2020) uses a participatory approach to identify the most relevant trends, anticipate their influence over the next decade and propose policy recommendations that could lead to a better future for people living with Rare Diseases. Different in scope, these projects share common features. Both follow a four steps foresight methodology: horizon scanning, trends identification and ranking, scenarios building, back-casting and policy elaboration. Taking a participatory approach, these studies apply structured qualitative tools, involve a wide range of stakeholders and include regional case studies. Results 20 trends emerged as ke</w:t>
      </w:r>
    </w:p>
    <w:p>
      <w:r>
        <w:t>POSSIBLE 2020: How will the main risk factors contribute to the burden of non-communicable diseases under different scenarios by 2050? A modelling study — https://doi.org/10.1371/journal.pone.0231725</w:t>
      </w:r>
    </w:p>
    <w:p>
      <w:r>
        <w:t>Shared claim-specific concepts: modelling, health, trends; EU scope visible. This is a provisional connection, not an outcome finding.</w:t>
      </w:r>
    </w:p>
    <w:p>
      <w:r>
        <w:t>Available abstract (not full text): BACKGROUND: The future burden of non-communicable diseases (NCDs) depends on numerous factors such as population ageing, evolution of societal trends, behavioural and physiological risk factors of individuals (e.g. smoking, alcohol use, obesity, physical inactivity, and hypertension). This study aims to assess the burden of NCDs in Europe by 2050 under alternative scenarios. METHODS: This study combines qualitative and quantitative forecasting techniques to examine how population health in Europe may evolve from 2015 to 2050, taking into account future societal trends. Four scenarios were developed (one business-as-usual scenario, two response scenarios and one pessimistic scenario) and assessed against 'best' and 'worst'-case scenarios. This study provides quantitative estimates of both diseases and mortality outcomes, using a microsimulation model incorporating international survey data. FINDINGS: Each scenario is associated with a different risk factor prevalence rate across Europe during the period 2015-2050. The prevalence and incidence of NCDs consistently increase during the analysed time period, mainly driven by population ageing. In more optimistic scenarios, diseases will appear in later ages, while in the pessimistic scenarios, NCDs will impair working-age people. Life expectancy is expected to grow in all scenarios, but with differences by up to 4 years across scena</w:t>
      </w:r>
    </w:p>
    <w:p>
      <w:r>
        <w:t>POSSIBLE 2020: Assessing the future medical cost burden for the European health systems under alternative exposure-to-risks scenarios — https://doi.org/10.1371/journal.pone.0238565</w:t>
      </w:r>
    </w:p>
    <w:p>
      <w:r>
        <w:t>Shared claim-specific concepts: health, usual, trends; EU scope visible. This is a provisional connection, not an outcome finding.</w:t>
      </w:r>
    </w:p>
    <w:p>
      <w:r>
        <w:t>Available abstract (not full text): BACKGROUND: Ageing populations and rising prevalence of non-communicable diseases (NCDs) increasingly contribute to the growing cost burden facing European healthcare systems. Few studies have attempted to quantify the future magnitude of this burden at the European level, and none of them consider the impact of potential changes in risk factor trajectories on future health expenditures. METHODS: The new microsimulation model forecasts the impact of behavioural and metabolic risk factors on NCDs, longevity and direct healthcare costs, and shows how changes in epidemiological trends can modify those impacts. Economic burden of NCDs is modelled under three scenarios based on assumed future risk factors trends: business as usual (BAU); best case and worst case predictions (BCP and WCP). FINDINGS: The direct costs of NCDs in the EU 27 countries and the UK (in constant 2014 prices) will grow under all scenarios. Between 2014 and 2050, the overall healthcare spending is expected to increase by 0.8% annually under BAU. In the all the countries, 605 billion Euros can be saved by 2050 if BCP is realized compared to the BAU, while excess spending under the WCP is forecast to be around 350 billion. Interpretation: Although the savings realised under the BCP can be substantial, population ageing is a stronger driver of rising total healthcare expenditures in Europe compared to scenario-bas</w:t>
      </w:r>
    </w:p>
    <w:p>
      <w:r>
        <w:t>POSSIBLE 2019: Scenarios for population health inequalities in 2030 in Europe: the EURO-HEALTHY project experience — https://doi.org/10.1186/s12939-019-1000-8</w:t>
      </w:r>
    </w:p>
    <w:p>
      <w:r>
        <w:t>Shared claim-specific concepts: project, health, stakeholders, policy-making, pose, affect; EU scope visible. This is a provisional connection, not an outcome finding.</w:t>
      </w:r>
    </w:p>
    <w:p>
      <w:r>
        <w:t>Available abstract (not full text): BACKGROUND: Health inequalities have been consistently reported across and within European countries and continue to pose major challenges to policy-making. The development of scenarios regarding what could affect population health (PH) inequalities across Europe in the future is considered critical. Scenarios can help policy-makers prepare and better cope with fast evolving challenges. OBJECTIVE: This paper describes the three 2030 time-horizon scenarios developed under the EURO-HEALTHY project, depicting the key factors that may affect the evolution of PH inequalities across European regions. METHODS: A three-stage socio-technical approach was applied: i) identification of drivers (key factors expected to affect the evolution of PH inequalities across European regions until 2030) - this stage engaged in a Web-Delphi process a multidisciplinary panel of 51 experts and other stakeholders representing the different perspectives regarding PH inequalities; ii) generation of scenario structures - different drivers' configurations (i.e. their hypotheses for evolution) were organized into coherent scenario structures using the Extreme-World Method; and iii) validation of scenario structures and generation of scenario narratives. Stages ii) and iii) were conducted in two workshops with a strategic group of 13 experts with a wide view about PH inequalities. The scenario narratives were</w:t>
      </w:r>
    </w:p>
    <w:p>
      <w:pPr>
        <w:pStyle w:val="Heading2"/>
      </w:pPr>
      <w:r>
        <w:t>EUHFORIA: European heliospheric forecasting information asset</w:t>
      </w:r>
    </w:p>
    <w:p>
      <w:r>
        <w:t>Original source (2018): https://doi.org/10.1051/swsc/2018020</w:t>
      </w:r>
    </w:p>
    <w:p>
      <w:r>
        <w:t>Original wording (abstract; indexed_source_text_not_full_document_verified): The implementation and first results of the new space weather forecasting-targeted inner heliosphere model “European heliospheric forecasting information asset” (EUHFORIA) are presented. The results feature a highly dynamic heliosphere that the model is able to capture in good agreement with in situ observations.</w:t>
      </w:r>
    </w:p>
    <w:p>
      <w:r>
        <w:t>POSSIBLE 2025: An Implementation of European Green Deal into the European Union law — https://openalex.org/W7164873981</w:t>
      </w:r>
    </w:p>
    <w:p>
      <w:r>
        <w:t>Shared claim-specific concepts: implementation, first; EU scope visible. This is a provisional connection, not an outcome finding.</w:t>
      </w:r>
    </w:p>
    <w:p>
      <w:r>
        <w:t>Available abstract (not full text): Název rigorózní práce v anglickém jazyce, abstrakt v anglickém jazyce a 3 klíčová slova v anglickém jazyce Title: An implementation of the European Green Deal into the European Union law The European Union sees climate change as a major global issue. Although the EU has been focusing on climate change for many years, it only became an apparent priority with the adoption of the European Green Deal in December 2019, which is set to transform the entire EU economy, from energy produciton and waste management to sustainable consumption, with the aim to reduce EU greenhouse gas emissions by 55% by 2030 compared to 1990 and achieving climate neutrality by 2050. The aim of this rigorous thesis is to provide a comprehensive overview of the current development of climate law in the European Union, which is closely linked to the adoption and implementation of the European Green Deal and the related climate strategies and plans. Attention is paid to the period up to 2030 and the sub-target of a 55% reduction in greenhouse gas emissions compared to 1990, which is to be realised especially through the so-called Fit for 55 package, which proposes the adoption of new and the revision of some existing EU legislation in line with this target. The thesis is divided into an introduction, five parts and a conclusion. The first...</w:t>
      </w:r>
    </w:p>
    <w:p>
      <w:r>
        <w:t>POSSIBLE 2025: New Policy in Doctoral Education in Poland. First Conclusions of Implementing Doctoral Schools — https://doi.org/10.1111/hequ.70074</w:t>
      </w:r>
    </w:p>
    <w:p>
      <w:r>
        <w:t>Shared claim-specific concepts: implementation, first; EU scope visible. This is a provisional connection, not an outcome finding.</w:t>
      </w:r>
    </w:p>
    <w:p>
      <w:r>
        <w:t>Available abstract (not full text): ABSTRACT In Poland, doctoral education remained outside the mainstream of public policy interest for many years. The 2018 reform is the first major change in the systemic approach to education at this level. Significant deregulation at the national level has introduced new requirements for conducting doctoral education and the need for its new organisation. The reform aimed to decrease the number of doctoral candidates while enhancing the quality and effectiveness of PhD education. For the first time in history, doctoral education has begun to be subject to a real external evaluation of its quality, too. The legal status of PhD candidates was also redefined, aligning them more closely with young researchers. The 2018 Act granted universities considerable autonomy in organising doctoral schools, resulting in diverse structural solutions and management models. Doctoral education is also influenced by the new rules of scientific evaluation and the instability of rules in this area; financing of the science and higher education sector; and first experience in conducting doctoral schools. The paper analyses the adopted system solutions against the background of policy changes in Europe. It also presents the initial conclusions from the implementation of new systemic solutions.</w:t>
      </w:r>
    </w:p>
    <w:p>
      <w:r>
        <w:t>POSSIBLE 2024: “New” Militarization of Europe? — https://doi.org/10.20542/0131-2227-2024-68-12-14-25</w:t>
      </w:r>
    </w:p>
    <w:p>
      <w:r>
        <w:t>Shared claim-specific concepts: implementation, first; EU scope visible. This is a provisional connection, not an outcome finding.</w:t>
      </w:r>
    </w:p>
    <w:p>
      <w:r>
        <w:t>Available abstract (not full text): From the first steps of implementing the policy of NATO expansion to the East – since the first half of the 1990s, official representatives of the alliance have constantly emphasized that these actions would not pose a threat to Russia. Moscow held the exact opposite opinion, but its concerns and objections were not taken into consideration. As military and political relations worsened and disagreements between Russia and the West/NATO grew, the military potential of the alliance was increasingly strengthened, coming close to the Russian borders. Traditionally neutral states – Finland and Sweden – also joined NATO. The beginning of the Special Military Operation (SMO) was used by Brussels as a long-term pretext for the beginning of the active militarization of Europe, the implementation of plans for even a larger-scale strengthening of the military and political structure of the Alliance. The leadership of the USA and NATO, having taken a course for escalation, however, show a certain “restraint”, trying to avoid a direct conflict with Russia. Brussels has repeatedly argued that NATO is not a party to the conflict in Ukraine and has set itself the task of preventing a direct clash Moscow has also repeatedly stated that it is not going to attack NATO countries. The United States and other Western states all the while do not allow Kyiv to use their weapons for strikes deep into R</w:t>
      </w:r>
    </w:p>
    <w:p>
      <w:r>
        <w:t>POSSIBLE 2022: Implementation of European Drone Regulations - Status Quo and Assessment — https://doi.org/10.1007/s10846-022-01714-0</w:t>
      </w:r>
    </w:p>
    <w:p>
      <w:r>
        <w:t>Shared claim-specific concepts: implementation, first; EU scope visible. This is a provisional connection, not an outcome finding.</w:t>
      </w:r>
    </w:p>
    <w:p>
      <w:r>
        <w:t>Available abstract (not full text): Abstract The fast evolution of drone technology as well as the ubiquitous adoption from private and commercial users lead to the necessity to introduce new regulations covering the operations of Unmanned Aircraft Systems (UAS) in European Member states. The regulations implemented rules for multiple scenarios of normal and complex UAS operations as well as the collection of registration data from remote pilots and Operators. This research project tried for the first time to determine the status quo of the adoption of the novel EASA regulations of drones within the European members states. Data from National Aviation Authorities has been collected, accumulated, and analyzed towards qualitative and quantitative features.</w:t>
      </w:r>
    </w:p>
    <w:p>
      <w:r>
        <w:t>POSSIBLE 2022: 7.L. Workshop: New roles and innovative skill-mix in nursing across Europe: trends and lessons for implementation — https://doi.org/10.1093/eurpub/ckac129.446</w:t>
      </w:r>
    </w:p>
    <w:p>
      <w:r>
        <w:t>Shared claim-specific concepts: implementation, first, presented; EU scope visible. This is a provisional connection, not an outcome finding.</w:t>
      </w:r>
    </w:p>
    <w:p>
      <w:r>
        <w:t>Available abstract (not full text): Abstract Many countries in Europe are changing the roles and skill-mix of their nursing workforce. A sufficient and well-skilled nursing workforce has shown to be key for population health, most recently demonstrated during the Covid-19 pandemic. An increasing number of countries have introduced Master-level education for nurses to work in advanced practice nursing (APN) roles. These changes in the educational systems have implications on patients, clinical practice, teams and health systems. Moreover, many countries are re-orienting their health services from hospital to primary health care and prevention, driving new roles for nurses. The relevance of high-quality education and upskilling has been exemplified during the Covid-19 pandemic, where nurses had to quickly adapt to new treatment and caregiving situations in challenging work environments. Objectives of the workshop. This workshop will provide an overview of research and policy developments in Europe, drawing on recent research. First, an overview of innovative skill-mix changes in nursing will be presented and evidence on health outcomes, based on a study from the European Observatory on Health Systems and Policies. Second, research from Germany in five innovator hospitals will be presented, a country which is still at an early stage with integrating nurses in advanced roles. The panel discussion will address innovat</w:t>
      </w:r>
    </w:p>
    <w:p>
      <w:r>
        <w:t>POSSIBLE 2021: First Draft of Crypto-Asset Regulation (MiCA) with the European Union and Potential Implementation — https://doi.org/10.4467/22996834flr.21.011.13979</w:t>
      </w:r>
    </w:p>
    <w:p>
      <w:r>
        <w:t>Shared claim-specific concepts: implementation, first; EU scope visible. This is a provisional connection, not an outcome finding.</w:t>
      </w:r>
    </w:p>
    <w:p>
      <w:r>
        <w:t>Available abstract (not full text): This article focuses on the very first working draft of new crypto-asset regulation within the European Union. The primary aim of this article is to evaluate the newly defined institutes in the draft and confirm or disprove the hypothesis that this new system of crypto-assets may be implemented to the actual regulation of capital markets as well as payment system, in effect within the European Union. As mentioned above, hypothesis will count on an ideal adoption of the MiCA regulation into the existing legal framework of both, capital markets as well as payments regulation in the European Union, not interfering with existing laws or regulations. Within the first part of this article, synthesis will be used as well as compilation for the description of crypto-asset categories and of the issuers of crypto-assets or crypto-asset service providers. Subsequently, analysis will be applied for the specification of missing elements for the purpose of finding the right connection and implementation into the existing regulation of capital markets and payments industry.</w:t>
      </w:r>
    </w:p>
    <w:p>
      <w:r>
        <w:t>POSSIBLE 2021: Implementation of the New European Bauhaus Principles as a Context for Teaching Sustainable Architecture — https://doi.org/10.3390/su131910715</w:t>
      </w:r>
    </w:p>
    <w:p>
      <w:r>
        <w:t>Shared claim-specific concepts: implementation, first; EU scope visible. This is a provisional connection, not an outcome finding.</w:t>
      </w:r>
    </w:p>
    <w:p>
      <w:r>
        <w:t>Available abstract (not full text): Due to the presentation of the European Green Deal (EGD) on 11 December 2019, it is important to introduce a new context for the education of architects corresponding to the objectives set by the European Union. These include reducing greenhouse gas emissions, increasing the energy efficiency of buildings, designing buildings in accordance with the principles of the circular economy, using renewable energy, as well as promoting ecological food and protecting biodiversity. As part of the design course Environmentally Friendly Housing Architecture, inspired by, among others, the design of the New European Bauhaus and the former Bauhaus art school, both of which are compared in the first part of this article, we identify a number of new, assessed design indicators related to the achievement of the above objectives, in line with the trend of sustainable architecture. The indicators are divided into four main categories: energy, environment, indoor climate, and society, where, for example, the environmental category includes the following criteria: embodied energy (MJ/m2), embodied carbon footprint (CO2eq/m2), use of rainwater and gray water (% of demand), use of mains water (% of demand), local production of vegetables and fruit (% of demand). During the design process, changes were made to achieve better indicators, and the final designs were described using radar charts. The pape</w:t>
      </w:r>
    </w:p>
    <w:p>
      <w:r>
        <w:t>POSSIBLE 2021: Implementation of circular economy on the basis of European experience — https://doi.org/10.23939/smeu2021.02.280</w:t>
      </w:r>
    </w:p>
    <w:p>
      <w:r>
        <w:t>Shared claim-specific concepts: implementation, first, agreement; EU scope visible. This is a provisional connection, not an outcome finding.</w:t>
      </w:r>
    </w:p>
    <w:p>
      <w:r>
        <w:t>Available abstract (not full text): Accelerated population growth, depletion of natural resources, excessive pollution of the environment, which threatens the existence of mankind, was a prerequisite for the emergence of the concept of circular economy and the principles of sustainable development, ie doing business without harm to the environment. The model of circular (circular) economy is aimed at energy saving, regenerative environmentally friendly consumption and production. The article presents the results of the study of the concept of circular economy and the benefits of its implementation based on the experience of the European Union - a global leader in this field. The main goals, priorities and measures of the EU in the implementation of the circular economy are revealed. The basic principles of the circular economy are highlighted, examples of successful use of its business models are given. The two most acute global problems that can be solved only by a closed-loop economy are identified, and forecasts of the results of its global use are given. Closed-loop economics is a concept of resource management that is rapidly gaining global popularity and is recognized in the scientific literature as one of the key drivers for achieving objectives of the Paris Agreement. 30 years have passed since the first mention of the "circularity" of the economy, however only after its official introduction in the EU it</w:t>
      </w:r>
    </w:p>
    <w:p>
      <w:r>
        <w:t>POSSIBLE 2021: RURAL ECONOMY: DIRECTIONS OF NEW THEORIZATION AND IMPLEMENTATION OF BEST EUROPEAN FINANCIAL REGULATION PRACTICES — https://doi.org/10.18371/fcaptp.v5i40.245198</w:t>
      </w:r>
    </w:p>
    <w:p>
      <w:r>
        <w:t>Shared claim-specific concepts: implementation, first; EU scope visible. This is a provisional connection, not an outcome finding.</w:t>
      </w:r>
    </w:p>
    <w:p>
      <w:r>
        <w:t>Available abstract (not full text): Abstract. A Ukrainian intellectual-expert community is at the initial stage of forming a methodological basis of the rural economy ontogenesis that is determined, first of all, by the ongoing decentralization reform, a new role of the rural economy from the national perspective of a new (both coronavirus and post-COVID) economic reality in ensuring food sovereignty, economic recovery of the economy, in general, and rural territorial communities, in particular, with regard to new challenges associated with the ageing of the rural community, de-population, predominance of the rural employment in the rural area and financivization of relationships within the rural economic agents, ultimately creating a new normality of the operation and development of the rural economy. Taking into account that Ukraine has strategically outlined its aspiration for integrating into the European Community having successfully passed a forming phase of group dynamics (according to Bruce Tuckman), has moved to a conflict phase having enlarged its orthodox understanding to the absence of proper parity in the development of socioeconomic, financial-institutional processes inside the rural economy, having created the threats to its transition to comprehensive digitalization and «greening» of finances applied for it. In the European Union, this problematics has been studied and an analysis of searches of d</w:t>
      </w:r>
    </w:p>
    <w:p>
      <w:r>
        <w:t>POSSIBLE 2020: European project ‘blueprint “new skills agenda steel”: industry-driven sustainable european steel skills agenda and strategy (essa)’ – the first year of implementation — https://doi.org/10.32730/imz.2657-747.19.4.1</w:t>
      </w:r>
    </w:p>
    <w:p>
      <w:r>
        <w:t>Shared claim-specific concepts: implementation, first; EU scope visible. This is a provisional connection, not an outcome finding.</w:t>
      </w:r>
    </w:p>
    <w:p>
      <w:r>
        <w:t>Available abstract (not full text): The article presents the general characteristics of the European project implemented by an international consortium, which includes the Łukasiewicz Research Network – Institute of Ferrous Metallurgy. The project concerns the preparation and improvement of personnel for the steel sector in the face of the rapidly approaching industrial revolution 4.0: WORK 4.0 for STEEL 4.0. The article presents the first results of the project obtained in 2019, highlighting the Institute’s contribution. The four-year project (completed in December 2022) integrates the efforts in this area of a broad European consortium, consisting of 24 partners from 10 countries and 14 associated partners from 8 countries, in the ERASMUS + programme.</w:t>
      </w:r>
    </w:p>
    <w:p>
      <w:r>
        <w:t>POSSIBLE 2020: Exploring the Role of Carbon Taxation Policies on CO2 Emissions: Contextual Evidence from Tax Implementation and Non-Implementation European Countries — https://doi.org/10.3390/su12208680</w:t>
      </w:r>
    </w:p>
    <w:p>
      <w:r>
        <w:t>Shared claim-specific concepts: implementation, first; EU scope visible. This is a provisional connection, not an outcome finding.</w:t>
      </w:r>
    </w:p>
    <w:p>
      <w:r>
        <w:t>Available abstract (not full text): During the past decades, environmental related taxes, energy, and carbon taxes has been recommended by environmental scientists as a policy tool to mitigate pollutant emissions in developed and developing economies. Among developed nations, Denmark, Finland, Sweden, the Netherlands, and Norway were the first regions to adopt a tax on carbon dioxide (CO2) emissions and research into the impacts of carbon tax on carbon emissions bring significant implications. The prime objective and goal of this work is to explore the role of carbon tax reforms for environmental quality in European economies. This is probably the first study to conduct a comparative study in European context for carbon-tax implementation and non-implementation policies. To this end, the present study reports new conclusions and implications regarding the effectiveness of environmental regulations and policies for climate change and sustainability. In the present study, the authors exhaustively explore the impacts of the carbon-tax on the mitigation of CO2 emissions. Using the propensity score matching method, the results of the estimation of the different matching methods allow us to observe a positive and significant impact of the adoption of the carbon-tax on stimulating the reduction of carbon emissions.</w:t>
      </w:r>
    </w:p>
    <w:p>
      <w:r>
        <w:t>POSSIBLE 2020: The implementation of the circular economy in the European Union — https://openalex.org/W3157224602</w:t>
      </w:r>
    </w:p>
    <w:p>
      <w:r>
        <w:t>Shared claim-specific concepts: implementation, first, agreement; EU scope visible. This is a provisional connection, not an outcome finding.</w:t>
      </w:r>
    </w:p>
    <w:p>
      <w:r>
        <w:t>Available abstract (not full text): The circular economy (CE) is an area that has received increased amounts of attention over the last decade. Since being installed in China in 2002, and the European Union (EU) in 2015, CE has been hailed as a new paradigm to allow the decoupling of economic growth from negative environmental impacts. Targets set under the United Nations (UN) 2015 Paris Agreement (PA) and the 2019 European Green Deal call for climate neutrality by 2050, with the first halving of emissions to be achieved by 2030. Within the EU CE has been positioned as a cornerstone for achieving these targets whilst allowing for sustainable economic growth. \n \nThe contrasting political systems of China and the EU and the divergent motivations for installing CE show how complex the practice of implementing policy can be. It is therefore the aim of this research to offer a contemporary view of the situation in relation to the implementation of CE within the EU to help define the strengths, weaknesses, and limitations of the strategy.</w:t>
      </w:r>
    </w:p>
    <w:p>
      <w:pPr>
        <w:pStyle w:val="Heading2"/>
      </w:pPr>
      <w:r>
        <w:t>Estimation and Forecasts for the Share of Renewable Energy Consumption in Final Energy Consumption by 2020 in the European Union</w:t>
      </w:r>
    </w:p>
    <w:p>
      <w:r>
        <w:t>Original source (2018): https://doi.org/10.3390/su10051515</w:t>
      </w:r>
    </w:p>
    <w:p>
      <w:r>
        <w:t>Original wording (abstract; indexed_source_text_not_full_document_verified): Forecasts of this share for the 2020 horizon were obtained, all showing that the EU target is yet to be reached. Empirical estimations of renewable energy share into the final energy consumption showed increasing trend for all groups, while providing forecasts quite different from the EU ones.</w:t>
      </w:r>
    </w:p>
    <w:p>
      <w:r>
        <w:t>POSSIBLE 2026: Horizon-constrained Rashomon sets for chaotic forecasting — https://doi.org/10.1063/5.0325059</w:t>
      </w:r>
    </w:p>
    <w:p>
      <w:r>
        <w:t>Shared claim-specific concepts: horizon, providing; EU scope not established. This is a provisional connection, not an outcome finding.</w:t>
      </w:r>
    </w:p>
    <w:p>
      <w:r>
        <w:t>Available abstract (not full text): Predictive multiplicity and chaotic dynamics represent two fundamental challenges in machine learning that have evolved independently despite their conceptual connections. We bridge this gap by introducing horizon-constrained Rashomon sets, a theoretical framework that characterizes how model multiplicity evolves with prediction horizon in chaotic systems. Unlike static prediction tasks where the Rashomon set remains fixed, chaos induces exponential divergence among initially similar models, fundamentally transforming the nature of predictive equivalence. We prove that the effective Rashomon set contracts exponentially with lead time at a rate determined by the maximum Lyapunov exponent and introduce Lyapunov-weighted metrics that provide tighter bounds on predictive disagreement. Leveraging these insights, we develop decision-aligned selection algorithms that choose among near-optimal models based on downstream utility rather than forecast accuracy alone. Extensive experiments on synthetic chaotic systems (Lorenz-96 and Kuramoto–Sivashinsky) and real-world applications (wind power, traffic, and weather) demonstrate that our framework improves decision quality by 18%–34% while maintaining competitive predictive performance. This work establishes the first rigorous connection between chaos theory and predictive multiplicity, providing principled guidance for deploying machine le</w:t>
      </w:r>
    </w:p>
    <w:p>
      <w:r>
        <w:t>POSSIBLE 2026: European Economic Forecast — https://doi.org/10.2765/0071034</w:t>
      </w:r>
    </w:p>
    <w:p>
      <w:r>
        <w:t>Shared claim-specific concepts: energy, final, consumption; EU scope visible. This is a provisional connection, not an outcome finding.</w:t>
      </w:r>
    </w:p>
    <w:p>
      <w:r>
        <w:t>Available abstract (not full text): The period from 2019 to 2024 witnessed an unprecedented decline in energy use, driven by a combination of price signals, policy measures, and structural change. This special issue examines how this reduction was achieved, placing recent developments in a longer-term perspective and distinguishing between adjustments in the transformation sector and changes in final consumption of energy demand across three main sectors: productive, transport and households. Special attention is given to developments in productive sectors—and in particular industry—where most of the adjustment ultimately took place. The analysis shows that the recent period represents the sharpest “leaning-out” phase of the EU economy on record. This adjustment was driven by a combination of efficiency gains and structural reallocation, although demand compression—particularly in energy-intensive industry—also played a role.</w:t>
      </w:r>
    </w:p>
    <w:p>
      <w:r>
        <w:t>POSSIBLE 2026: Explaining Time Series Forecasting with Horizon-Resolved Attribution — https://doi.org/10.48550/arxiv.2609.12639</w:t>
      </w:r>
    </w:p>
    <w:p>
      <w:r>
        <w:t>Shared claim-specific concepts: horizon, all, yet, different; EU scope not established. This is a provisional connection, not an outcome finding.</w:t>
      </w:r>
    </w:p>
    <w:p>
      <w:r>
        <w:t>Available abstract (not full text): Recent advances in explaining time series (TS) models have produced methods that identify which past values a prediction depends on. However, most existing methods return a single importance vector, assuming that every predicted step depends on the same past values. In this paper, we show that this assumption does not hold, as different forecast steps depend on different past values. Motivated by this observation, we propose Horizon-Resolved eXplanation (HRX), which adds a horizon axis to the explanation, so that every forecast step receives its own importance map. HRX is a simple yet effective plug-in framework with three components: 1) an estimator that reads these maps out of any differentiable forecaster without modifying the TS backbone, 2) an evaluation protocol that validates the horizon axis by measuring how much a single forecast step changes when the inputs an importance map ranks highest are removed, and 3) a rank criterion that predicts in advance whether the axis is worth resolving on a given TS. We further show that this step-wise dependence is low-dimensional, as the explanations of all steps are built from a few shared maps whose number does not grow with the forecast length. Extensive experiments across various backbones and datasets show that the improvement comes from the horizon axis and holds for estimators of previous explanation methods. Code is available</w:t>
      </w:r>
    </w:p>
    <w:p>
      <w:r>
        <w:t>POSSIBLE 2025: Approximating Fixed‐Horizon Forecasts Using Fixed‐Event Forecasts — https://doi.org/10.1002/jae.3114</w:t>
      </w:r>
    </w:p>
    <w:p>
      <w:r>
        <w:t>Shared claim-specific concepts: forecasts, horizon, empirical; EU scope not established. This is a provisional connection, not an outcome finding.</w:t>
      </w:r>
    </w:p>
    <w:p>
      <w:r>
        <w:t>Available abstract (not full text): ABSTRACT Many forecast surveys ask their participants for fixed‐event forecasts. As fixed‐event forecasts have seasonal properties, users often employ an ad hoc approach to approximate fixed‐horizon forecasts based on these fixed‐event forecasts. We derive an optimal approximation for fixed‐horizon forecasts by minimizing the mean‐squared approximation error. Like the ad hoc approach, our approximation employs a weighted average of the fixed‐event forecasts. The optimal weights tend to differ substantially from those of the ad hoc approach. In empirical applications, the gains from using optimal instead of ad hoc weights turn out to be sizeable. The approximation approach proposed can also be useful in other applications.</w:t>
      </w:r>
    </w:p>
    <w:p>
      <w:r>
        <w:t>POSSIBLE 2024: Evolution of the European offshore renewable energy resource under multiple climate change scenarios and forecasting horizons via CMIP6 — https://doi.org/10.1016/j.enconman.2023.118058</w:t>
      </w:r>
    </w:p>
    <w:p>
      <w:r>
        <w:t>Shared claim-specific concepts: horizon, all, renewable, energy, increasing, trend; EU scope visible. This is a provisional connection, not an outcome finding.</w:t>
      </w:r>
    </w:p>
    <w:p>
      <w:r>
        <w:t>Available abstract (not full text): The design of the different offshore renewable Energy (ORE) technologies greatly depends on the characteristics of the wind/wave resource. However, these characteristics are not stationary. Even more so under the effect of climate change. The present study aims at assessing the evolution of the European offshore wave/wind resource under low- and high-emissions scenarios based on Shared Socioeconomic Pathways, and three forecasting horizons including near- (2023-2032), mid- (2041-2050) and long-term (2091-2100). The novelties lie in (i) combining wind and wave resources, (ii) using data with a 3-hour temporal horizon and (ii) performing a local-scale statistical analysis. Results illustrate that variations along the 21st century are significant, reversing the historical increasing trend by 2030. Overall, all scenarios tend to average wind and wave resource reductions all over Europe. However, extreme conditions follow a different pattern. Considering the 99th percentile, extreme conditions seem to be milder, following the evolution observed with the average resource. Exceptions to this are the Iberian Peninsula and the North Sea. In contrast, the local-scale statistical analysis shows that the most extreme conditions tend to increase even when the 99th percentile decreases. This combination of decreasing average and increasing extremes presents the worst-case scenario for ORE te</w:t>
      </w:r>
    </w:p>
    <w:p>
      <w:r>
        <w:t>POSSIBLE 2024: Burden of intracerebral haemorrhage in Europe: forecasting incidence and mortality between 2019 and 2050 — https://doi.org/10.1016/j.lanepe.2024.100842</w:t>
      </w:r>
    </w:p>
    <w:p>
      <w:r>
        <w:t>Shared claim-specific concepts: forecasts, horizon, all, groups, different; EU scope visible. This is a provisional connection, not an outcome finding.</w:t>
      </w:r>
    </w:p>
    <w:p>
      <w:r>
        <w:t xml:space="preserve">Available abstract (not full text): Background: Anticipating the burden of intracerebral haemorrhage is crucial for proactive management and building resilience against future health challenges. Prior forecasts are based on population demography and to a lesser extent epidemiological trends. This study aims to utilise selected modifiable risk factors and socio-demographic indicators to forecast the incidence and mortality of intracerebral haemorrhage in Europe between 2019 and 2050. Methods: Three intracerebral haemorrhage risk factors identified in the Global Burden of Diseases, Injuries, and Risk Factors study (GBD 2019)-high systolic blood pressure, high fasting plasma glucose, and high body mass index-were utilised to predict the risk-attributable fractions between 2019 and 2050. Disease burden not attributable to these risk factors was then forecasted using time series models (autoregressive integrated moving average [ARIMA]), incorporating the Socio-demographic Index (SDI) as an external predictor. The optimal parameters of ARIMA models were selected for each age-sex-country group based on the Akaike Information Criterion (AIC). Different health scenarios were constructed by extending the past 85th and 15th percentiles of annualised rates of change in risk factors and SDI across all location-years, stratified by age and sex groups. A decomposition analysis was performed to assess the relative contributions </w:t>
      </w:r>
    </w:p>
    <w:p>
      <w:r>
        <w:t>POSSIBLE 2024: Hybrid AI-enhanced lightning flash prediction in the medium-range forecast horizon — https://doi.org/10.1038/s41467-024-44697-2</w:t>
      </w:r>
    </w:p>
    <w:p>
      <w:r>
        <w:t>Shared claim-specific concepts: forecasts, horizon, obtained; EU scope visible. This is a provisional connection, not an outcome finding.</w:t>
      </w:r>
    </w:p>
    <w:p>
      <w:r>
        <w:t>Available abstract (not full text): Traditional fully-deterministic algorithms, which rely on physical equations and mathematical models, are the backbone of many scientific disciplines for decades. These algorithms are based on well-established principles and laws of physics, enabling a systematic and predictable approach to problem-solving. On the other hand, AI-based strategies emerge as a powerful tool for handling vast amounts of data and extracting patterns and relationships that might be challenging to identify through traditional algorithms. Here, we bridge these two realms by using AI to find an optimal mapping of meteorological features predicted two days ahead by the state-of-the-art numerical weather prediction model by the European Centre for Medium-range Weather Forecasts (ECMWF) into lightning flash occurrence. The prediction capability of the resulting AI-enhanced algorithm turns out to be significantly higher than that of the fully-deterministic algorithm employed in the ECMWF model. A remarkable Recall peak of about 95% within the 0-24 h forecast interval is obtained. This performance surpasses the 85% achieved by the ECMWF model at the same Precision of the AI algorithm.</w:t>
      </w:r>
    </w:p>
    <w:p>
      <w:r>
        <w:t>POSSIBLE 2023: Transformers for Multi-Horizon Forecasting in an Industry 4.0 Use Case — https://doi.org/10.3390/s23073516</w:t>
      </w:r>
    </w:p>
    <w:p>
      <w:r>
        <w:t>Shared claim-specific concepts: horizon, obtained, showed; EU scope not established. This is a provisional connection, not an outcome finding.</w:t>
      </w:r>
    </w:p>
    <w:p>
      <w:r>
        <w:t>Available abstract (not full text): Recently, a novel approach in the field of Industry 4.0 factory operations was proposed for a new generation of automated guided vehicles (AGVs) that are connected to a virtualized programmable logic controller (PLC) via a 5G multi-access edge-computing (MEC) platform to enable remote control. However, this approach faces a critical challenge as the 5G network may encounter communication disruptions that can lead to AGV deviations and, with this, potential safety risks and workplace issues. To mitigate this problem, several works have proposed the use of fixed-horizon forecasting techniques based on deep-learning models that can anticipate AGV trajectory deviations and take corrective maneuvers accordingly. However, these methods have limited prediction flexibility for the AGV operator and are not robust against network instability. To address this limitation, this study proposes a novel approach based on multi-horizon forecasting techniques to predict the deviation of remotely controlled AGVs. As its primary contribution, the work presents two new versions of the state-of-the-art transformer architecture that are well-suited to the multi-horizon prediction problem. We conduct a comprehensive comparison between the proposed models and traditional deep-learning models, such as the long short-term memory (LSTM) neural network, to evaluate the performance and capabilities of the p</w:t>
      </w:r>
    </w:p>
    <w:p>
      <w:r>
        <w:t>POSSIBLE 2021: Machine learning for regional crop yield forecasting in Europe — https://doi.org/10.1016/j.fcr.2021.108377</w:t>
      </w:r>
    </w:p>
    <w:p>
      <w:r>
        <w:t>Shared claim-specific concepts: forecasts, trend, ones; EU scope visible. This is a provisional connection, not an outcome finding.</w:t>
      </w:r>
    </w:p>
    <w:p>
      <w:r>
        <w:t>Available abstract (not full text): Crop yield forecasting at national level relies on predictors aggregated from smaller spatial units to larger ones according to harvested crop areas. Such crop areas come from land cover maps or reported statistics, both of which can have errors and uncertainties. Sub-national or regional crop yield forecasting minimizes the propagation of these errors to some extent. In addition, regional forecasts provide added value and insights to stakeholders on regional differences within a country, which would otherwise compensate each other at national level. We propose a crop yield forecasting approach for multiple spatial levels based on regional crop yield forecasts from machine learning. Machine learning, with its data-driven approach, can leverage larger data sizes and capture nonlinear relationships between predictors and yield at regional level. We designed a generic machine learning workflow to demonstrate the benefits of regional crop yield forecasting in Europe. To evaluate the quality and usefulness of regional forecasts, we predicted crop yields for 35 case studies, including nine countries that are major producers of six crops (soft wheat, spring barley, sunflower, grain maize, sugar beets and potatoes). Machine learning models at regional level had lower normalized root mean squared errors (NRMSE) and uncertainty than a linear trend model, with Wilcoxon p-values of 3e-7 an</w:t>
      </w:r>
    </w:p>
    <w:p>
      <w:r>
        <w:t>POSSIBLE 2020: A Review of Electricity Demand Forecasting in Low and Middle Income Countries: The Demand Determinants and Horizons — https://doi.org/10.3390/su12155931</w:t>
      </w:r>
    </w:p>
    <w:p>
      <w:r>
        <w:t>Shared claim-specific concepts: forecasts, increasing, different; EU scope not established. This is a provisional connection, not an outcome finding.</w:t>
      </w:r>
    </w:p>
    <w:p>
      <w:r>
        <w:t>Available abstract (not full text): With the globally increasing electricity demand, its related uncertainties are on the rise as well. Therefore, a deeper insight of load forecasting techniques for projecting future electricity demands becomes imperative for business entities and policy makers. The electricity demand is governed by a set of different variables or “electricity demand determinants”. These demand determinants depend on forecasting horizons (long term, medium term, and short term), the load aggregation level, climate, and socio-economic activities. In this paper, a review of different electricity demand forecasting methodologies is provided in the context of a group of low and middle income countries. The article presents a comprehensive literature review by tabulating the different demand determinants used in different countries and forecasting the trends and techniques used in these countries. A comparative review of these forecasting methodologies over different time horizons reveals that the time series modeling approach has been extensively used while forecasting for long and medium terms. For short term forecasts, artificial intelligence-based techniques remain prevalent in the literature. Furthermore, a comparative analysis of the demand determinants in these countries indicates a frequent use of determinants like the population, GDP, weather, and load data over different time horizons. Follo</w:t>
      </w:r>
    </w:p>
    <w:p>
      <w:r>
        <w:t>POSSIBLE 2020: Development Forecasts for the Zero-Emission Bus Fleet in Servicing Public Transport in Chosen EU Member Countries — https://doi.org/10.3390/en13164239</w:t>
      </w:r>
    </w:p>
    <w:p>
      <w:r>
        <w:t>Shared claim-specific concepts: forecasts, share, all; EU scope visible. This is a provisional connection, not an outcome finding.</w:t>
      </w:r>
    </w:p>
    <w:p>
      <w:r>
        <w:t>Available abstract (not full text): Nearly two-thirds of the emissions that cause smog come from road transport. In April 2019, the European Parliament adopted new regulations on public procurement to encourage investment in clean buses—electric, hydrogen, or gas. Directive 2009/33/EC is to apply from the second half of 2021. The aim of this article is to make an attempt to simulate the number of zero-emission buses (ZEB) in European Union (EU) member countries in two time horizons: 2025 and 2030, and to forecast the number of clean vehicles in the precise time horizons, including before and after 2050. Research questions are as follows: (1) what will be the number of ZEBs in individual EU countries over the next few years; (2) which of the EU countries will reach by 2030 the level of 95% share of ZEBs in all buses, which are a fleet of public transport buses; and (3) in which year will which EU countries reach the level of 95% share of zero-emission buses. The method used is a Bass model. The conducted analyses demonstrate that, by 2050, only four of the EU members will be able to reach 95% level of share of clean buses in the city bus transport fleets. It is likely that other countries may not achieve this even by 2050.</w:t>
      </w:r>
    </w:p>
    <w:p>
      <w:r>
        <w:t>POSSIBLE 2019: Time horizon volatility forecasting of Malaysian property stocks — https://openalex.org/W3206664364</w:t>
      </w:r>
    </w:p>
    <w:p>
      <w:r>
        <w:t>Shared claim-specific concepts: forecasts, horizon, different; EU scope not established. This is a provisional connection, not an outcome finding.</w:t>
      </w:r>
    </w:p>
    <w:p>
      <w:r>
        <w:t>Available abstract (not full text): Reliable and accurate forecasts can provide important input for fund manager and policymakers to make an informed decision. However, volatility forecast research is still bound by several weaknesses such as scarcity in volatility forecasting literature and the lack of knowledge on the contributing factors to poor forecast, i.e. time-varying series characteristic or model specification. As a result of inaccuracy in forecasting, fund managers could face catastrophic consequences. The first contribution is to prove there are ‘parameter changes (time-varying) in Generalized autoregressive conditional heteroskedasticity (GARCH) model before and during the GFC in Malaysian property stocks. News impact curve (NIC) is adopted to show how the good news and bad news impact (news shock) on the next period’s volatility forecast in these two periods. Findings show that parameters and NICs are changes in both periods, this may incur poor forecast. To further validate the parameter changes in different periods. Second contribution adopted and adapted news impact curve (NIC) for different models in different periods. Adaptive asymmetric Smooth Transition Exponential Smoothing (STES) is reported to be more pragmatic and superior to symmetric model in volatility forecasting. Overall, NIC for the symmetric GARCH model shows the news shock on next volatility estimates during crisis is the highest.</w:t>
      </w:r>
    </w:p>
    <w:p>
      <w:pPr>
        <w:pStyle w:val="Heading2"/>
      </w:pPr>
      <w:r>
        <w:t>European Road Safety Policy 2016-2020: A Forecast on Topics and Activities</w:t>
      </w:r>
    </w:p>
    <w:p>
      <w:r>
        <w:t>Original source (2018): https://doi.org/10.21625/archive.v2i1.237</w:t>
      </w:r>
    </w:p>
    <w:p>
      <w:r>
        <w:t>Original wording (abstract; indexed_source_text_not_full_document_verified): However, no legislative proposals are expected. - Reducing the number of seriously injured will be a core objective in the future: A reduction goal of 50% has been set by the Council of the European Union for the period 2020-2030.The results show that the developments of the last years point towards a full and active agenda till 2020 and beyond. However, the topics and activities of road safety policy that will determine the next few years are less apparent.</w:t>
      </w:r>
    </w:p>
    <w:p>
      <w:r>
        <w:t>POSSIBLE 2026: THE LEGISLATIVE POWER IN THE EUROPEAN UNION — https://doi.org/10.56238/sevened2026.035-019</w:t>
      </w:r>
    </w:p>
    <w:p>
      <w:r>
        <w:t>Shared claim-specific concepts: legislative, council, union, full; EU scope visible. This is a provisional connection, not an outcome finding.</w:t>
      </w:r>
    </w:p>
    <w:p>
      <w:r>
        <w:t>Available abstract (not full text): The process of European integration has been characterized by an institutional structure distinct from that of other international organizations. Moreover, its evolution has brought it closer to the model found in nation-states. This is evident in the distribution of powers —particularly regarding legislative authority— as the system has shifted from a model where the body representing the Member States held full decision-making power to one in which legislative authority is shared between the Council and the European Parliament, featuring characteristics of a bicameral legislative model. The current legal system in the European Union was defined by the Lisbon Treaty. Which enabled the generalization of the codecision procedure, now officially called the ordinary legislative procedure. Through this mechanism, the institution elected by universal and direct suffrage by European citizens fulfils its role as a parliament—namely, exercising legislative power—, although shared with the Council.</w:t>
      </w:r>
    </w:p>
    <w:p>
      <w:r>
        <w:t>POSSIBLE 2026: Draghi Plan and Implications for the European Legislative Framework — https://doi.org/10.24818/eblj/2025/4/1.06</w:t>
      </w:r>
    </w:p>
    <w:p>
      <w:r>
        <w:t>Shared claim-specific concepts: legislative, proposals, council, union, period, agenda; EU scope visible. This is a provisional connection, not an outcome finding.</w:t>
      </w:r>
    </w:p>
    <w:p>
      <w:r>
        <w:t xml:space="preserve">Available abstract (not full text): The paper analyzes the "The Future of European Competitiveness" report (Draghi Plan, September 2024) from a dual perspective—economic and legal-institutional—to assess how its recommendations reconfigure the European Union's (EU) legislative framework for the 2025-2030 period. The research pursues three objectives: (i) mapping the Draghi proposals along the axes of investment-financing, state aid, single market, and economic governance; (ii) identifying the legal instruments through which the Commission and the Council are attempting to transpose these proposals; and (iii) measuring the potential impact on internal market cohesion and fiscal discipline. The methodology combines content analysis of the Draghi report and official documents (proposals for regulations, own resources decisions, state aid guidelines), semi-structured interviews with 22 European decision-makers, and a counterfactual DSGE exercise modeling the effect of introducing a European Competitiveness Fund financed by common debt of 1% of GDP/year. The study's contribution is threefold: it demonstrates the direct link between a technocratic report and an accelerated European legislative agenda; it highlights the tensions between expanding industrial policy and protecting the integrity of the internal market; and it provides an empirical framework to quantify the fiscal trade-offs involved in debt mutualization. </w:t>
      </w:r>
    </w:p>
    <w:p>
      <w:r>
        <w:t>POSSIBLE 2024: DIGITALISED WORK OF WOMEN IN THE EUROPEAN UNION AND POLISH REGULATION AND LEGISLATIVE PROPOSALS — https://doi.org/10.31338/2544-3135.si.2024-99.4</w:t>
      </w:r>
    </w:p>
    <w:p>
      <w:r>
        <w:t>Shared claim-specific concepts: however, legislative, proposals, union; EU scope visible. This is a provisional connection, not an outcome finding.</w:t>
      </w:r>
    </w:p>
    <w:p>
      <w:r>
        <w:t>Available abstract (not full text): The article aims to assess if women’s problems are specifically identified in labour legislation relating to digitalisation. Women appear in preparatory phases of legislative procedures (reports, motives), while usually they are not explicitly addressed in final drafts or acts. Digitalisation of work of women as such, referring to biological features of the gender itself is not perceived as a specific problem to be solved. Female workers are not treated as a vulnerable group which should benefit from additional guarantees in the process of digitalisation. It proves that in digitalised work, sex is not a distinctive feature: both sexes are able and skilled to work with digital devices. Criteria used to identify vulnerable groups refer to social situations rather than sex itself (e.g. education and training, caring responsibilities). However, women tend to constitute the majority of such groups. Therefore, respective ‘horizontal’ protective provisions and standards (e.g. working time, right to disconnect, work-life balance or non-discrimination) are particularly important for women.</w:t>
      </w:r>
    </w:p>
    <w:p>
      <w:r>
        <w:t>POSSIBLE 2024: The Letta report: a set of proposals for revitalising the European economy — https://doi.org/10.53479/38193</w:t>
      </w:r>
    </w:p>
    <w:p>
      <w:r>
        <w:t>Shared claim-specific concepts: however, legislative, proposals, number, set, union; EU scope visible. This is a provisional connection, not an outcome finding.</w:t>
      </w:r>
    </w:p>
    <w:p>
      <w:r>
        <w:t>Available abstract (not full text): Europe is facing a number of major challenges in the near future, including managing the climate transition, the effects of technological transformations and geopolitical changes. European and national authorities are aware that the tools currently in place are insufficient to address these challenges and that a determined reform drive is therefore needed. At the start of a new European institutional cycle, the set of proposals in the Letta report, aimed at completing the Single Market and adapting it to the new circumstances, constitute a major contribution to the European economic policy debate. The most important initiatives include the revitalisation of the capital markets union, the creation of a pan-European State aid scheme based on national contributions, the promulgation of a European code of commercial law as an alternative to the harmonisation of the 27 existing national systems, the incorporation into the Single Market of sectors that have so far been largely outside it (such as energy and telecommunications) or, in the legislative field, the prioritisation of the use of regulations, which are directly applicable in the Member States, over directives, which require transposition into the legal systems of each country. The report’s diagnosis is largely shared by the various national authorities, who also welcomed the main thrust of the proposals. However, it is not d</w:t>
      </w:r>
    </w:p>
    <w:p>
      <w:r>
        <w:t>POSSIBLE 2023: Workability via Platform: A Legislative Proposal and a Collective Movement for Socio-Labor Civil Integration — https://doi.org/10.24857/rgsa.v18n2-023</w:t>
      </w:r>
    </w:p>
    <w:p>
      <w:r>
        <w:t>Shared claim-specific concepts: legislative, objective, union; EU scope not established. This is a provisional connection, not an outcome finding.</w:t>
      </w:r>
    </w:p>
    <w:p>
      <w:r>
        <w:t>Available abstract (not full text): Introduction: The legal integration of work via technological platforms (applications) in the Brazilian legal system. Contextualization/concept: Under the terms of articles 7 and 114 of the Constitution of the Federative Republic of Brazil of 1988, it is work and work relations that gain grammaticality and literality in the constitutional text, which inaugurate the concept of workability, when the tone of employment (industrial sector) would be giving way to work (services sector). Objective: The historical and normative broth induces a perspective of reflexivity in the midst of resisted change, which will impose on workers via the platform (as mostly urban workers) and labor institutions renewed forms of collective union political, legislative and organizational action, whether at a national or international level, to overcome obstacles that impede the effectiveness of constitutional labor standards. Methodology: The methodology follows comprehensive (Weberian) and extensive interpretative and constitutional historical analysis connected to excerpts from current reality, centered on the theoretical-normative method. Theoretical framework: For Weber (2000), legal norms have the function of disciplining and ordering actions and social relations, constituting maxims and, therefore, creating the conditions of administration and obedience of society's participants to the law. Concl</w:t>
      </w:r>
    </w:p>
    <w:p>
      <w:r>
        <w:t>POSSIBLE 2022: Metrics, Explainability and the European AI Act Proposal — https://doi.org/10.3390/j5010010</w:t>
      </w:r>
    </w:p>
    <w:p>
      <w:r>
        <w:t>Shared claim-specific concepts: expected, goal, set; EU scope visible. This is a provisional connection, not an outcome finding.</w:t>
      </w:r>
    </w:p>
    <w:p>
      <w:r>
        <w:t xml:space="preserve">Available abstract (not full text): On 21 April 2021, the European Commission proposed the first legal framework on Artificial Intelligence (AI) to address the risks posed by this emerging method of computation. The Commission proposed a Regulation known as the AI Act. The proposed AI Act considers not only machine learning, but expert systems and statistical models long in place. Under the proposed AI Act, new obligations are set to ensure transparency, lawfulness, and fairness. Their goal is to establish mechanisms to ensure quality at launch and throughout the whole life cycle of AI-based systems, thus ensuring legal certainty that encourages innovation and investments on AI systems while preserving fundamental rights and values. A standardisation process is ongoing: several entities (e.g., ISO) and scholars are discussing how to design systems that are compliant with the forthcoming Act, and explainability metrics play a significant role. Specifically, the AI Act sets some new minimum requirements of explicability (transparency and explainability) for a list of AI systems labelled as “high-risk” listed in Annex III. These requirements include a plethora of technical explanations capable of covering the right amount of information, in a meaningful way. This paper aims to investigate how such technical explanations can be deemed to meet the minimum requirements set by the law and expected by society. To answer </w:t>
      </w:r>
    </w:p>
    <w:p>
      <w:r>
        <w:t>POSSIBLE 2021: Evaluating the Tax Veto in a Digital Age: Legislative Efficiency and National Sovereignty in the European Union — https://openalex.org/W3175327905</w:t>
      </w:r>
    </w:p>
    <w:p>
      <w:r>
        <w:t>Shared claim-specific concepts: however, legislative, proposals, council, union; EU scope visible. This is a provisional connection, not an outcome finding.</w:t>
      </w:r>
    </w:p>
    <w:p>
      <w:r>
        <w:t>Available abstract (not full text): The total market capitalization of the six largest US-headquartered tech companies now tops $4.5 trillion; yet, much of the revenues from these largest tech companies legally escapes taxation every year. Recognizing the challenges of taxing the digital economy, the international community joined forces to reform the outdated global tax framework. In 2018, however, the United States (US) hesitated to commit to reform and international negotiations stalled. The European Commission (Commission) subsequently proposed an interim Digital Service Tax for the European Union (EU), in part, to incentivize stronger US involvement in negotiations. Because the European Council requires unanimity when voting on tax proposals, however, the proposal failed when three Member States exercised their tax veto. Defeated by veto, EU leaders could have pursued Enhanced Cooperation to revive the legislation. Instead, the Commission proposed permanent elimination of tax unanimity through the obscure and never-used Passerelle Clauses that allow legislators to utilize majority voting without amending any treaties. In doing so, the Commission signaled its desire for the European Union to emerge as a global tax leader, unencumbered by the need to obtain unanimity. However, the Commission’s proposal also raises serious EU state sovereignty concerns. This Note explores the costs and benefits of abandoning th</w:t>
      </w:r>
    </w:p>
    <w:p>
      <w:r>
        <w:t>POSSIBLE 2020: The Judgment of the CJEU of 25 July 2018 on Mutagenesis: Interpretation and Interim Legislative Proposal — https://doi.org/10.3389/fpls.2019.01813</w:t>
      </w:r>
    </w:p>
    <w:p>
      <w:r>
        <w:t>Shared claim-specific concepts: however, legislative, proposals, union; EU scope visible. This is a provisional connection, not an outcome finding.</w:t>
      </w:r>
    </w:p>
    <w:p>
      <w:r>
        <w:t>Available abstract (not full text): The Judgment of 25 July 2018 of the Court of Justice of the European Union (CJEU) was optimistically awaited by breeders and supporters of agricultural biotechnology, but shortly after the press release advancing the Judgment, hope turned into frustration. Opinions on how to frame the New Breeding Techniques (NBT) in the context of Directive 2001/18/EC were issued before the Judgment, while proposals to assist the EU legislator to amend the regime driven by the Directive have been also provided afterwards by scientists and institutional bodies around the EU. However, they do not seem to have paid so much attention to the Judgment itself. This paper focuses on the Judgment. It finds out that while the impacts of the Judgment on the NBT might have been slightly overvalued, its potential negative effects on techniques of random mutagenesis and varieties breed through them have been generally underestimated if not absolutely overlooked. The analysis also shows that the Judgment does not preempt the possibility to exempt certain applications of some NBT from the scope of Directive 2001/18/EC, and, in fact, ODM, SDN1, and SDN2 might be, under certain conditions, easily exempted from its scope without the need of a deep legislative revolution nor even the amendment of Directive 2001/18/EC. As regards techniques of random mutagenesis and mutant varieties bred by means of those techniqu</w:t>
      </w:r>
    </w:p>
    <w:p>
      <w:r>
        <w:t>POSSIBLE 2020: One agenda-setter or many? The varying success of policy initiatives by individual Directorates-General of the European Commission 1994–2016 — https://doi.org/10.1177/1465116520961467</w:t>
      </w:r>
    </w:p>
    <w:p>
      <w:r>
        <w:t>Shared claim-specific concepts: however, legislative, proposals, union; EU scope visible. This is a provisional connection, not an outcome finding.</w:t>
      </w:r>
    </w:p>
    <w:p>
      <w:r>
        <w:t>Available abstract (not full text): Analyses of strategic agenda-setting in the European Union treat the European Commission as a unitary actor with perfect information. Yet, the constraints for correctly anticipating acceptable policies vary heavily across its individual Directorates-General. Do these internal rifts affect the Commission’s agenda-setting ability? This article tests corresponding expectations on the edit distances between 2237 Commission proposals and the adopted laws across 23 years. The quality of legislative anticipation indeed varies with the responsible Directorate-General. Legislative proposals are more likely to remain unchanged if they face less parliamentary involvement, are less complex, were drafted by an experienced Directorate-General, and were coordinated more seamlessly within the Commission. However, the uncovered variation also calls for more systematic research on the distribution of legislative capacities inside the Commission.</w:t>
      </w:r>
    </w:p>
    <w:p>
      <w:r>
        <w:t>POSSIBLE 2020: Parliaments in Europe Engaging in Post-legislative Scrutiny — https://doi.org/10.19184/jseahr.v4i1.18017</w:t>
      </w:r>
    </w:p>
    <w:p>
      <w:r>
        <w:t>Shared claim-specific concepts: however, legislative, last; EU scope visible. This is a provisional connection, not an outcome finding.</w:t>
      </w:r>
    </w:p>
    <w:p>
      <w:r>
        <w:t>Available abstract (not full text): Post-legislative scrutiny (PLS) is not completely new to European parliamentarism. In the last few decades, this activity has experienced rapid development, either pushed by supranational trends on better regulation or fostered by national constitutional reforms. However, the involvement of parliaments in the ex post stage of law-making still remains under-theorised. This article aims at providing a comparative overview of the main rules, practices and trends on post-legislative scrutiny in Europe, focusing on the experience of three bicameral Parliaments: the French, Italian and Swiss Parliaments which have been selected as examples of three proactive approaches to post-legislative scrutiny, based on alternative bicameral arrangements. After providing a general overview of the main options that support the involvement of parliaments in the ex-post stage of law-making, the article examines how the benchmark case studies address the following variables: the internal organisation of the ex-post scrutiny, including the role of the administrative staff; the scrutiny object, either referred to single pieces of legislation or to a whole policy; the scope of the ex-post scrutiny, verifying whether it is interpreted as a purely legal dimension or it comprises also forms of impact assessment; the outcomes of the ex-post scrutiny, and more specifically its contribution to the legislative</w:t>
      </w:r>
    </w:p>
    <w:p>
      <w:r>
        <w:t>POSSIBLE 2019: Redrafting of a Proposal in the Polish Legislative Procedure — https://doi.org/10.15804/ppk.2019.05.07</w:t>
      </w:r>
    </w:p>
    <w:p>
      <w:r>
        <w:t>Shared claim-specific concepts: however, legislative, goal, point; EU scope not established. This is a provisional connection, not an outcome finding.</w:t>
      </w:r>
    </w:p>
    <w:p>
      <w:r>
        <w:t>Available abstract (not full text): The main goal of article is to evaluate the functioning of a redraft of a legislative proposal in the Polish legal order, particularly whether this mechanism may be considered as making the legislative procedure more flexible and improving the quality of the legislative works of the Polish Parliament, or whether the constitutional shape of a redraft and its use leads to conclusions that this solution is misguided and negatively affects parliamentary legislative proceedings. Both normative analysis and systemic practice lead to the conclusion that the regulation of a redraft by the Sejm’s Rules cannot be considered optimal. From my point of view, it is necessary to make such corrections to Art. 36 par. 1a- 1c that will prevent from abusing this instrument. However, the critical assessment of the redraft standardization does not change the generally positive assessment of the institution itself, because the specific self-correction of the proposal, often resulting from the reflection of the initiator of the legislative proceedings (resulting from both internal and external factors), is fully desirable, primarily from the perspective of implementing the postulate of the legal system coherence and its completeness.</w:t>
      </w:r>
    </w:p>
    <w:p>
      <w:r>
        <w:t>POSSIBLE 2019: Evaluating the Impact of the Lisbon Treaty on the European Union’s Legislative Productivity — https://doi.org/10.12797/politeja.15.2018.54.15</w:t>
      </w:r>
    </w:p>
    <w:p>
      <w:r>
        <w:t>Shared claim-specific concepts: legislative, proposals, expected, number, union; EU scope visible. This is a provisional connection, not an outcome finding.</w:t>
      </w:r>
    </w:p>
    <w:p>
      <w:r>
        <w:t>Available abstract (not full text): The purpose of this article is to analyze whether the Treaty of Lisbon provisions have – as expected – increased the EU legislative productivity. To this end, the author tests the hypothesis that the TL has increased the number of legislative proposals submitted by the European Commission under the ordinary legislative procedure. This expectation is verified using a negative binomial regression on a dataset containing 1116 draft acts proposed by the Commission in 2004‑2014. The analysis shows that, contrary to expectations, the Treaty of Lisbon has not led to a visible increase in EU legislative productivity. Despite the extension of treaty bases envisaging the OLP and QMV, the number of proposals submitted under this procedure after the entry into force of the TL remained more or less at the same level as before. In addition, the study reveals that adaptation, anticipation of future enlargement, closeness to the end of the EP term as well as annual schedule of legislative work are key predictors of the Commission’s productivity.</w:t>
      </w:r>
    </w:p>
    <w:p>
      <w:pPr>
        <w:pStyle w:val="Heading2"/>
      </w:pPr>
      <w:r>
        <w:t>Focused Futures from Finland</w:t>
      </w:r>
    </w:p>
    <w:p>
      <w:r>
        <w:t>Original source (2018): https://doi.org/10.1177/1946756718754847</w:t>
      </w:r>
    </w:p>
    <w:p>
      <w:r>
        <w:t>Original wording (abstract; indexed_source_text_not_full_document_verified): At the end of the article, we present four scenarios of the future of the FFRC jointly made by the staff.</w:t>
      </w:r>
    </w:p>
    <w:p>
      <w:r>
        <w:t>POSSIBLE 2021: European Union Litigation — https://doi.org/10.1515/ercl-2021-2028</w:t>
      </w:r>
    </w:p>
    <w:p>
      <w:r>
        <w:t>Shared claim-specific concepts: end, article, present; EU scope visible. This is a provisional connection, not an outcome finding.</w:t>
      </w:r>
    </w:p>
    <w:p>
      <w:r>
        <w:t>Available abstract (not full text): Abstract This article provides an overview of cases decided by the Court of Justice of the European Union concerning contract law. The present issue covers the period between the beginning of January 2021 and the end of May 2021.</w:t>
      </w:r>
    </w:p>
    <w:p>
      <w:r>
        <w:t>POSSIBLE 2021: European Union Litigation — https://doi.org/10.1515/ercl-2021-0005/html</w:t>
      </w:r>
    </w:p>
    <w:p>
      <w:r>
        <w:t>Shared claim-specific concepts: end, article, present; EU scope visible. This is a provisional connection, not an outcome finding.</w:t>
      </w:r>
    </w:p>
    <w:p>
      <w:r>
        <w:t>Available abstract (not full text): This article provides an overview of cases decided by the Court of Justice of the European Union concerning contract law. The present issue covers the period between the beginning of July 2020 and the end of December 2020.</w:t>
      </w:r>
    </w:p>
    <w:p>
      <w:r>
        <w:t>POSSIBLE 2021: The end of China’s romance with Central and Eastern Europe — https://doi.org/10.1177/2059436421994442</w:t>
      </w:r>
    </w:p>
    <w:p>
      <w:r>
        <w:t>Shared claim-specific concepts: end, article, present; EU scope visible. This is a provisional connection, not an outcome finding.</w:t>
      </w:r>
    </w:p>
    <w:p>
      <w:r>
        <w:t>Available abstract (not full text): The 2016 Mandopop hit ‘Prague square’ ushered in a new romance for Central and Eastern Europe (CEE) in China. Such infatuation has resonated not only in popular culture, but was mirrored in China’s newfound boldness on the international stage. Drawing on CEE media accounts, the article demonstrates that China’s romance with the CEE countries was never reciprocated. In fact, the CEE region might present a significant outlier in that media accounts of China have been consistently negative in the decade preceding the Covid-19 pandemic. In other words, the pandemic merely accelerated trends that were already set in motion prior to 2020. In this respect, CEE media accounts of both China and the Covid-19 pandemic reveal an interesting ‘localization of the other’. As such, China has been used to validate specific domestic positions of different political formations. Perceptions of China (what it is assumed to stands for) have been deployed domestically in the CEE region to justify particular visions of the state and its international identity.</w:t>
      </w:r>
    </w:p>
    <w:p>
      <w:r>
        <w:t>POSSIBLE 2020: European Union Litigation — https://doi.org/10.1515/ercl-2020-0012</w:t>
      </w:r>
    </w:p>
    <w:p>
      <w:r>
        <w:t>Shared claim-specific concepts: end, article, present; EU scope visible. This is a provisional connection, not an outcome finding.</w:t>
      </w:r>
    </w:p>
    <w:p>
      <w:r>
        <w:t>Available abstract (not full text): Abstract This article provides an overview of cases decided by the Court of Justice of the European Union concerning contract law. The present issue covers the period between the beginning of July 2019 and the end of December 2019.</w:t>
      </w:r>
    </w:p>
    <w:p>
      <w:r>
        <w:t>POSSIBLE 2019: European Union Litigation — https://doi.org/10.1515/ercl-2019-0020</w:t>
      </w:r>
    </w:p>
    <w:p>
      <w:r>
        <w:t>Shared claim-specific concepts: end, article, present; EU scope visible. This is a provisional connection, not an outcome finding.</w:t>
      </w:r>
    </w:p>
    <w:p>
      <w:r>
        <w:t>Available abstract (not full text): Abstract This article provides an overview of cases decided by the Court of Justice of the European Union concerning contract law. The present issue covers the period between the beginning of February and the end of June 2019.</w:t>
      </w:r>
    </w:p>
    <w:p>
      <w:r>
        <w:t>POSSIBLE 2019: European Union Litigation — https://doi.org/10.1515/ercl-2019-0005</w:t>
      </w:r>
    </w:p>
    <w:p>
      <w:r>
        <w:t>Shared claim-specific concepts: end, article, present; EU scope visible. This is a provisional connection, not an outcome finding.</w:t>
      </w:r>
    </w:p>
    <w:p>
      <w:r>
        <w:t>Available abstract (not full text): Abstract This article provides an overview of cases decided by the Court of Justice of the European Union concerning contract law. The present issue covers the period between mid-July 2018 and the end of January 2019.</w:t>
      </w:r>
    </w:p>
    <w:p>
      <w:pPr>
        <w:pStyle w:val="Heading2"/>
      </w:pPr>
      <w:r>
        <w:t>Forecasting turbulence in the Asian and European stock market using regime-switching models</w:t>
      </w:r>
    </w:p>
    <w:p>
      <w:r>
        <w:t>Original source (2018): https://doi.org/10.3934/qfe.2018.2.388</w:t>
      </w:r>
    </w:p>
    <w:p>
      <w:r>
        <w:t>Original wording (abstract; indexed_source_text_not_full_document_verified): An early warning system to timely forecast turbulences in the Asian and European stock market is proposed. Subsequently, a forecasting model using logistic regression and economic input factors is selected.</w:t>
      </w:r>
    </w:p>
    <w:p>
      <w:r>
        <w:t>POSSIBLE 2026: Predicting Healthcare System Stress in the European Union: An Early Warning System Using Panel Data — https://openalex.org/W7221839855</w:t>
      </w:r>
    </w:p>
    <w:p>
      <w:r>
        <w:t>Shared claim-specific concepts: early, warning, system; EU scope visible. This is a provisional connection, not an outcome finding.</w:t>
      </w:r>
    </w:p>
    <w:p>
      <w:r>
        <w:t>Available abstract (not full text): The COVID-19 pandemic showed how quickly infectious diseases can spread through international travel and place healthcare systems under severe pressure, increasing the need for coordinated surveillance and preparedness in the European Union. This thesis develops a machine learning early warning system (EWS) for predicting healthcare capacity stress across 19 EU countries using weekly panel data from 2020 to 2023. Five models are evaluated using expanding-window out-of-sample cross validation, with XGBoost performing best (AUC = 0.990 and recall = 0.968), closely followed by Random Forest. Predicted probabilities are converted into a three-tier warning system calibrated across EU regions and countries. A decomposition analysis shows that epidemiological signals alone retain 96.7% of the full model’s predictive performance, demonstrating meaningful early warning value beyond past ICU occupancy alone. The findings suggest that publicly available surveillance data can support reliable EU-level healthcare monitoring and preparedness.</w:t>
      </w:r>
    </w:p>
    <w:p>
      <w:r>
        <w:t>POSSIBLE 2026: Early warning early action systems for invasive alien species affecting forests in Europe and Central Asia — https://openalex.org/W7164620270</w:t>
      </w:r>
    </w:p>
    <w:p>
      <w:r>
        <w:t>Shared claim-specific concepts: early, warning, system; EU scope visible. This is a provisional connection, not an outcome finding.</w:t>
      </w:r>
    </w:p>
    <w:p>
      <w:r>
        <w:t xml:space="preserve">Available abstract (not full text): Early Warning Early Action (EWEA) is a system and set of protocols developed and implemented by the Food and Agriculture Organization (FAO) as part of its disaster risk reduction and resilience work. EWEA provides proactive approaches to predictable shocks by investing in monitoring and disaster management for different humanitarian and ecological crises around the world. As the rate of spread of invasive alien species (IAS) increases and disrupts the vital ecological functions in forests around the world, vigorous phytosanitary protocols are needed to prevent and mitigate their dispersal and adverse impacts. The anticipatory approach of EWEA systems is well-suited for mitigating the detrimental effects of IAS, as preventive measures have proven to be the most effective. In this review of EWEA for forest IAS, papers have been categorized into six themes: a review of EWEA systems, sentinel tree species in plantations and gardens, trapping and detection methods and their application, pathways of IAS introduction, citizen science for early detection, and modeling of EWEA systems. Additionally, a survey was conducted among researchers and forest managers to determine their perspectives in relation to EWEA systems. A total of 96 respondents (58 from Europe and 38 from Central Asia) provided information that complements the review findings. The results indicate that EWEA systems are </w:t>
      </w:r>
    </w:p>
    <w:p>
      <w:r>
        <w:t>POSSIBLE 2022: Early Warning System for the European Insurance Sector — https://doi.org/10.31577/ekoncas.2022.01.01</w:t>
      </w:r>
    </w:p>
    <w:p>
      <w:r>
        <w:t>Shared claim-specific concepts: early, warning, system; EU scope visible. This is a provisional connection, not an outcome finding.</w:t>
      </w:r>
    </w:p>
    <w:p>
      <w:r>
        <w:t>Available abstract (not full text): This study proposes an Early Warning System model composed of macrofinancial and company-specific indicators that could help to anticipate a potential market distress in the European insurance sector.A distress is defined as periods in which insurance companies' equity prices crash and CDS spreads spike simultaneously.The model is estimated using a sample of 36 insurance companies that are listed.Based on a fixed-effects panel binomial logit specification, empirical evidence shows that economic overheating that could be manifested by high economic growth, inflation and interest rates have negative impact on insurance sector stability.At the company level, a drop in return on assets and price-to-book value or raising operating expenses increase the likelihood of distress occurrence.</w:t>
      </w:r>
    </w:p>
    <w:p>
      <w:r>
        <w:t>POSSIBLE 2022: Early Warning Systems for Small Business: Insights from Across Europe — https://doi.org/10.1142/s0218495822500157</w:t>
      </w:r>
    </w:p>
    <w:p>
      <w:r>
        <w:t>Shared claim-specific concepts: early, warning, system; EU scope visible. This is a provisional connection, not an outcome finding.</w:t>
      </w:r>
    </w:p>
    <w:p>
      <w:r>
        <w:t>Available abstract (not full text): In this paper we propose that a crisis can be avoided by taking countermeasures, which are informed by an Early Warning System. An Early Warning System can help lessen the impact of crisis episodes and provide a systematic approach to the response of small business owners to challenges in their business environment. Following a review of the literature, we undertook data collection in two stages. In stage one, focus groups were conducted with small business owners in four European countries. In stage two we worked with an expert panel to refine and develop a set of indicators for an Early Warning System. It is envisaged that the set of indicators will serve as the basis for further thought and empiricism. We argue that a delay in crisis recognition curtails the scope and time for corrective action.</w:t>
      </w:r>
    </w:p>
    <w:p>
      <w:r>
        <w:t>POSSIBLE 2022: New psychoactive substances: 25 years of early warning and response in Europe. An update from the EU Early Warning System — https://doi.org/10.1016/j.toxac.2022.06.022</w:t>
      </w:r>
    </w:p>
    <w:p>
      <w:r>
        <w:t>Shared claim-specific concepts: early, warning, system; EU scope visible. This is a provisional connection, not an outcome finding.</w:t>
      </w:r>
    </w:p>
    <w:p>
      <w:r>
        <w:t>Available abstract (not full text): Unavailable</w:t>
      </w:r>
    </w:p>
    <w:p>
      <w:r>
        <w:t>POSSIBLE 2022: Approaching European Supervisory Risk Assessment with SupTech: A Proposal of an Early Warning System — https://doi.org/10.3390/risks10040071</w:t>
      </w:r>
    </w:p>
    <w:p>
      <w:r>
        <w:t>Shared claim-specific concepts: early, warning, system, proposed; EU scope visible. This is a provisional connection, not an outcome finding.</w:t>
      </w:r>
    </w:p>
    <w:p>
      <w:r>
        <w:t>Available abstract (not full text): Risk analysis and scenario testing are two of the core activities carried out by economists at central banks. With the increasing adoption of machine learning to enhance decision-support systems, and the amount of collected data spiking, institutions provide countless use-cases for the application of these innovative technologies. Consequently, in recent years, the term sup-tech has entered the financial jargon and is here to stay. In this paper, we address risk assessment from a central bank’s perspective. The uptrending number of involved banks and institutions raises the necessity of a standardised risk methodology. For that reason, we adopted the Risk Assessment Methodology (RAS), the quantitative pillar from the Supervisory Review and Evaluation Process (SREP). Based on real-world supervisory data from the Portuguese banking sector, from March 2014 until August 2021, we successfully model the supervisory risk assessment process, in its quantitative approach by the RAS. Our findings and the resulting model are proposed as an Early Warning System that can support supervisors in their day-to-day tasks, as well as within the SREP process.</w:t>
      </w:r>
    </w:p>
    <w:p>
      <w:r>
        <w:t>POSSIBLE 2021: The Latent Diffusion Network among National Parliaments in the Early Warning System of the European Union — https://doi.org/10.1111/jcms.13135</w:t>
      </w:r>
    </w:p>
    <w:p>
      <w:r>
        <w:t>Shared claim-specific concepts: early, warning, system; EU scope visible. This is a provisional connection, not an outcome finding.</w:t>
      </w:r>
    </w:p>
    <w:p>
      <w:r>
        <w:t>Available abstract (not full text): Abstract Since the Treaty of Lisbon, national parliamentary chambers in the European Union can issue reasoned opinions on legislative proposals by the European Commission. These individual reasoned opinions lead to a review if at least one third of all chambers raise such concerns. Hence, coordination among parliaments is key. Using advances in inferential network analysis, this article infers the underlying diffusion pathways among national parliaments through which chambers are related to each other in their decisions to raise subsidiarity concerns. The emerging diffusion network is characterised by a compartmentalization into communities of European Union budget net contributor and net recipient countries. This descriptive finding has implications for the institutional effectiveness and aspired democratic legitimacy of the Early Warning System. A multivariate statistical network analysis confirms that diffusion occurs among net recipient countries and that weak institutions follow the lead of strong institutions in the Early Warning System.</w:t>
      </w:r>
    </w:p>
    <w:p>
      <w:r>
        <w:t>POSSIBLE 2021: RustWatch – the first early warning system for wheat rusts in Europe — https://openalex.org/W7131930052</w:t>
      </w:r>
    </w:p>
    <w:p>
      <w:r>
        <w:t>Shared claim-specific concepts: early, warning, system; EU scope visible. This is a provisional connection, not an outcome finding.</w:t>
      </w:r>
    </w:p>
    <w:p>
      <w:r>
        <w:t>Available abstract (not full text): Unavailable</w:t>
      </w:r>
    </w:p>
    <w:p>
      <w:r>
        <w:t>POSSIBLE 2021: Toward an Early Warning System for Monitoring Asylum-Related Migration Flows in Europe — https://doi.org/10.1177/01979183211035736</w:t>
      </w:r>
    </w:p>
    <w:p>
      <w:r>
        <w:t>Shared claim-specific concepts: early, warning, system; EU scope visible. This is a provisional connection, not an outcome finding.</w:t>
      </w:r>
    </w:p>
    <w:p>
      <w:r>
        <w:t>Available abstract (not full text): Asylum-related migration is highly complex, uncertain, and volatile, which precludes using standard model-based predictions to inform policy and operational decisions. At the same time, asylum's potentially high societal impacts on receiving countries and the resource implications of asylum processes call for more proactive approaches for assessing current and future migration flows. In this article, we propose an alternative approach to asylum modeling, based on the detection of early warning signals by using models originating from statistical control theory. Our empirical analysis of several asylum flows into Europe in 2010–2016 demonstrates the approach's utility and potential in aiding the management of mixed migration flows, while also shedding more light on the work needed to make better use of the “big data” and scenario-based methods for comprehensive and systematic examination of risk, uncertainty, and emerging trends.</w:t>
      </w:r>
    </w:p>
    <w:p>
      <w:r>
        <w:t>POSSIBLE 2021: South-East European Multi-Hazard Early Warning Advisory System — https://doi.org/10.5194/ems2021-305</w:t>
      </w:r>
    </w:p>
    <w:p>
      <w:r>
        <w:t>Shared claim-specific concepts: early, warning, system; EU scope visible. This is a provisional connection, not an outcome finding.</w:t>
      </w:r>
    </w:p>
    <w:p>
      <w:r>
        <w:t>Available abstract (not full text): South-East Europe region is experiencing an increasing number of severe meteorological and hydrological hazardous events, leading to substantial loss of life, livelihoods, and damages to infrastructure and key sectors. WMO together with the National Meteorological and Hydrological Services (NMHSs) of the region (Albania, Bosnia and Herzegovina, Bulgaria, Croatia, Cyprus, Greece, Hungary, Israel, Jordan, Lebanon, North Macedonia, Republic of Moldova, Montenegro, Romania, Serbia, Slovenia, Turkey, and Ukraine) and ECMWF, as well as other key partners, are tackling this challenge with development of the ‘South-East European Multi-Hazard Early Warning Advisory System (SEE-MHEWS-A)’. The system aims to provide NMHS operational forecasters with effective, efficient, and easy to apply tools for improved and more accurate forecasting of hazardous events and early warnings and to ensure that national authorities have the best possible information to carry out early actions and make the decision that can mitigate potential impacts of hazardous situations. The development of the system and resulting empowerment of NMHSs to fulfill their core functions is one of the recognized soft measures of adaptation to climate change. This will support the NMHSs to contribute to reaching the Sustainable Development Goals, particularly Goal 13: Take urgent action to combat climate change and its impact</w:t>
      </w:r>
    </w:p>
    <w:p>
      <w:r>
        <w:t>POSSIBLE 2021: Did the COVID-19 pandemic change the willingness to pay for an early warning system for infectious diseases in Europe? — https://doi.org/10.1007/s10198-021-01353-6</w:t>
      </w:r>
    </w:p>
    <w:p>
      <w:r>
        <w:t>Shared claim-specific concepts: early, warning, system; EU scope visible. This is a provisional connection, not an outcome finding.</w:t>
      </w:r>
    </w:p>
    <w:p>
      <w:r>
        <w:t>Available abstract (not full text): The COVID-19 pandemic highlights the need for effective infectious disease outbreak prevention. This could entail installing an integrated, international early warning system, aiming to contain and mitigate infectious diseases outbreaks. The amount of resources governments should spend on such preventive measures can be informed by the value citizens attach to such a system. This was already recognized in 2018, when a contingent valuation willingness to pay (WTP) experiment was fielded, eliciting the WTP for such a system in six European countries. We replicated that experiment in the spring of 2020 to test whether and how WTP had changed during an actual pandemic (COVID-19), taking into account differences in infection rates and stringency of measures by government between countries. Overall, we found significant increases in WTP between the two time points, with mean WTP for an early warning system increasing by about 50% (median 30%), from around €20 to €30 per month. However, there were marked differences between countries and subpopulations, and changes were only partially explained by COVID-19 burden. We discuss possible explanations for and implication of our findings.</w:t>
      </w:r>
    </w:p>
    <w:p>
      <w:r>
        <w:t>POSSIBLE 2020: The Early Warning System and policymaking in the European Union — https://doi.org/10.1177/1465116520923752</w:t>
      </w:r>
    </w:p>
    <w:p>
      <w:r>
        <w:t>Shared claim-specific concepts: early, warning, system; EU scope visible. This is a provisional connection, not an outcome finding.</w:t>
      </w:r>
    </w:p>
    <w:p>
      <w:r>
        <w:t>Available abstract (not full text): Does the Early Warning System alert the European Commission about the prospects of passing new policy? We present a model of European Union policymaking in which the Early Warning System plays an important signalling role. In our model, the Commission uses signals from the Early Warning System to update its belief about governments’ voting strategies in the Council. The Commission may then anticipate difficult negotiations by withdrawing its proposal early. We find empirical evidence for our theory: (1) reasoned opinions submitted by national parliaments strongly predict opposition from their governments and (2) the Commission is more likely to withdraw proposals that receive reasoned opinions, even in the absence of a yellow card. Our results run counter to the dominant view in the literature that the Early Warning System is not a very relevant aspect of EU decision-making. Instead, reasoned opinions constitute a clear signal that negotiations are more likely to fail.</w:t>
      </w:r>
    </w:p>
    <w:p>
      <w:pPr>
        <w:pStyle w:val="Heading2"/>
      </w:pPr>
      <w:r>
        <w:t>Foresight in Public Administration: Methods and Perspectives of Implementation in Ukraine</w:t>
      </w:r>
    </w:p>
    <w:p>
      <w:r>
        <w:t>Original source (2018): https://doi.org/10.15421/151847</w:t>
      </w:r>
    </w:p>
    <w:p>
      <w:r>
        <w:t>Original wording (abstract; indexed_source_text_not_full_document_verified): Examples of practical application of foresight methodology and individual technologies of social prediction are given.The author draws attention to the fact that in the field of public administration decisions must be made on the basis of knowledge of long-term trends and opportunities of technology and society. If they are not included in the timetable in time, then all long-term projects may be doomed to failure.Particular attention is needed to new factors and innovations, in conditions when the state is working on changing the ways of development of the country.</w:t>
      </w:r>
    </w:p>
    <w:p>
      <w:r>
        <w:t>POSSIBLE 2025: Practical application and examples of using the developed approximation methods — https://doi.org/10.1016/b978-0-443-29141-8.00003-2</w:t>
      </w:r>
    </w:p>
    <w:p>
      <w:r>
        <w:t>Shared claim-specific concepts: examples, practical, application; EU scope not established. This is a provisional connection, not an outcome finding.</w:t>
      </w:r>
    </w:p>
    <w:p>
      <w:r>
        <w:t>Available abstract (not full text): Unavailable</w:t>
      </w:r>
    </w:p>
    <w:p>
      <w:r>
        <w:t>POSSIBLE 2025: Historical Application of Dovetail Corner Joints with Practical Example — https://doi.org/10.5552/drvind.2025.0231</w:t>
      </w:r>
    </w:p>
    <w:p>
      <w:r>
        <w:t>Shared claim-specific concepts: examples, practical, application, attention, made, knowledge; EU scope not established. This is a provisional connection, not an outcome finding.</w:t>
      </w:r>
    </w:p>
    <w:p>
      <w:r>
        <w:t>Available abstract (not full text): This paper presents the most common traditional dovetail joints used in furniture making in past centuries, which are among the almost forgotten skills, practiced today by only a relatively small number of restoration workshops. The paper deals with the basic joints used in the restoration of furniture and traditional woodworking (houses, churches, temples, etc.) for the purpose of protecting rich cultural heritage. The history of furniture making is also the history of the art of making joints. In restoration, knowledge of these joints facilitates and accelerates the dating of furniture pieces to be restored. For this reason, the aim of this paper is to present an overview of the use of dovetail joints. The decorative effect of these joints and their constructive ingenuity certainly deserve more attention and research. A historical review of the development of traditional dovetail corner joints demonstrates the importance of the skill of crafting joints that stand the test of time and survive to this day. With the development of art, the joints became more and more decorative, but also of higher quality to withstand the various stresses that occur when furniture is used. Practical examples of making traditional dovetail corner joints are used to show how important it is to preserve the craftsmanship of these traditional joints from being forgotten, which is necessary when rest</w:t>
      </w:r>
    </w:p>
    <w:p>
      <w:r>
        <w:t>POSSIBLE 2025: Practical Application of Surface Complexation Models: Evolution, Approaches, and Examples — https://doi.org/10.2138/rmg.2025.91a.13</w:t>
      </w:r>
    </w:p>
    <w:p>
      <w:r>
        <w:t>Shared claim-specific concepts: examples, practical, application; EU scope not established. This is a provisional connection, not an outcome finding.</w:t>
      </w:r>
    </w:p>
    <w:p>
      <w:r>
        <w:t>Available abstract (not full text): Unavailable</w:t>
      </w:r>
    </w:p>
    <w:p>
      <w:r>
        <w:t>POSSIBLE 2025: EXAMPLES FROM THE QURAN AND HUMAN NATURE: PRACTICAL APPLICATION IN THE MODERN ERA — https://openalex.org/W7220088003</w:t>
      </w:r>
    </w:p>
    <w:p>
      <w:r>
        <w:t>Shared claim-specific concepts: examples, practical, application, individual; EU scope not established. This is a provisional connection, not an outcome finding.</w:t>
      </w:r>
    </w:p>
    <w:p>
      <w:r>
        <w:t>Available abstract (not full text): The parables of the Quran, known as Amthal ul-Quran, are integral elements of divine wisdom, crafted to guide humanity toward spiritual enlightenment and moral rectitude. These parables employ vivid and relatable analogies to elucidate complex spiritual, ethical, and social truths, making them accessible to people of all intellectual capacities and cultural backgrounds. By bridging abstract ideas with tangible realities, they address universal human experiences and dilemmas, offering solutions rooted in timeless principles. This study delves into the profound relevance of Quranic parables in understanding human nature, reflecting on their alignment with contemporary societal challenges, such as rampant materialism, ethical deterioration, and spiritual crises. It examines how these narratives resonate with the human psyche, transcending historical and cultural barriers to provide enduring guidance. The analysis highlights their practical applications in promoting values such as justice, compassion, and self-awareness, which are essential for individual and collective well-being. Key recommendations include incorporating Quranic parables into educational curricula to enhance moral and ethical understanding among students, fostering their practical application through structured community training programs, and encouraging interdisciplinary research to explore their relevance in a</w:t>
      </w:r>
    </w:p>
    <w:p>
      <w:r>
        <w:t>POSSIBLE 2024: Design rules applied to silver nanoparticles synthesis: A practical example of machine learning application. — https://doi.org/10.1016/j.csbj.2024.02.010</w:t>
      </w:r>
    </w:p>
    <w:p>
      <w:r>
        <w:t>Shared claim-specific concepts: practical, application, field; EU scope not established. This is a provisional connection, not an outcome finding.</w:t>
      </w:r>
    </w:p>
    <w:p>
      <w:r>
        <w:t>Available abstract (not full text): The synthesis of silver nanoparticles with controlled physicochemical properties is essential for governing their intended functionalities and safety profiles. However, synthesis process involves multiple parameters that could influence the resulting properties. This challenge could be addressed with the development of predictive models that forecast endpoints based on key synthesis parameters. In this study, we manually extracted synthesis-related data from the literature and leveraged various machine learning algorithms. Data extraction included parameters such as reactant concentrations, experimental conditions, as well as physicochemical properties. The antibacterial efficiencies and toxicological profiles of the synthesized nanoparticles were also extracted. In a second step, based on data completeness, we employed regression algorithms to establish relationships between synthesis parameters and desired endpoints and to build predictive models. The models for core size and antibacterial efficiency were trained and validated using a cross-validation approach. Finally, the features' impact was evaluated via Shapley values to provide insights into the contribution of features to the predictions. Factors such as synthesis duration, scale of synthesis and the choice of capping agents emerged as the most significant predictors. This study demonstrated the potential of machine le</w:t>
      </w:r>
    </w:p>
    <w:p>
      <w:r>
        <w:t>POSSIBLE 2023: What Is Machine Learning, Artificial Neural Networks and Deep Learning?—Examples of Practical Applications in Medicine — https://doi.org/10.3390/diagnostics13152582</w:t>
      </w:r>
    </w:p>
    <w:p>
      <w:r>
        <w:t>Shared claim-specific concepts: examples, practical, application, given; EU scope not established. This is a provisional connection, not an outcome finding.</w:t>
      </w:r>
    </w:p>
    <w:p>
      <w:r>
        <w:t>Available abstract (not full text): Machine learning (ML), artificial neural networks (ANNs), and deep learning (DL) are all topics that fall under the heading of artificial intelligence (AI) and have gained popularity in recent years. ML involves the application of algorithms to automate decision-making processes using models that have not been manually programmed but have been trained on data. ANNs that are a part of ML aim to simulate the structure and function of the human brain. DL, on the other hand, uses multiple layers of interconnected neurons. This enables the processing and analysis of large and complex databases. In medicine, these techniques are being introduced to improve the speed and efficiency of disease diagnosis and treatment. Each of the AI techniques presented in the paper is supported with an example of a possible medical application. Given the rapid development of technology, the use of AI in medicine shows promising results in the context of patient care. It is particularly important to keep a close eye on this issue and conduct further research in order to fully explore the potential of ML, ANNs, and DL, and bring further applications into clinical use in the future.</w:t>
      </w:r>
    </w:p>
    <w:p>
      <w:r>
        <w:t>POSSIBLE 2023: Modern film coatings for glass and examples of their practical application — https://doi.org/10.33920/pro-01-2303-04</w:t>
      </w:r>
    </w:p>
    <w:p>
      <w:r>
        <w:t>Shared claim-specific concepts: examples, practical, application; EU scope not established. This is a provisional connection, not an outcome finding.</w:t>
      </w:r>
    </w:p>
    <w:p>
      <w:r>
        <w:t>Available abstract (not full text): The material is devoted to architectural and protective self-adhesive polymer PET films used in the construction of translucent structures and glazing.In the matter of using these materials for more than 20 years of research and observations about professional films, an objective opinion has been formed about professional films as a reliable, durable and highquality product for translucent glazing. But still it is necessary to admit that this product is undervalued in the modern market of services.</w:t>
      </w:r>
    </w:p>
    <w:p>
      <w:r>
        <w:t>POSSIBLE 2023: ORGANIZATIONAL BEHAVIOUR: THEORETICAL PERSPECTIVES, PRACTICAL APPLICATIONS, AND REAL-WORLD EXAMPLES — https://doi.org/10.29121/shodhkosh.v4.i2.2023.4743</w:t>
      </w:r>
    </w:p>
    <w:p>
      <w:r>
        <w:t>Shared claim-specific concepts: examples, practical, individual, trends; EU scope not established. This is a provisional connection, not an outcome finding.</w:t>
      </w:r>
    </w:p>
    <w:p>
      <w:r>
        <w:t>Available abstract (not full text): Organizational Behaviour (OB) is the study of human behaviour in professional settings, focusing on individual and group interactions, organizational structures, and leadership styles. This paper explores the theoretical foundations of OB while integrating real-world examples to illustrate practical applications. Topics include motivation theories, leadership, communication, decision-making, and organizational culture. Emerging trends such as artificial intelligence (AI), remote work, and workforce diversity are also discussed. This study aims to provide managers, employees, and researchers with insights into how OB influences workplace productivity, job satisfaction, and organizational effectiveness.</w:t>
      </w:r>
    </w:p>
    <w:p>
      <w:r>
        <w:t>POSSIBLE 2023: Exploring Applications and Practical Examples by Streamlining Material Requirements Planning (MRP) with Python — https://doi.org/10.3390/logistics7040091</w:t>
      </w:r>
    </w:p>
    <w:p>
      <w:r>
        <w:t>Shared claim-specific concepts: examples, practical, field; EU scope not established. This is a provisional connection, not an outcome finding.</w:t>
      </w:r>
    </w:p>
    <w:p>
      <w:r>
        <w:t>Available abstract (not full text): Background: Material Requirements Planning (MRP) is critical in Supply Chain Management (SCM), facilitating effective inventory management and meeting production demands in the manufacturing sector. Despite the potential benefits of automating the MRP tasks to meet the demand for expedited and efficient management, the field appears to be lagging behind in harnessing the advancements offered by Artificial Intelligence (AI) and sophisticated programming languages. Consequently, this study aims to address this gap by exploring the applications of Python in simplifying the MRP processes. Methods: This article offers a twofold approach: firstly, it conducts research to uncover the potential applications of the Python code in streamlining the MRP operations, and the practical examples serve as evidence of Python’s efficacy in simplifying the MRP tasks; secondly, this article introduces a conceptual framework that showcases the Python ecosystem, highlighting libraries and structures that enable efficient data manipulation, analysis, and optimization techniques. Results: This study presents a versatile framework that integrates a variety of Python tools, including but not limited to Pandas, Matplotlib, and Plotly, to streamline and actualize an 8-step MRP process. Additionally, it offers preliminary insights into the integration of the Python-based MRP solution (MRP.py) with Enterpris</w:t>
      </w:r>
    </w:p>
    <w:p>
      <w:r>
        <w:t>POSSIBLE 2022: Treatment of Cushing’s syndrome with osilodrostat: practical applications of recent studies with case examples — https://doi.org/10.1007/s11102-022-01268-2</w:t>
      </w:r>
    </w:p>
    <w:p>
      <w:r>
        <w:t>Shared claim-specific concepts: examples, practical, administration; EU scope not established. This is a provisional connection, not an outcome finding.</w:t>
      </w:r>
    </w:p>
    <w:p>
      <w:r>
        <w:t xml:space="preserve">Available abstract (not full text): Endogenous Cushing's syndrome (CS) is a rare endocrine condition frequently caused by a tumor resulting in elevated cortisol levels. Cushing's disease (CD) caused by an adrenocorticotropic hormone-secreting pituitary adenoma is the most common form of endogenous CS. Medical therapy for CD is mostly used as second-line treatment after failed surgery or recurrence and comprises several pituitary-directed drugs, adrenal steroidogenesis inhibitors, and a glucocorticoid receptor blocker, some of which are US Food and Drug Administration (FDA)-approved for this condition. The recent Pituitary Society consensus guidelines for diagnosis and management of CD described osilodrostat, an oral inhibitor of 11β-hydroxylase, as an effective, FDA-approved medical therapy for CD. Because clinical experience outside clinical trials is limited, we provide here a review of published data about osilodrostat and offer example case studies demonstrating practical considerations on the use of this medication. Recommendations regarding osilodrostat are provided for the following situations: specific assessments needed before treatment initiation; monitoring for adrenal insufficiency, hypokalemia, and changes in QTc; the potential value of a slow up-titration in patients with mild disease; managing temporary treatment cessation for patients with CD who have acquired coronavirus disease 2019; monitoring </w:t>
      </w:r>
    </w:p>
    <w:p>
      <w:r>
        <w:t>POSSIBLE 2021: Practical Applications Examples — https://doi.org/10.1002/9781119283409.ch3</w:t>
      </w:r>
    </w:p>
    <w:p>
      <w:r>
        <w:t>Shared claim-specific concepts: examples, practical, prediction; EU scope not established. This is a provisional connection, not an outcome finding.</w:t>
      </w:r>
    </w:p>
    <w:p>
      <w:r>
        <w:t>Available abstract (not full text): This chapter considers additional problems that arise in formation tester well logging. It introduces two rapid, “mass production” or “batch processes” which automate the algorithms behind flagship simulator FT-00. These include: rapid batch analysis, and multiprobe DOI. The chapter addresses important questions related to forward pressure calculations in the steady-state limit, and also, inverse predictions for kh and kv and “effective permeability” in transversely isotropic media. FT-00 was designed for rapid, accurate, easy-to-use and interactive forward simulations where the user can “randomly” change input variables to ascertain the effects of different variables like permeability, porosity, flowline volume, pumpout schedule, and so on. The term “supercharge” is often discussed in the context of pressure error measurement in formation testing, that is, inaccuracies in pore pressure prediction as they are affected by overbalance in the nearby well. The chapter focuses on the process with which dynamically coupled supercharging, mudcake growth and filtrate invasion occur.</w:t>
      </w:r>
    </w:p>
    <w:p>
      <w:r>
        <w:t>POSSIBLE 2021: The Real Application of the Software Filter Selection Methodology on Practical Examples — https://doi.org/10.2507/32nd.daaam.proceedings.023</w:t>
      </w:r>
    </w:p>
    <w:p>
      <w:r>
        <w:t>Shared claim-specific concepts: examples, practical, application, methodology, prediction, basis; EU scope not established. This is a provisional connection, not an outcome finding.</w:t>
      </w:r>
    </w:p>
    <w:p>
      <w:r>
        <w:t>Available abstract (not full text): The functional surfaces of components are usually finished by chip and chipless machining methods.The designer prescribes the basic properties of the surface with respect to its intended function.The task of the technology is to implement this prescription.Ideally, in the case of completely error-free production, the finished part is directly ready for functional use.In normal practice, however, the conditions of the production process do not remain completely constant, and it is, therefore, necessary to include inspection operations to detect any deviations that may affect the function of the component (e.g.deviations in dimensions, shape, surface quality, hardness of the component material, etc.).Changes in the manufacturing process affect the surface structure in various ways.Importantly, the measurement of the surface structure not only leads to the determination of the actual surface condition but also provides a basis for the control of the manufacturing process and the prediction of the functional properties of the surface.In the area described in this article, the area of software filter selection in real examples, this is not always the case.And the main reason for this is the low awareness and the high complexity of choosing the appropriate combination of possible procedures and techniques for setting up software filters.In this paper, possible differences in not foll</w:t>
      </w:r>
    </w:p>
    <w:p>
      <w:pPr>
        <w:pStyle w:val="Heading2"/>
      </w:pPr>
      <w:r>
        <w:t>Future Trajectories of Renewable Energy Consumption in the European Union</w:t>
      </w:r>
    </w:p>
    <w:p>
      <w:r>
        <w:t>Original source (2018): https://doi.org/10.3390/resources7010010</w:t>
      </w:r>
    </w:p>
    <w:p>
      <w:r>
        <w:t>Original wording (abstract; indexed_source_text_not_full_document_verified): Starting from historical data reported in the Eurostat database and through a mathematical model, this work proposes future trajectories towards 2020 of the share of energy from renewables (REs) in terms of gross final energy consumption (GFEC). The share of REs in GFEC in EU 28 varies from 19.4% to 21.8% in future trajectories towards 2020.</w:t>
      </w:r>
    </w:p>
    <w:p>
      <w:r>
        <w:t>POSSIBLE 2026: Bayesian Indirect Estimation of Historical Fertility in Europe and US Using Online Genealogical Data — https://doi.org/10.1177/00491241261463559</w:t>
      </w:r>
    </w:p>
    <w:p>
      <w:r>
        <w:t>Shared claim-specific concepts: historical, data, database; EU scope visible. This is a provisional connection, not an outcome finding.</w:t>
      </w:r>
    </w:p>
    <w:p>
      <w:r>
        <w:t>Available abstract (not full text): A growing number of social scientists use online genealogical data as an alternative digital census of historical populations to study past demographic dynamics. However, the non-representativeness of this data source requires the development of bias-adjusting methods to obtain accurate demographic estimates. We address this challenge by proposing an indirect estimation framework to investigate fertility trends in seven European countries and the United States of America for the historical period 1751-1910, integrating data from the big genealogical database FamiLinx with more conventional data sources. The proposed methods allow for the indirect estimation of the total fertility rate using the number of women aged 15-49 and children under age 5, while accounting for child mortality, age-specific fertility patterns, and biases. Our methodological approaches demonstrate that, when combined with reliable demographic data, online genealogical data can be fruitfully used to examine fertility patterns in countries and periods lacking well-functioning national civil registration systems.</w:t>
      </w:r>
    </w:p>
    <w:p>
      <w:r>
        <w:t>POSSIBLE 2024: HANZE v2.1: an improved database of flood impacts in Europe from 1870 to 2020 — https://doi.org/10.5194/essd-16-5145-2024</w:t>
      </w:r>
    </w:p>
    <w:p>
      <w:r>
        <w:t>Shared claim-specific concepts: historical, data, database; EU scope visible. This is a provisional connection, not an outcome finding.</w:t>
      </w:r>
    </w:p>
    <w:p>
      <w:r>
        <w:t>Available abstract (not full text): Abstract. Assessing long-term trends in flood losses and attributing them to climatic and socio-economic changes requires comprehensive and systematic collection of historical information. Here, we present flood impact data for Europe that is part of the HANZE (Historical Analysis of Natural HaZards) database. The dataset covers riverine, pluvial, coastal and compound floods that have occurred in 42 European countries between 1870 and 2020. The data was obtained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the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(https://dx.doi.org/10.5281/zeno</w:t>
      </w:r>
    </w:p>
    <w:p>
      <w:r>
        <w:t>POSSIBLE 2024: The Afro-European Energy Diplomacy, a Historical Reconstruction from 1973 to 2007 — https://doi.org/10.59569/jceeas.2023.3.1.137</w:t>
      </w:r>
    </w:p>
    <w:p>
      <w:r>
        <w:t>Shared claim-specific concepts: historical, data, energy, terms; EU scope visible. This is a provisional connection, not an outcome finding.</w:t>
      </w:r>
    </w:p>
    <w:p>
      <w:r>
        <w:t>Available abstract (not full text): The history of international relations has as its main source diplomatic documents, among them treaties and international agreements. As Mario Toscano stated, (Mario Toscano, 1963) diplomatic documents are written statements of facts (actions or simple expressions of thought) coming from institutional bodies acting in inter-state relations. Inside the framework of diplomacy, recently emerged a new branch: energy diplomacy. This latter is a complex topic in the broad framework of the Afro- European diplomatic relations and, over the years, has continuously evolved due to endogenous and exogenous factors. Since up to now, there's no historical rebuilding of how Afro- European diplomatic representors have acted to build energy diplomacy, to start analyzing it, the time-space considered in this research is the following: from the 1973 oil crisis to the 2007 Lisbon Treaty (Joint Africa-EU Strategy). The relevance of this research consists of filling the historical gaps that we have about this topic between the area studies and those in the European Integration, trying to have a more super partes and complete vision as possible.This research even if now in its first stage, will contribute to providing a logical combination of data to rebuild and comprehend the evolution of Afro- European energy diplomatic relations. For this purpose, the literary review indicated may help to define t</w:t>
      </w:r>
    </w:p>
    <w:p>
      <w:r>
        <w:t>POSSIBLE 2023: HANZE database of historical flood impacts in Europe, 1870-2020 — https://doi.org/10.5281/zenodo.8221453</w:t>
      </w:r>
    </w:p>
    <w:p>
      <w:r>
        <w:t>Shared claim-specific concepts: historical, data, database, gross; EU scope visible. This is a provisional connection, not an outcome finding.</w:t>
      </w:r>
    </w:p>
    <w:p>
      <w:r>
        <w:t>Available abstract (not full text): The HANZE dataset covers riverine, pluvial, coastal and compound floods that have occurred in 42 European countries between 1870 and 2020. The data was collected by extensive data-collection from more than 800 sources ranging from news reports through government databases to scientific papers. The dataset includes 2521 events characterized by at least one impact statistic: area inundated, fatalities, persons affected or economic loss. Economic losses are presented both in the original currencies and price levels as well as inflation and exchange-rate adjusted to 2020 value of the euro. The spatial footprint of affected areas is consistently recorded using more than 1400 subnational units corresponding, with minor exceptions, to the European Union’s Nomenclature of Territorial Units for Statistics (NUTS), level 3. Daily start and end dates, information on causes of the event, notes on data quality issues or associated non-flood impacts, and full bibliography of each record supplement the dataset. Apart from the possibility to download the data, the database can be viewed, filtered and visualized online: https://naturalhazards.eu. The dataset is designed to be complimentary to HANZE-Exposure, a high-resolution model of historical exposure changes (such as population and asset value), and be easily usable in statistical and spatial analyses. The dataset contains the following file</w:t>
      </w:r>
    </w:p>
    <w:p>
      <w:r>
        <w:t>POSSIBLE 2023: Predicting the Past: Imputation of Historical Data — https://doi.org/10.31234/osf.io/9gpwf</w:t>
      </w:r>
    </w:p>
    <w:p>
      <w:r>
        <w:t>Shared claim-specific concepts: historical, data, database; EU scope not established. This is a provisional connection, not an outcome finding.</w:t>
      </w:r>
    </w:p>
    <w:p>
      <w:r>
        <w:t>Available abstract (not full text): Research using historical data is becoming more common across the social sciences. However, approaches using historical data suffer from a more acute missing data problem than approaches using contemporary data. Complete datasets are required to use many common statistical and machine learning techniques, the majority of which cannot handle missing data. One approach to handling missing data is to impute the missing values. Using the Database of Religious History (DRH), a large historical database, comprised of both quantitative and qualitative data, this research compares the accuracy and bias of 10 imputation methods. k-nearest neighbors (k-NN), missForest, Generalized low rank models (GLRM), Factorial analysis for mixed data (FAMD), DataWig, and five methods implemented in the R package mice (multiple imputation by chained equations). On average, a missForest approach had higher imputation accuracy and among the lowest bias compared to the other methods. The accuracy and bias of different methods implemented in mice were highly variable, highlighting the importance of researchers stating the precise method used for imputation, rather than general phrases such as ‘data were imputed using mice’.</w:t>
      </w:r>
    </w:p>
    <w:p>
      <w:r>
        <w:t>POSSIBLE 2023: Normalized power priors always discount historical data — https://doi.org/10.1002/sta4.591</w:t>
      </w:r>
    </w:p>
    <w:p>
      <w:r>
        <w:t>Shared claim-specific concepts: historical, data; EU scope not established. This is a provisional connection, not an outcome finding.</w:t>
      </w:r>
    </w:p>
    <w:p>
      <w:r>
        <w:t>Available abstract (not full text): Power priors are used for incorporating historical data in Bayesian analyses by taking the likelihood of the historical data raised to the power as the prior distribution for the model parameters. The power parameter is typically unknown and assigned a prior distribution, most commonly a beta distribution. Here, we give a novel theoretical result on the resulting marginal posterior distribution of in case of the normal and binomial model. Counterintuitively, when the current data perfectly mirror the historical data and the sample sizes from both data sets become arbitrarily large, the marginal posterior of does not converge to a point mass at but approaches a distribution that hardly differs from the prior. The result implies that a complete pooling of historical and current data is impossible if a power prior with beta prior for is used.</w:t>
      </w:r>
    </w:p>
    <w:p>
      <w:r>
        <w:t>POSSIBLE 2022: Historical reconstruction of soil erosion in Europe — https://doi.org/10.2905/jrc.c2803r8</w:t>
      </w:r>
    </w:p>
    <w:p>
      <w:r>
        <w:t>Shared claim-specific concepts: starting, historical, data; EU scope visible. This is a provisional connection, not an outcome finding.</w:t>
      </w:r>
    </w:p>
    <w:p>
      <w:r>
        <w:t>Available abstract (not full text): This dataset includes the past reconstruction of soil erosion rates in Europe (incuding UK, Switzerland and Western balkans). The data provided have are aggregated per decade starting from 1860. The soil erosion change is driven by changes in land use and rainfall erosivity. The simulations have been done using the CE-DYNAM model. We also make available the annual histrorical soil loss by water erosion rates (per year for the period 1860 - 2018). Advanced users may also download the monthly files (12 bands per file). The annual and monthly soil erosion reconstruction data (1860-2018) can be useful inputs for Earth System Models.</w:t>
      </w:r>
    </w:p>
    <w:p>
      <w:r>
        <w:t>POSSIBLE 2022: Historical Spruce Abundance in Central Europe: A Combined Dendrochronological and Palynological Approach — https://doi.org/10.3389/fevo.2022.909453</w:t>
      </w:r>
    </w:p>
    <w:p>
      <w:r>
        <w:t>Shared claim-specific concepts: starting, historical, data, consumption, varies; EU scope visible. This is a provisional connection, not an outcome finding.</w:t>
      </w:r>
    </w:p>
    <w:p>
      <w:r>
        <w:t>Available abstract (not full text): Spruce is the most cultivated tree species in modern forestry in Central Europe, since it has the ability to grow on many soil types with profitable biomass accumulation. However, even-aged and uniform spruce forests are affected by recurring droughts and associated biotic stressors leading to large-scale diebacks across Central Europe causing controversies among foresters and nature conservationists. We investigate the role of spruce in historical woodlands by using 15666 spruce timbers from historical buildings and on the basis of pollen-based land cover estimates using the REVEALS model from 157 pollen sites in southern Central Europe. Start and end dates of the spruce timber samples and their dendrological characteristics (age, growth rates and stem diameters) were used to obtain information on past forest structures. Tree rings and REVEALS estimates are combined at a spatial scale of 1° × 1° resolution, grouped in four sub-regions, and a temporal resolution of 100-year time windows starting from 1150 to 1850 CE. We found that spruce dominates the species assemblage of construction timber with almost 41% and that the harvest age varies little through time, whereas a declining trend in growth rates and stem diameters are observed toward times before modern forestry. Temporal and regional differences in spruce abundance and building activity were found highlighting periods of</w:t>
      </w:r>
    </w:p>
    <w:p>
      <w:r>
        <w:t>POSSIBLE 2021: Scenario generation by selection from historical data — https://doi.org/10.1007/s10287-021-00399-4</w:t>
      </w:r>
    </w:p>
    <w:p>
      <w:r>
        <w:t>Shared claim-specific concepts: historical, data; EU scope not established. This is a provisional connection, not an outcome finding.</w:t>
      </w:r>
    </w:p>
    <w:p>
      <w:r>
        <w:t>Available abstract (not full text): Abstract In this paper, we present and compare several methods for generating scenarios for stochastic-programming models by direct selection from historical data. The methods range from standard sampling and k -means, through iterative sampling-based selection methods, to a new moment-based optimization approach. We compare the models on a simple portfolio-optimization model and show how to use them in a situation when we are selecting whole sequences from the data, instead of single data points.</w:t>
      </w:r>
    </w:p>
    <w:p>
      <w:r>
        <w:t>POSSIBLE 2020: ClimateEU, scale-free climate normals, historical time series, and future projections for Europe — https://doi.org/10.1038/s41597-020-00763-0</w:t>
      </w:r>
    </w:p>
    <w:p>
      <w:r>
        <w:t>Shared claim-specific concepts: historical, data, database; EU scope visible. This is a provisional connection, not an outcome finding.</w:t>
      </w:r>
    </w:p>
    <w:p>
      <w:r>
        <w:t>Available abstract (not full text): Abstract Interpolated climate data have become essential for regional or local climate change impact assessments and the development of climate change adaptation strategies. Here, we contribute an accessible, comprehensive database of interpolated climate data for Europe that includes monthly, annual, decadal, and 30-year normal climate data for the last 119 years (1901 to 2019) as well as multi-model CMIP5 climate change projections for the 21 st century. The database also includes variables relevant for ecological research and infrastructure planning, comprising more than 20,000 climate grids that can be queried with a provided ClimateEU software package. In addition, 1 km and 2.5 km resolution gridded data generated by the software are available for download. The quality of ClimateEU estimates was evaluated against weather station data for a representative subset of climate variables. Dynamic environmental lapse rate algorithms employed by the software to generate scale-free climate variables for specific locations lead to improvements of 10 to 50% in accuracy compared to gridded data. We conclude with a discussion of applications and limitations of this database.</w:t>
      </w:r>
    </w:p>
    <w:p>
      <w:r>
        <w:t>POSSIBLE 2020: Historical Atlas of Central Europe — https://doi.org/10.5325/hungarianstud.46-47.1.0107</w:t>
      </w:r>
    </w:p>
    <w:p>
      <w:r>
        <w:t>Shared claim-specific concepts: historical, data, terms; EU scope visible. This is a provisional connection, not an outcome finding.</w:t>
      </w:r>
    </w:p>
    <w:p>
      <w:r>
        <w:t>Available abstract (not full text): This is the rare case of a book that has been reviewed almost one hundred times before, if we include the eighty reviews of the first edition of 1993 and the fifteen reviews of the second edition of 2001, which introduced twenty new maps, partly because of political changes during the 1990s. It was also a different kind of atlas, because in contrast to the first edition, now the maps were produced digitally, which allowed for easier revision for the third edition that we review here. (Readers should consider buying the electronic version, with added features, which is available at the same price as the paperback!)The “Historical Atlas of Central Europe” has been a major Canadian-US research project for more than a quarter century. The book has even changed its name, after many Central Europeans found the designation “East Central Europe” in the first edition somehow offensive; but more importantly because the territory covered by the atlas is “Central Europe” “in purely geographical terms” (xiii). It could easily be argued that such purity can be contested, because geographers are part of the ongoing struggle to define what “Europe” is and where the “center” of the continent lies.1 The same problem, from the standpoint of constructivist approaches, arises regarding “ethnic groups.” In the atlas there are maps and statistics (Map 30, p. 97; Map 55, p. 189) that show and list the</w:t>
      </w:r>
    </w:p>
    <w:p>
      <w:r>
        <w:t>POSSIBLE 2020: Borderplex Historical Data to 2018 — https://openalex.org/W7167177269</w:t>
      </w:r>
    </w:p>
    <w:p>
      <w:r>
        <w:t>Shared claim-specific concepts: historical, data, consumption; EU scope not established. This is a provisional connection, not an outcome finding.</w:t>
      </w:r>
    </w:p>
    <w:p>
      <w:r>
        <w:t>Available abstract (not full text): This report provides a compendium of annual frequency Border Region Modeling Project historical data from 1947 to 2018.These data are provided via 19 sets of tables and graphs.Geographic coverage provided in this compendium includes El Paso, Texas; Ciudad Juárez, Mexico; Chihuahua City, Mexico; and Las Cruces, New Mexico.Topical coverage includes demography, employment, personal income, retail sales, residential and nonresidential real estate, transportation flows, hotel activity, municipal water consumption, and cross border manufacturing.</w:t>
      </w:r>
    </w:p>
    <w:p>
      <w:pPr>
        <w:pStyle w:val="Heading2"/>
      </w:pPr>
      <w:r>
        <w:t>Grassland futures in Great Britain – Productivity assessment and scenarios for land use change opportunities</w:t>
      </w:r>
    </w:p>
    <w:p>
      <w:r>
        <w:t>Original source (2018): https://doi.org/10.1016/j.scitotenv.2018.03.395</w:t>
      </w:r>
    </w:p>
    <w:p>
      <w:r>
        <w:t>Original wording (abstract; indexed_source_text_not_full_document_verified): The effects of climate change, rising atmospheric [CO 2 ] and technological progress on baseline DMYs were used to estimate future grassland productivities (up to 2050) for low and medium CO 2 emission scenarios of UKCP09. By 2050, productivities under medium emission scenario are predicted to increase to 15.5 and 9.8 t/ha on temporary and permanent grassland, respectively, but not on rough grassland.</w:t>
      </w:r>
    </w:p>
    <w:p>
      <w:r>
        <w:t>POSSIBLE 2024: Effects of climate change on fungal infections — https://doi.org/10.1371/journal.ppat.1012219</w:t>
      </w:r>
    </w:p>
    <w:p>
      <w:r>
        <w:t>Shared claim-specific concepts: climate, atmospheric; EU scope not established. This is a provisional connection, not an outcome finding.</w:t>
      </w:r>
    </w:p>
    <w:p>
      <w:r>
        <w:t>Available abstract (not full text): Climate change significantly impacts atmospheric, ecological, agricultural, and societal systems.Documented increases in global temperature, extreme precipitation, and the frequency and intensity of severe weather events have been linked to a variety of adverse health outcomes, and conditions are expected to worsen [1].Fungi are particularly susceptible to the effects of climate change because the highest diversity and biomass of fungi are found in the top layer of soil, at the forefront of environmental changes.Fungal diseases cause a wide spectrum of illness, ranging from mild skin and mucosal infections to severe respiratory illness and lifethreatening disseminated disease.Evidence suggests that evolving weather patterns have contributed to expanded geographic ranges of endemic fungi, emergence of new pathogens, and increased antifungal resistance [2,3].This review presents an introduction to and discussion of some of the most important potential climate-related mechanisms associated with the proliferation of pathogenic fungi and associated fungal diseases (Fig 1) that could impact human and animal health.</w:t>
      </w:r>
    </w:p>
    <w:p>
      <w:r>
        <w:t>POSSIBLE 2023: The effects of climate change on mental health — https://doi.org/10.3238/arztebl.m2022.0403</w:t>
      </w:r>
    </w:p>
    <w:p>
      <w:r>
        <w:t>Shared claim-specific concepts: climate, estimate, increase, not; EU scope not established. This is a provisional connection, not an outcome finding.</w:t>
      </w:r>
    </w:p>
    <w:p>
      <w:r>
        <w:t>Available abstract (not full text): BACKGROUND: All over the world, climate change is exerting negative and complex effects on human living conditions and health. In this narrative review, we summarize the current global evidence regarding the effects of climate change on mental health. METHODS: A systematic literature search concerning the direct effects of acute extreme weather events (floods, storms, fires) and chronic stresses (heat, drought) due to climate change, as well as the indirect effects of climate change (food insecurity, migration), on the diagnoses of mental disorders, psychological distress, and psychiatric emergency admissions was carried out in PubMed and PsychInfo, and supplemented by expert selection. 1017 studies were identified, and 128 were included. RESULTS: The heterogeneity of study methods does not permit any overall estimate of effect strength. The available evidence shows that traumatic experiences due to extreme weather events increase the risk of affective and anxiety disorders, especially the risk of post-traumatic stress disorder. Heat significantly increases the morbidity and mortality attributable to mental illness, as well as the frequency of psychiatric emergencies. Persistent stressors such as drought, food insecurity, and migration owing to climate change can also be major risk factors for mental illness. CONCLUSION: The consequences of climate change are stress factors for</w:t>
      </w:r>
    </w:p>
    <w:p>
      <w:r>
        <w:t>POSSIBLE 2023: Effects of Climate Change and Drought Tolerance on Maize Growth — https://doi.org/10.3390/plants12203548</w:t>
      </w:r>
    </w:p>
    <w:p>
      <w:r>
        <w:t>Shared claim-specific concepts: climate, increase; EU scope not established. This is a provisional connection, not an outcome finding.</w:t>
      </w:r>
    </w:p>
    <w:p>
      <w:r>
        <w:t xml:space="preserve">Available abstract (not full text): Climate change is affecting all regions of the world with different climates, and the scale of damage is increasing due to the occurrence of various natural disasters. In particular, maize production is highly affected by abnormal climate events such as heat waves and droughts. Increasing temperatures can accelerate growth and shorten the growing season, potentially reducing productivity. Additionally, enhanced temperatures during the ripening period can accelerate the process, reducing crop yields. In addition, drought stress due to water deficit can greatly affect seedling formation, early plant growth, photosynthesis, reproductive growth, and yield, so proper water management is critical to maize growth. Maize, in particular, is tall and broad-leaved, so extreme drought stress at planting can cause leaves to curl and stunt growth. It is important to understand that severe drought can have a detrimental effect on the growth and reproduction of maize. In addition, high temperatures caused by drought stress can inhibit the induction of flowering in male flowers and cause factors that interfere with pollen development. It is therefore important to increase the productivity of all food crops, including maize, while maintaining them in the face of persistent drought caused by climate change. This requires a strategy to develop genetically modified crops and drought-tolerant maize </w:t>
      </w:r>
    </w:p>
    <w:p>
      <w:r>
        <w:t>POSSIBLE 2023: The effects of climate change on the ecology of fishes — https://doi.org/10.1371/journal.pclm.0000258</w:t>
      </w:r>
    </w:p>
    <w:p>
      <w:r>
        <w:t>Shared claim-specific concepts: climate, not; EU scope not established. This is a provisional connection, not an outcome finding.</w:t>
      </w:r>
    </w:p>
    <w:p>
      <w:r>
        <w:t>Available abstract (not full text): Ocean warming and acidification are set to reshuffle life on Earth and alter ecological processes that underpin the biodiversity, health, productivity, and resilience of ecosystems. Fishes contribute significantly to marine, estuarine, and freshwater species diversity and the functioning of marine ecosystems, and are not immune to climate change impacts. Whilst considerable effort has been placed on studying the effects of climate change on fishes, much emphasis has been placed on their (eco)physiology and at the organismal level. Fishes are affected by climate change through impacts at various levels of biological organisation and through a large variety of traits, making it difficult to make generalisations regarding fish responses to climate change. Here, we briefly review the current state of knowledge of climate change effects on fishes across a wide range of subfields of fish ecology and evaluate these effects at various scales of biological organisation (from genes to ecosystems). We argue that a more holistic synthesis of the various interconnected subfields of fish ecology and integration of responses at different levels of biological organisation are needed for a better understanding of how fishes and their populations and communities might respond or adapt to the multi-stressor effects of climate change. We postulate that studies using natural analogues of climate ch</w:t>
      </w:r>
    </w:p>
    <w:p>
      <w:r>
        <w:t>POSSIBLE 2021: Health effects of climate change: an overview of systematic reviews — https://doi.org/10.1136/bmjopen-2020-046333</w:t>
      </w:r>
    </w:p>
    <w:p>
      <w:r>
        <w:t>Shared claim-specific concepts: climate, used, not; EU scope not established. This is a provisional connection, not an outcome finding.</w:t>
      </w:r>
    </w:p>
    <w:p>
      <w:r>
        <w:t>Available abstract (not full text): OBJECTIVES: We aimed to develop a systematic synthesis of systematic reviews of health impacts of climate change, by synthesising studies' characteristics, climate impacts, health outcomes and key findings. DESIGN: We conducted an overview of systematic reviews of health impacts of climate change. We registered our review in PROSPERO (CRD42019145972). No ethical approval was required since we used secondary data. Additional data are not available. DATA SOURCES: On 22 June 2019, we searched Medline, Cumulative Index to Nursing and Allied Health Literature (CINAHL), Embase, Cochrane and Web of Science. ELIGIBILITY CRITERIA: We included systematic reviews that explored at least one health impact of climate change. DATA EXTRACTION AND SYNTHESIS: We organised systematic reviews according to their key characteristics, including geographical regions, year of publication and authors' affiliations. We mapped the climate effects and health outcomes being studied and synthesised major findings. We used a modified version of A MeaSurement Tool to Assess systematic Reviews-2 (AMSTAR-2) to assess the quality of studies. RESULTS: We included 94 systematic reviews. Most were published after 2015 and approximately one-fifth contained meta-analyses. Reviews synthesised evidence about five categories of climate impacts; the two most common were meteorological and extreme weather events. Reviews c</w:t>
      </w:r>
    </w:p>
    <w:p>
      <w:r>
        <w:t>POSSIBLE 2021: Effects of Climate Change on Invasive Species — https://doi.org/10.1007/978-3-030-45367-1_4</w:t>
      </w:r>
    </w:p>
    <w:p>
      <w:r>
        <w:t>Shared claim-specific concepts: climate, atmospheric, low, emission, increase, but; EU scope not established. This is a provisional connection, not an outcome finding.</w:t>
      </w:r>
    </w:p>
    <w:p>
      <w:r>
        <w:t>Available abstract (not full text): Abstract Mean surface temperatures have increased globally by ~0.7 °C per century since 1900 and 0.16 °C per decade since 1970 (Levinson and Fettig 2014). Most of this warming is believed to result from increases in atmospheric concentrations of greenhouse gases produced by human activity. Temperature increases have been greater in winter than in summer, and there is a tendency for these increases to be manifested mainly by changes in minimum (nighttime low) temperatures (Kukla and Karl 1993). Changes in precipitation patterns have also been observed, but are more variable than those of temperature. Even under conservative emission scenarios, future climatic changes are likely to include further increases in temperature with significant drying (drought) in some regions and increases in the frequency and severity of extreme weather events (IPCC 2007). For example, multimodel means of annual temperature from climate projections predict an increase of 3–9 °C in the United States over the next century combined with reductions in summer precipitation in certain areas (Walsh et al. 2014). These changes will affect invasive species in several ways. Furthermore, climate change may challenge the way we perceive and consider nonnative invasive species, as impacts to some will change and others will remain unaffected; other nonnative species are likely to become invasive; and native speci</w:t>
      </w:r>
    </w:p>
    <w:p>
      <w:r>
        <w:t>POSSIBLE 2021: Effects of Climate Change on Avalanche Accidents and Survival — https://doi.org/10.3389/fphys.2021.639433</w:t>
      </w:r>
    </w:p>
    <w:p>
      <w:r>
        <w:t>Shared claim-specific concepts: climate, increase, not; EU scope not established. This is a provisional connection, not an outcome finding.</w:t>
      </w:r>
    </w:p>
    <w:p>
      <w:r>
        <w:t xml:space="preserve">Available abstract (not full text): Avalanches are major natural hazards in snow-covered mountains, threatening people and infrastructure. With ongoing climate change, the frequency and types of snow avalanches may change, affecting the rates of avalanche burial and survival. With a wetter and warmer snow climate, consequences of burial may become more severe. In this review, we assess the potential effects of climate change on the frequency and characteristics of avalanches. We then discuss how these changes might affect the survival rates of subjects buried by avalanches and might influence the responses of search and rescue (SAR) teams and health care providers. While climate change is inevitable, the effects on avalanches remain elusive. The frequency of human triggered avalanches may not change, because this depends largely on the number and behavior of winter recreationists. Blunt trauma and secondary injuries will likely become more frequent as terrain roughness is expected to rise and snow cover to become thinner. Higher snow densities in avalanche debris will likely interfere with the respiration of completely buried victims. Asphyxia and trauma, as causes of avalanche death, may increase. It is unlikely that SAR and health care providers involved in avalanche rescue will have to change their strategies in areas where they are already established. The effects of climate change might foster the expansion </w:t>
      </w:r>
    </w:p>
    <w:p>
      <w:r>
        <w:t>POSSIBLE 2020: Changing wildfire, changing forests: the effects of climate change on fire regimes and vegetation in the Pacific Northwest, USA — https://doi.org/10.1186/s42408-019-0062-8</w:t>
      </w:r>
    </w:p>
    <w:p>
      <w:r>
        <w:t>Shared claim-specific concepts: climate, used, increase; EU scope not established. This is a provisional connection, not an outcome finding.</w:t>
      </w:r>
    </w:p>
    <w:p>
      <w:r>
        <w:t>Available abstract (not full text): Abstract Background Wildfires in the Pacific Northwest (Washington, Oregon, Idaho, and western Montana, USA) have been immense in recent years, capturing the attention of resource managers, fire scientists, and the general public. This paper synthesizes understanding of the potential effects of changing climate and fire regimes on Pacific Northwest forests, including effects on disturbance and stress interactions, forest structure and composition, and post-fire ecological processes. We frame this information in a risk assessment context, and conclude with management implications and future research needs. Results Large and severe fires in the Pacific Northwest are associated with warm and dry conditions, and such conditions will likely occur with increasing frequency in a warming climate. According to projections based on historical records, current trends, and simulation modeling, protracted warmer and drier conditions will drive lower fuel moisture and longer fire seasons in the future, likely increasing the frequency and extent of fires compared to the twentieth century. Interactions between fire and other disturbances, such as drought and insect outbreaks, are likely to be the primary drivers of ecosystem change in a warming climate. Reburns are also likely to occur more frequently with warming and drought, with potential effects on tree regeneration and species composition</w:t>
      </w:r>
    </w:p>
    <w:p>
      <w:r>
        <w:t>POSSIBLE 2019: Climate change effects on earthworms - a review — https://doi.org/10.25674/so91iss3pp114</w:t>
      </w:r>
    </w:p>
    <w:p>
      <w:r>
        <w:t>Shared claim-specific concepts: climate, baseline, increase; EU scope not established. This is a provisional connection, not an outcome finding.</w:t>
      </w:r>
    </w:p>
    <w:p>
      <w:r>
        <w:t xml:space="preserve">Available abstract (not full text): Climate change can have a plethora of effects on organisms above and below the ground in terrestrial ecosystems. Given the tremendous biodiversity in the soil and the many ecosystem functions governed by soil organisms, the drivers of soil biodiversity have received increasing attention. Various climatic factors like temperature, precipitation, soil moisture, as well as extreme climate events like drought and flood have been shown to alter the composition and functioning of communities in the soil. Earthworms are important ecosystem engineers in the soils of temperate and tropical climates and play crucial roles for many ecosystem services, including decomposition, nutrient cycling, and crop yield. Here, we review the published literature on climate change effects on earthworm communities and activity. In general, we find highly species- and ecological group-specific responses to climate change, which are likely to result in altered earthworm community composition in future ecosystems. Earthworm activity, abundance, and biomass tend to increase with increasing temperature at sufficiently high soil water content, while climate extremes like drought and flooding have deleterious effects. Changing climate conditions may facilitate the invasion of earthworms at higher latitudes and altitudes, while dryer and warmer conditions may limit earthworm performance in other regions of the </w:t>
      </w:r>
    </w:p>
    <w:p>
      <w:r>
        <w:t>POSSIBLE 2019: Effects of Climate Change in Agricultural Insect Pest — https://doi.org/10.31080/asag.2019.03.0727</w:t>
      </w:r>
    </w:p>
    <w:p>
      <w:r>
        <w:t>Shared claim-specific concepts: climate, rising, used, increase; EU scope visible. This is a provisional connection, not an outcome finding.</w:t>
      </w:r>
    </w:p>
    <w:p>
      <w:r>
        <w:t>Available abstract (not full text): Climate change, an emerging global concern have serious effects in every aspects of agriculture.Changed patterns in climatic factors like temperature, precipitation, humidity and other meteorological components are affecting the quality and quantity of agricultural commodities production.Along with direct impacts in crop productivity, climate change is threatening global food production via pest related losses of food crops.Each additional degree of temperature rise could cause yield losses from insect pests to increase by a further 10-25%.Climate change has increased pest population and their damage potential by expanding distribution, enhancing survivability and allowing to develop the adaptability of insect pest.Rising temperature, modified precipitation patterns, disturbed gaseous composition of atmosphere etc. are causing the change in population, mobility, behavior of insect pest.This change has been affecting the global agricultural production figure.Largest grain producers of the world viz.China, the US, France etc. are already facing massive infestation of crop pest and consequent yield losses.Climate change has been the talk of the century.Observed shifts in global climatic phenomena and consequent losses have caught the attention of the world.Climate Change can be illustrated as the phenomenon that includes change in environmental factors like temperature, humidity a</w:t>
      </w:r>
    </w:p>
    <w:p>
      <w:r>
        <w:t>POSSIBLE 2019: Climate change effects on deer and moose in the Midwest — https://doi.org/10.1002/jwmg.21649</w:t>
      </w:r>
    </w:p>
    <w:p>
      <w:r>
        <w:t>Shared claim-specific concepts: climate, increase; EU scope not established. This is a provisional connection, not an outcome finding.</w:t>
      </w:r>
    </w:p>
    <w:p>
      <w:r>
        <w:t>Available abstract (not full text): ABSTRACT Climate change is an increasing concern for wildlife managers across the United States and Canada. Because climate change may alter populations and harvest dynamics of key species in the region, midwestern states have identified the effects of climate change on ungulates as a priority research area. We conducted a literature review of projected climate change in the Midwest and the potential effects on white‐tailed deer ( Odocoileus virginianus ) and moose ( Alces alces ). Warmer temperatures and decreasing snowpack in the region favor survival of white‐tailed deer. In contrast, moose may become physiologically stressed in response to warming, and increasing deer populations spreading disease will exacerbate the problem. Although there is some uncertainty about exactly how the climate will change, and to what degree, robust projections suggest that deer populations will increase in response to climate change and moose populations will decrease. Managers can begin preparing for these changes by proactively creating management plans that take this into account. Published 2019. This article is a U.S. Government work and is in the public domain in the USA. The Journal of Wildlife Management published by Wiley Periodicals, Inc. on behalf of The Wildlife Society</w:t>
      </w:r>
    </w:p>
    <w:p>
      <w:r>
        <w:t>POSSIBLE 2019: A Review of the Effects of Climate Change on Chelonians — https://doi.org/10.3390/d11080138</w:t>
      </w:r>
    </w:p>
    <w:p>
      <w:r>
        <w:t>Shared claim-specific concepts: climate, low, not; EU scope not established. This is a provisional connection, not an outcome finding.</w:t>
      </w:r>
    </w:p>
    <w:p>
      <w:r>
        <w:t>Available abstract (not full text): Climate change is occurring at an unprecedented rate and has begun to modify the distribution and phenology of organisms worldwide. Chelonians are expected to be particularly vulnerable due to limited dispersal capabilities as well as widespread temperature-dependent sex determination. The number of papers published about the effects of climate change on turtles has increased exponentially over the last decade; here, I review the data from peer-reviewed publications to assess the likely impacts of climate change on individuals, populations, and communities. Based upon these studies future research should focus on: (1) Individual responses to climate change, particularly with respect to thermal biology, phenology, and microhabitat selection; (2) improving species distribution models by incorporating fine-scale environmental variables as well as physiological processes; (3) identifying the consequences of skewed sex ratios; and (4) assessments of community resilience and the development of methods to mitigate climate change impacts. Although detailed management recommendations are not possible at this point, careful consideration should be given regarding how to manage low vagility species as habitats shift poleward. In the worst-case scenario, proactive management may be required in order to ensure that widespread losses do not occur.</w:t>
      </w:r>
    </w:p>
    <w:p>
      <w:pPr>
        <w:pStyle w:val="Heading2"/>
      </w:pPr>
      <w:r>
        <w:t>Implementing exogenous scenarios in a global MRIO model for the estimation of future environmental footprints</w:t>
      </w:r>
    </w:p>
    <w:p>
      <w:r>
        <w:t>Original source (2018): https://doi.org/10.1186/s40008-018-0118-y</w:t>
      </w:r>
    </w:p>
    <w:p>
      <w:r>
        <w:t>Original wording (abstract; indexed_source_text_not_full_document_verified): As an additional example, we show that the energy dependency of Europe is reduced in the 2-degree scenario compared to the 6-degree scenario, while the material dependency is higher. This paper introduces a simple approach to implementing existing climate change scenarios, such as the IEA energy technology perspective scenarios, in MRIO models.</w:t>
      </w:r>
    </w:p>
    <w:p>
      <w:r>
        <w:t>POSSIBLE 2026: Challenges in digitalization in outdoor recreation: The example of the European pond turtle — https://doi.org/10.1016/j.jort.2026.101095</w:t>
      </w:r>
    </w:p>
    <w:p>
      <w:r>
        <w:t>Shared claim-specific concepts: additional, example, show, climate; EU scope visible. This is a provisional connection, not an outcome finding.</w:t>
      </w:r>
    </w:p>
    <w:p>
      <w:r>
        <w:t>Available abstract (not full text): The use of digital technologies, such as smartphones, GPS, apps, social media, has significantly changed recreational use in landscapes. Not only have the possibilities for route selection, navigation and quality of experience changed, but the possibilities for conservation management have been significantly influenced as well. These changes are illustrated using the example of the European pond turtle ( Emys orbicularis) and its habitat in the Donau-Auen National Park and digital data based on Strava, a popular fitness app. The data show a significant use of paths by outdoor recreationists outside the official trail system and a deterioration of habitats as a consequence. Against this background, challenges for recreational planning and the management of protected areas are discussed. Additional negative influences caused by climate change are likely to worsen the situation. Therefore, the protection of wet habitats of the pond turtle requires adapted visitor management and additional measures to ensure the reproduction of this endangered species close to the Viennese metropolitan area.</w:t>
      </w:r>
    </w:p>
    <w:p>
      <w:r>
        <w:t>POSSIBLE 2025: Future evolution of large floods in Europe — https://doi.org/10.5194/egusphere-egu25-9464</w:t>
      </w:r>
    </w:p>
    <w:p>
      <w:r>
        <w:t>Shared claim-specific concepts: example, show, reduced, existing, climate; EU scope visible. This is a provisional connection, not an outcome finding.</w:t>
      </w:r>
    </w:p>
    <w:p>
      <w:r>
        <w:t>Available abstract (not full text): Large floods regularly cause loss of life and substantial economic damage. In a warmer climate, increased precipitation variability and extremes, combined with reduced snowmelt, are expected to alter flood characteristics, but how the dynamics of large floods across Europe will evolve under climate change remains unclear. Many existing grid-based and catchment-based studies lack the capacity to systematically identify widespread floods associated with larger impacts. This study addresses these gaps by identifying large, spatially connected floods in Europe based on the spatio-temporal connectivity of runoff extremes, which is derived from daily routed runoff simulations driven by five CMIP5 models under various warming levels. Further, a comprehensive set of flood metrics—including frequency, timing, extent, and volume—is quantified to assess future flood changes. Additionally, the underlying drivers of these changes are investigated. We show that earlier snowmelt generally leads to earlier floods, while increasing precipitation contributions attenuates flood seasonality. In western and central Europe, projected increases in precipitation amplify flood extents and volumes, particularly for the most extreme floods. In contrast, reduced snowmelt dominates flood changes in northern Europe. Interestingly, floods of different magnitudes exhibit varied responses to global warming. Fo</w:t>
      </w:r>
    </w:p>
    <w:p>
      <w:r>
        <w:t>POSSIBLE 2025: Attribution of flood impacts shows strong benefits of adaptation in Europe since 1950 — https://doi.org/10.1126/sciadv.adt7068</w:t>
      </w:r>
    </w:p>
    <w:p>
      <w:r>
        <w:t>Shared claim-specific concepts: show, climate; EU scope visible. This is a provisional connection, not an outcome finding.</w:t>
      </w:r>
    </w:p>
    <w:p>
      <w:r>
        <w:t>Available abstract (not full text): Abstract Flood impacts in Europe are considered to be increasing, especially in connection to climate change. However, attribution of impacts to climatic and societal drivers of past floods has been limited to a selection of recent events. Here, we present an impact attribution study covering 1729 riverine, coastal and compound events that were responsible for the large majority of flood-related impacts in Europe between 1950 and 2020. We show that in most regions the magnitude of flood impacts has been regulated primarily by the opposing direct human actions. On the one hand, the population and economic value at risk have increased, exacerbated by land use change. However, it was compensated by improved risk management, manifested by better flood protection and lower vulnerability. Climate change and human alterations of river catchments were also important drivers in many regions, but ultimately less relevant for trends in total, continental-wide impacts. Overall, our study highlights the need for multidimensional impact attribution of past natural hazards. Attribution results for individual events are available on https://naturalhazards.eu/.</w:t>
      </w:r>
    </w:p>
    <w:p>
      <w:r>
        <w:t>POSSIBLE 2024: Typical earthworm assemblages of European ecosystem types — https://doi.org/10.1111/ejss.13584</w:t>
      </w:r>
    </w:p>
    <w:p>
      <w:r>
        <w:t>Shared claim-specific concepts: example, higher, existing; EU scope visible. This is a provisional connection, not an outcome finding.</w:t>
      </w:r>
    </w:p>
    <w:p>
      <w:r>
        <w:t>Available abstract (not full text): Abstract For nature conservation and planning, terrestrial ecosystems are commonly classified based on their plant communities. Although soils are fundamental to ecosystem functioning, ecosystem classifications based on soil organisms are rare, and it is poorly understood whether their assemblage compositions follow existing classification schemes. We examined whether commonly used ecosystem types capture variation in earthworm (Lumbricidae) assemblages—a crucial biotic component of soil ecosystems. To this end, we created four ecosystem classifications by combining large‐scale climatic classifications (Biogeographic Regions [BGR] and Holdridge Life Zones [HLZ]) with small‐scale land cover classifications (CORINE Land Cover [CLC] and European Nature Information System [EUNIS]). European earthworm assemblage data from the sWORM and Edaphobase databases were analysed for variation in composition within and among ecosystem types, using Permutational Analysis of Variance and Analysis of Similarities. Additionally, we used Typical Species Analysis to establish typical earthworm assemblages (TAs) for each ecosystem type. Ecosystem classifications using the BGR explained more variance than HLZ, but HLZ showed a higher separation of assemblages between ecosystem types. The differentiation between Atlantic and Continental climates in the BGR could explain the superiority over the HLZ, w</w:t>
      </w:r>
    </w:p>
    <w:p>
      <w:r>
        <w:t>POSSIBLE 2023: Additional substitutions in elite European football — https://doi.org/10.1177/17479541231164090</w:t>
      </w:r>
    </w:p>
    <w:p>
      <w:r>
        <w:t>Shared claim-specific concepts: additional, show; EU scope visible. This is a provisional connection, not an outcome finding.</w:t>
      </w:r>
    </w:p>
    <w:p>
      <w:r>
        <w:t>Available abstract (not full text): In 2020, the International Football Association Board (IFAB) introduced a temporary rule amendment of two additional substitutions in regular time. In this study, we assess the impact of this rule change with regard to player relief, tactical influence by the coaches and the development of young players. Data were collected from 3652 matches from the top 5 leagues in the Union of European Football Associations (UEFA) rankings and 659 UEFA club competition matches (Champions League and Europa League) in 2 different seasons (pre-rule amendment: 2018/2019 vs. post-rule amendment: 2020/2021), comparing leagues that introduced two additional substitutions with those that did not. The results show that with two additional substitutions, the reduction in player load was increased by 46%. Despite being used infrequently, the rule change resulted in 45% more substitutions and, therefore, greater tactical influence by the coaches. Furthermore, two additional substitutions benefit young players’ development with an 81% increase in playing time. While the aim of the temporary amendment to the laws of the game was achieved with the additional substitutions by compensating for the increased load on the players, coaches’ substitution behaviour shows potential for improvement.</w:t>
      </w:r>
    </w:p>
    <w:p>
      <w:r>
        <w:t>POSSIBLE 2023: Can sediments play a role in river flood risk mapping? Learning from selected European examples — https://doi.org/10.1186/s40677-023-00250-9</w:t>
      </w:r>
    </w:p>
    <w:p>
      <w:r>
        <w:t>Shared claim-specific concepts: additional, show, approach, climate, perspective; EU scope visible. This is a provisional connection, not an outcome finding.</w:t>
      </w:r>
    </w:p>
    <w:p>
      <w:r>
        <w:t>Available abstract (not full text): Abstract Background Climate change and increasing anthropogenic pressure are two of the major drivers of increasing extreme events like droughts and floods. To deal with the increasing number of flooding events hitting Europe in the last few decades, around twenty years ago the European Commission started to develop ad-hoc legislation to reduce flood risk by mapping flood hazard and risk areas, such as the Directive 2007/60/EC on the Assessment and Management of Flood Risk. This Directive looks to identify regions where flood management strategies should be prioritized. Despite this holistic approach, flaws connected to the consideration of sediment transport and morphological changes in rivers exist, leading to potential underestimations of the impact of floods affecting active watercourses or areas subjected to frequent morphological changes. Results By discussing six examples related to European lowland and mountain watercourses affected by significant floods in the last 20 years, the present mini-review aims to provide additional evidence on the need for a rethinking of flood risk mapping, moving from a “clear water” perspective to a more integrated approach, where the interactions between all the fluvial components (water, sediment, biota, and humans) are adequately considered. Conclusions The examples reported here show the importance of considering sediment and wood in f</w:t>
      </w:r>
    </w:p>
    <w:p>
      <w:r>
        <w:t>POSSIBLE 2023: Quantifying the effects of nature-based solutions in reducing risks from hydrometeorological hazards: Examples from Europe — https://doi.org/10.1016/j.ijdrr.2023.103771</w:t>
      </w:r>
    </w:p>
    <w:p>
      <w:r>
        <w:t>Shared claim-specific concepts: show, approach, climate; EU scope visible. This is a provisional connection, not an outcome finding.</w:t>
      </w:r>
    </w:p>
    <w:p>
      <w:r>
        <w:t>Available abstract (not full text): The combination of climate change and social and ecological factors will increase risks societies face from hydrometeorological hazards (HMH). Reducing these risks is typically achieved through the deployment of engineered (or grey) infrastructure but increasingly, nature-based solutions (NBS) are being considered. Most risk assessment frameworks do not allow capturing well the role NBS can play in addressing all components of risk, i.e., the hazard characteristics and the exposure and vulnerability of social-ecological systems. Recently, the Vulnerability and Risk assessment framework developed to allow the assessment of risks in the context of NBS implementation (VR-NBS framework) was proposed. Here, we carry out the first implementation of this framework using five case study areas in Europe which are exposed to various HMH. Our results show that we can demonstrate the effect NBS have in terms of risk reduction and that this can be achieved by using a flexible library of indicators that allows to capture the specificities of each case study hazard, social and ecological circumstances. The approach appears to be more effective for larger case study areas, but further testing is required in a broader variety of contexts.</w:t>
      </w:r>
    </w:p>
    <w:p>
      <w:r>
        <w:t>POSSIBLE 2020: Loess landscapes of Europe – Mapping, geomorphology, and zonal differentiation — https://doi.org/10.1016/j.earscirev.2020.103496</w:t>
      </w:r>
    </w:p>
    <w:p>
      <w:r>
        <w:t>Shared claim-specific concepts: additional, show, climate; EU scope visible. This is a provisional connection, not an outcome finding.</w:t>
      </w:r>
    </w:p>
    <w:p>
      <w:r>
        <w:t>Available abstract (not full text):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pPr>
        <w:pStyle w:val="Heading2"/>
      </w:pPr>
      <w:r>
        <w:t>Multi-Model Projections of River Flood Risk in Europe under Global Warming</w:t>
      </w:r>
    </w:p>
    <w:p>
      <w:r>
        <w:t>Original source (2018): https://doi.org/10.3390/cli6010006</w:t>
      </w:r>
    </w:p>
    <w:p>
      <w:r>
        <w:t>Original wording (abstract; indexed_source_text_not_full_document_verified): Knowledge on the costs of natural disasters under climate change is key information for planning adaptation and mitigation strategies of future climate policies. This work compares estimates of river flood risk in Europe from three recent case studies, assuming global warming scenarios of 1.5, 2, and 3 degrees Celsius from pre-industrial levels.</w:t>
      </w:r>
    </w:p>
    <w:p>
      <w:r>
        <w:t>POSSIBLE 2026: Systemic barriers and untapped potentials: a SWOT study on the implementation of natural/small water retention measures in Europe — https://doi.org/10.1016/j.jrurstud.2026.104099</w:t>
      </w:r>
    </w:p>
    <w:p>
      <w:r>
        <w:t>Shared claim-specific concepts: knowledge, natural, climate, adaptation, mitigation, case; EU scope visible. This is a provisional connection, not an outcome finding.</w:t>
      </w:r>
    </w:p>
    <w:p>
      <w:r>
        <w:t>Available abstract (not full text): There is strong evidence that ecosystem-based approaches, such as Natural/Small Water Retention Measures (NSWRMs) can be an important solution to problems associated with managing water quality and quantity, soil erosion, and nutrient loss. Moreover, they deliver multiple co-benefits such as increased biodiversity, climate change adaptation and mitigation, alongside aesthetic and recreational functions. However, despite their apparent advantages and significant political momentum for their expanded deployment, implementation of NSWRMs remains slow. This study asks why this is the case and employs a methodologically rigorous variant of the SWOT framework combining qualitative and quantitative (scoring and cluster analysis) elements to assess the exact barriers and potentials for increasing the NSWRMs’ implementation across Europe. The empirical analysis draws on case studies of fourteen small watersheds distributed across twelve European countries to explore the factors affecting the NSWRMs adoption, evaluate their relative importance, and identify necessary intervention areas for their better uptake. Our findings indicate that the main drivers for NSWRMs implementation are high knowledge availability through formal and informal networks, as well as support through advisory services. On the other hand, the main hindrances are inadequate financing schemes but also uncertain socie</w:t>
      </w:r>
    </w:p>
    <w:p>
      <w:r>
        <w:t>POSSIBLE 2025: Restoring semi-natural grasslands in Central Europe with plant material transfer – achievements, success factors, and knowledge transfer — https://doi.org/10.22029/jlupub-20455</w:t>
      </w:r>
    </w:p>
    <w:p>
      <w:r>
        <w:t>Shared claim-specific concepts: knowledge, climate, information, three; EU scope visible. This is a provisional connection, not an outcome finding.</w:t>
      </w:r>
    </w:p>
    <w:p>
      <w:r>
        <w:t>Available abstract (not full text): Since the industrial revolution, land use changes and intensification of use have drastically reduced the area of species-rich, semi-natural grasslands in Central Europe. Active restoration of these ecosystems is therefore necessary and increasingly demanded by legislation. One method to (re-)introduce target plant species is the transfer of seed-containing plant material cut from species-rich, semi-natural donor sites. Given the urgency of the restoration task, the aim of this thesis is to contribute to understanding the success factors of this method, particularly in practice. In a first study, 20 recipient sites of floodplain meadow restoration in Hesse, Germany, were revisited and investigated for vegetation composition in comparison to their corresponding donor sites 13-16 years after plant material transfer. To assess the potential for livestock feeding, biomass yield and energy contents were measured, too. In a second study, 41 recipient-donor site pairs from practical grassland restoration projects in different regions of Germany and Luxembourg spanning a broad moisture gradient were investigated. Vegetation was recorded, and soil analyses and information on restoration from the practice partners were used for success factor identification. In a third study, 33 practitioners of grassland restoration with plant material transfer were interviewed to compare their views on</w:t>
      </w:r>
    </w:p>
    <w:p>
      <w:r>
        <w:t>POSSIBLE 2025: A Soil Monitoring Law for Europe — https://doi.org/10.1002/gch2.202400336</w:t>
      </w:r>
    </w:p>
    <w:p>
      <w:r>
        <w:t>Shared claim-specific concepts: knowledge, natural, climate, estimates; EU scope visible. This is a provisional connection, not an outcome finding.</w:t>
      </w:r>
    </w:p>
    <w:p>
      <w:r>
        <w:t>Available abstract (not full text): Over 60% of European soils are unhealthy according to the Soil Mission board estimates and the indicators presented in the European Union (EU) Soil degradation dashboard. The situation may worsen if no policy interventions are taken. The unsustainable use of natural resources, in particular the degradation of soils, precipitates biodiversity loss, exacerbated by the climate crisis. In particular, in the EU alone, soil degradation costs over €50 billion per year due to the loss of essential services they provide and to the impact on human health. Here a more precise estimation of the soil degradation cost related to a set of soil degradation processes, ranging between €40.9 and 72.7 billion per year is presented. This newly updated estimate compared to the Impact assessment of the Soil Monitoring Law takes into account the costs of soil erosion, contamination, phosphorus losses, soil carbon losses, nitrogen losses, soil compaction, and soil sealing. However, this estimation might double if it is added to the costs of soil biodiversity loss, floods, droughts, off-site effects of soil erosion, and health consequences of soil contamination. Therefore, further research is needed to address this knowledge gap and estimate the missing costs. Soil degradation is a critical issue with transboundary implications that requires urgent attention and action at the EU level. The costs of soil</w:t>
      </w:r>
    </w:p>
    <w:p>
      <w:r>
        <w:t>POSSIBLE 2023: Biological Deterioration and Natural Durability of Wood in Europe — https://doi.org/10.3390/f14020283</w:t>
      </w:r>
    </w:p>
    <w:p>
      <w:r>
        <w:t>Shared claim-specific concepts: natural, climate, key, recent; EU scope visible. This is a provisional connection, not an outcome finding.</w:t>
      </w:r>
    </w:p>
    <w:p>
      <w:r>
        <w:t xml:space="preserve">Available abstract (not full text): In recent years, the use of wood has gained social interest, leading to a global increase in its demand. Yet, this demand is often covered by the production of woods of low natural durability against biological deterioration. The main biological agents with the potential to attack the structural integrity of wood are wood-decay fungi, saproxylic beetles, termites, and marine molluscs and crustaceans. In most circumstances, fungi are the main wood-deteriorating agents. To attack the cell wall, wood-decay fungi combine a complex enzymatic mechanism with non-enzymatic mechanisms based on low-molecular-weight compounds. In some cases, the larvae of saproxylic beetles can also digest cell wood components, causing serious deterioration to wooden structures. The impact of subterranean termites in Europe is concentrated in the Southern countries, causing important economic losses. However, alien invasive species of voracious subterranean termites are expanding their presence in Europe. Wooden elements in permanent contact with marine water can be readily deteriorated by mollusc and crustacean borers, for which current preservatives lack efficacy. The natural durability of wood is defined as the inherent resistance of wood to catastrophic action by wood-destroying organisms. Besides exposure to the climate, product design and use conditions, the natural durability of wood is key to the </w:t>
      </w:r>
    </w:p>
    <w:p>
      <w:r>
        <w:t>POSSIBLE 2022: Global economic costs and knowledge gaps of invasive gastropods — https://doi.org/10.1016/j.ecolind.2022.109614</w:t>
      </w:r>
    </w:p>
    <w:p>
      <w:r>
        <w:t>Shared claim-specific concepts: knowledge, information; EU scope visible. This is a provisional connection, not an outcome finding.</w:t>
      </w:r>
    </w:p>
    <w:p>
      <w:r>
        <w:t xml:space="preserve">Available abstract (not full text): Invasive alien gastropods are a particularly pervasive taxonomic group worldwide, often causing substantial impacts on aquatic and terrestrial ecosystems. Yet, much remains unknown about this invasive group’s economic costs to human society. Here, we used the InvaCost database to evaluate the taxonomic, spatial, and temporal patterns of economic costs associated with invasive gastropods on the global scale. In total, 13 species of invasive gastropods caused a cumulative global cost of US$ 3.94 billion over the period 1966–2020, with a majority being attributed to aquatic species ($ 3.72 billion, 94.4 %, concentrated mostly in Asia) and only $ 0.22 billion (5.6 %, concentrated mostly in Europe) to terrestrial species. Among different regions, Asia (3.71 billion) reported the greatest costs, compared to far lower costs reported in Europe (214.50 million), North America (13.80 million), Oceania (2.69 million), South America (&lt;1 million) and Africa (&lt;1 million). The vast majority (94.2 %) of these costs were due to the family Ampullariidae and the genus Pomacea (apple snails) which were largely reported in Asia. Furthermore, 88.4 % of total gastropod-related costs resulted from direct resource damages and losses, being one order of magnitude higher than management related costs (9.0 %). A majority (81.5 %) of total gastropod costs was incurred by agriculture, and relatively little </w:t>
      </w:r>
    </w:p>
    <w:p>
      <w:r>
        <w:t>POSSIBLE 2022: Closing the loop on plastics in Europe: The role of data, information and knowledge — https://doi.org/10.1016/j.spc.2022.08.019</w:t>
      </w:r>
    </w:p>
    <w:p>
      <w:r>
        <w:t>Shared claim-specific concepts: knowledge, key, information, policies, work, recent; EU scope visible. This is a provisional connection, not an outcome finding.</w:t>
      </w:r>
    </w:p>
    <w:p>
      <w:r>
        <w:t>Available abstract (not full text): Concerns over plastic waste and support for a plastic circular economy have been growing in recent years. Specific needs to promote re-circulation of plastics in terms of data, information and knowledge are poorly understood. Based on the multi-level perspective on socio-technical transitions and semi-structured interviews with key stakeholders, this paper aims to understand how information and knowledge issues may inhibit or foster the development of secondary plastics markets in Europe. Results highlight that key barriers associated with data-information-knowledge map across, and interact with, policies and standards, market and technology, socio-cultural norms, networks and business models. The packaging sector has drawn more policy attention, and institutions to support information sharing such as labelling and certification are more mature. The automotive and EEE sectors have illustrated knowledge diffusion through supply chain collaboration, while the construction sector appears to have slower practical progress on industry-level knowledge diffusion. This paper contributes to the multi-level perspective on transition studies by focusing the empirical work on a new area of plastic circular economy. The cases playing out across the whole value chain and four different application areas provide insights that are potentially more widely applicable to the circular economy tran</w:t>
      </w:r>
    </w:p>
    <w:p>
      <w:r>
        <w:t>POSSIBLE 2022: Global economic costs of mammal invasions — https://doi.org/10.1016/j.scitotenv.2022.159479</w:t>
      </w:r>
    </w:p>
    <w:p>
      <w:r>
        <w:t>Shared claim-specific concepts: knowledge, natural; EU scope visible. This is a provisional connection, not an outcome finding.</w:t>
      </w:r>
    </w:p>
    <w:p>
      <w:r>
        <w:t>Available abstract (not full text): Invasive alien mammals cause huge adverse ecological impact on human society and natural ecosystems. Although studies have estimated economic costs of mammal invasions at regional scales, there is lacking the large-scale comprehensive assessment of currency costs for this taxon. Here, we estimated the economic cost of invasive alien mammals on a global scale using the most comprehensive global database compiling economic costs of invasive species (InvaCost). From 1960 to 2021, mammal invasions caused costs (summing damage costs and management costs) of US$ 462.49 billion to the global economy, while the total amount of robust costs reached US$ 52.49 billion. The majority of the total economic costs corresponded to damage costs (90.27 %), while only 7.43 % were related to management cost. Economic costs showed an increasing trend over time. The distribution of costs was uneven among taxonomic groups and regions, with the global total cost highly biasing toward to 5 species (European rabbit, Domestic cat, Black rat, Wild boar and Coypu), and North America reporting much higher costs (60.78 % of total economic costs) than other regions. The total costs were borne by agriculture, environment, authorities stakeholders and other sectors. Geographic and taxonomic biases suggested that total economic costs caused by invasive alien mammals were underestimated. Integrated research effort</w:t>
      </w:r>
    </w:p>
    <w:p>
      <w:r>
        <w:t>POSSIBLE 2021: Economic costs of invasive alien species across Europe — https://doi.org/10.3897/neobiota.67.58196</w:t>
      </w:r>
    </w:p>
    <w:p>
      <w:r>
        <w:t>Shared claim-specific concepts: knowledge, information, recent; EU scope visible. This is a provisional connection, not an outcome finding.</w:t>
      </w:r>
    </w:p>
    <w:p>
      <w:r>
        <w:t xml:space="preserve">Available abstract (not full text): Biological invasions continue to threaten the stability of ecosystems and societies that are dependent on their services. Whilst the ecological impacts of invasive alien species (IAS) have been widely reported in recent decades, there remains a paucity of information concerning their economic impacts. Europe has strong trade and transport links with the rest of the world, facilitating hundreds of IAS incursions, and largely centralised decision-making frameworks. The present study is the first comprehensive and detailed effort that quantifies the costs of IAS collectively across European countries and examines temporal trends in these data. In addition, the distributions of costs across countries, socioeconomic sectors and taxonomic groups are examined, as are socio-economic correlates of management and damage costs. Total costs of IAS in Europe summed to US$140.20 billion (or €116.61 billion) between 1960 and 2020, with the majority (60%) being damage-related and impacting multiple sectors. Costs were also geographically widespread but dominated by impacts in large western and central European countries, i.e. the UK, Spain, France, and Germany. Human population size, land area, GDP, and tourism were significant predictors of invasion costs, with management costs additionally predicted by numbers of introduced species, research effort and trade. Temporally, invasion costs have </w:t>
      </w:r>
    </w:p>
    <w:p>
      <w:r>
        <w:t>POSSIBLE 2021: An institutional approach to vulnerability: evidence from natural hazard management in Europe — https://doi.org/10.1088/1748-9326/abe88c</w:t>
      </w:r>
    </w:p>
    <w:p>
      <w:r>
        <w:t>Shared claim-specific concepts: natural, climate, three, recent, case; EU scope visible. This is a provisional connection, not an outcome finding.</w:t>
      </w:r>
    </w:p>
    <w:p>
      <w:r>
        <w:t>Available abstract (not full text): Abstract Institutional vulnerability to natural hazards has not been thoroughly investigated until now. Yet, institutional vulnerability is strongly connected to all other vulnerability dimensions, and specific socio-economic and physical indicators. Moreover, different types of crises such as economic, political or health crisis strongly affect the institutional capacity of communities to deal with the consequences of natural hazards. For this reason, a deep insight to the institutional dimension of vulnerability is needed in order to reduce disaster risk under the effects of climate but also socio-economic change. In the present paper, institutional vulnerability is defined and its main pillars and drivers are identified. A framework is presented showing the interactions between the drivers of institutional vulnerability and the indicators of other vulnerability dimensions (physical, social, economic, cultural and environmental). The interactions between institutional vulnerability and other vulnerability dimensions are highlighted through three European case studies: Greece, the United Kingdom and Austria. The case studies show how current issues such as the recent financial crisis and Brexit, may directly influence the drivers of institutional vulnerability and consequently all other vulnerability dimensions. The framework and the case studies clearly indicate that institut</w:t>
      </w:r>
    </w:p>
    <w:p>
      <w:r>
        <w:t>POSSIBLE 2021: Addressing underwater noise in Europe: Current state of knowledge and future priorities — https://doi.org/10.5281/zenodo.5534223</w:t>
      </w:r>
    </w:p>
    <w:p>
      <w:r>
        <w:t>Shared claim-specific concepts: knowledge, natural, mitigation, strategies; EU scope visible. This is a provisional connection, not an outcome finding.</w:t>
      </w:r>
    </w:p>
    <w:p>
      <w:r>
        <w:t>Available abstract (not full text):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r>
        <w:t>POSSIBLE 2019: The Environmental Risks Associated With the Development of Seaweed Farming in Europe - Prioritizing Key Knowledge Gaps — https://doi.org/10.3389/fmars.2019.00107</w:t>
      </w:r>
    </w:p>
    <w:p>
      <w:r>
        <w:t>Shared claim-specific concepts: knowledge, key; EU scope visible. This is a provisional connection, not an outcome finding.</w:t>
      </w:r>
    </w:p>
    <w:p>
      <w:r>
        <w:t>Available abstract (not full text): Cultivation of kelp has been well established throughout Asia, and there is now growing interest in the cultivation of macroalgae in Europe to meet future resource needs. If this industry is to become established throughout Europe, then balancing the associated environmental risks with potential benefits will be necessary to ensure the carrying capacity of the receiving environments are not exceeded and conservation objects are not undermined. This is a systematic review of the ecosystem changes likely to be associated with a developing seaweed aquaculture industry. Monitoring recommendations are made by risk ranking environmental changes, highlighting the current knowledge gaps and providing research priorities to address them. Environmental changes of greatest concern were identified to include: facilitation of disease, alteration of population genetics and wider alterations to the local physiochemical environment. Current high levels of uncertainty surrounding the true extent of some environmental changes mean conservative risk rankings are given. Recommended monitoring options are discussed that aim to address uncertainty and facilitate informed decision-making. Whilst current small-scale cultivation projects are considered ‘low risk’, an expansion of the industry that includes ‘large-scale’ cultivation will necessitate a more complete understanding of the scale dependent c</w:t>
      </w:r>
    </w:p>
    <w:p>
      <w:pPr>
        <w:pStyle w:val="Heading2"/>
      </w:pPr>
      <w:r>
        <w:t>New European socio-economic scenarios for climate change research: operationalising concepts to extend the shared socio-economic pathways</w:t>
      </w:r>
    </w:p>
    <w:p>
      <w:r>
        <w:t>Original source (2018): https://doi.org/10.1007/s10113-018-1400-0</w:t>
      </w:r>
    </w:p>
    <w:p>
      <w:r>
        <w:t>Original wording (abstract; indexed_source_text_not_full_document_verified): Scenarios have been recognised as a useful tool for planning, which have resulted in a strong increase in the number of (multi-scale) scenarios in climate change research. We present a set of four European SSPs until 2100 and a novel method to develop qualitative stories for Europe equivalent to the global SSPs starting from an existing set of European scenarios.</w:t>
      </w:r>
    </w:p>
    <w:p>
      <w:r>
        <w:t>POSSIBLE 2026: Ventilator built-in software: is it a useful and reliable tool? — https://doi.org/10.23866/brnrev:2026-0005</w:t>
      </w:r>
    </w:p>
    <w:p>
      <w:r>
        <w:t>Shared claim-specific concepts: useful, tool, novel; EU scope not established. This is a provisional connection, not an outcome finding.</w:t>
      </w:r>
    </w:p>
    <w:p>
      <w:r>
        <w:t>Available abstract (not full text): Home mechanical ventilation devices incorporate built-in software (BIS) that continuously records adherence, leaks, tidal volume, respiratory rate, and the apnea-hypopnea index (AHI), constituting a fundamental pillar in the follow-up of patients with chronic respiratory failure on non-invasive ventilation.Reliability of leak estimation and AHI varies considerably between manufacturers.The predictive use of BIS for early detection of chronic obstructive pulmonary disease (COPD) exacerbations is promising but requires prospective validation.Telemonitoring integrates BIS with cloud platforms, enabling remote adjustment and early warning, although hospitalisation reduction in severe COPD remains unproven.Artificial intelligence and Big Data represent the most novel frontier.Ideal software should provide full access to ventilator parameters and alarms, simultaneous multi-signal visualization, transcutaneous capnography integration, and manual event correction tools.</w:t>
      </w:r>
    </w:p>
    <w:p>
      <w:r>
        <w:t>POSSIBLE 2025: Digital design as a tool for teaching primary schools’ students to recognise artistic techniques in texts — https://doi.org/10.1177/20427530251358506</w:t>
      </w:r>
    </w:p>
    <w:p>
      <w:r>
        <w:t>Shared claim-specific concepts: tool, increase, develop; EU scope not established. This is a provisional connection, not an outcome finding.</w:t>
      </w:r>
    </w:p>
    <w:p>
      <w:r>
        <w:t>Available abstract (not full text): The aim of the study was to investigate the potential of digital design for the development of art recognition skills in primary school students. To achieve this goal, methods of analysis were applied, which included a comparative study of global and national educational platforms, an assessment of their potential for building literary skills, and a content analysis of instructional texts. The methodological approach was based on the integration of data on the effectiveness of digital technologies, the use of multimedia and visualisation in educational practice. The study revealed that educational platforms such as Canva, Popplet, Padlet and Book Creator play a key role in the development of creative thinking, analytical and visualisation skills in primary school students. The Kazakh platforms BilimLand, Opiq. kz, Daryn. online and iMektep have demonstrated their effectiveness by adapting to the national context and integrating interactive tasks that facilitate the analysis of literary texts. Digital design incorporating multimedia elements, gamification and interactive presentations was found to significantly increase student engagement and improve their understanding of complex literary devices such as metaphors, hyperbole and epithets. The study also showed that digital competencies are an integral part of the educational process, fostering students’ critical thinking, indep</w:t>
      </w:r>
    </w:p>
    <w:p>
      <w:r>
        <w:t>POSSIBLE 2025: Scaling Decision‐Support Tools to Promote Soil Health: Insights From Stakeholders in Europe and Turkey — https://doi.org/10.1111/ejss.70113</w:t>
      </w:r>
    </w:p>
    <w:p>
      <w:r>
        <w:t>Shared claim-specific concepts: tool, climate, set, develop; EU scope visible. This is a provisional connection, not an outcome finding.</w:t>
      </w:r>
    </w:p>
    <w:p>
      <w:r>
        <w:t>Available abstract (not full text):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r>
        <w:t>POSSIBLE 2023: Nitrogen palaeo-isoscapes: Changing spatial gradients of faunal δ15N in late Pleistocene and early Holocene Europe — https://doi.org/10.1371/journal.pone.0268607</w:t>
      </w:r>
    </w:p>
    <w:p>
      <w:r>
        <w:t>Shared claim-specific concepts: recognised, useful, tool, climate, present; EU scope visible. This is a provisional connection, not an outcome finding.</w:t>
      </w:r>
    </w:p>
    <w:p>
      <w:r>
        <w:t>Available abstract (not full text): Nitrogen isotope ratio analysis (δ15N) of animal tissue is widely used in archaeology and palaeoecology to investigate diet and ecological niche. Data interpretations require an understanding of nitrogen isotope compositions at the base of the food web (baseline δ15N). Significant variation in animal δ15N has been recognised at various spatiotemporal scales and related to changes both in baseline δ15N, linked to environmental and climatic influence on the terrestrial nitrogen cycle, and animal ecology. Isoscapes (models of isotope spatial variation) have proved a useful tool for investigating spatial variability in biogeochemical cycles in present-day marine and terrestrial ecosystems, but so far, their application to palaeo-data has been more limited. Here, we present time-sliced nitrogen isoscapes for late Pleistocene and early Holocene Europe (c. 50,000 to 10,000 years BP) using herbivore collagen δ15N data. This period covers the Last Glacial-Interglacial Transition, during which significant variation in the terrestrial nitrogen cycle occurred. We use generalized linear mixed modelling approaches for interpolation and test models which both include and exclude climate covariate data. Our results show clear changes in spatial gradients of δ15N through time. Prediction of the lowest faunal δ15N values in northern latitudes after, rather than during, the Last Glacial Maximum i</w:t>
      </w:r>
    </w:p>
    <w:p>
      <w:r>
        <w:t>POSSIBLE 2023: Birds in Europe 4: the fourth assessment of Species of European Conservation Concern — https://doi.org/10.1017/s0959270923000187</w:t>
      </w:r>
    </w:p>
    <w:p>
      <w:r>
        <w:t>Shared claim-specific concepts: number, four; EU scope visible. This is a provisional connection, not an outcome finding.</w:t>
      </w:r>
    </w:p>
    <w:p>
      <w:r>
        <w:t>Available abstract (not full text): Summary This is the fourth comprehensive assessment of the population status of all wild bird species in Europe. It identifies Species of European Conservation Concern (SPECs) so that action can be taken to improve their status. Species are categorised according to their global extinction risk, the size and trend of their European population and range, and Europe’s global responsibility for them. Of the 546 species assessed, 207 (38%) are SPECs: 74 (14%) of global concern (SPEC 1); 32 (6%) of European concern and concentrated in Europe (SPEC 2); and 101 (18%) of European concern but not concentrated in Europe (SPEC 3). The proportion of SPECs has remained similar (38–43%) across all four assessments since 1994, but the number of SPEC 1 species of global concern has trebled. The 44 species assessed as Non-SPECs in the third assessment (2017) but as SPECs here include multiple waders, raptors and passerines that breed in arctic, boreal or alpine regions, highlighting the growing importance of northern Europe and mountain ecosystems for bird conservation. Conversely, the 62 species assessed as SPECs in 2017 but as Non-SPECs here include various large waterbirds and raptors that are recovering due to conservation action. Since 1994, the number of specially protected species (listed on Annex I of the EU Birds Directive) qualifying as SPECs has fallen by 33%, while the number of hunt</w:t>
      </w:r>
    </w:p>
    <w:p>
      <w:r>
        <w:t>POSSIBLE 2021: Logo as a Tool of European Union Countries’ Destination Branding — https://doi.org/10.4467/23540214zm.21.033.14576</w:t>
      </w:r>
    </w:p>
    <w:p>
      <w:r>
        <w:t>Shared claim-specific concepts: tool, method; EU scope visible. This is a provisional connection, not an outcome finding.</w:t>
      </w:r>
    </w:p>
    <w:p>
      <w:r>
        <w:t>Available abstract (not full text): Developing a coherent and comprehensive brand of a country is of vital importance for a destination in the contemporary global world. There seems to be a recognizable gap in the literature regarding the application of visual signs practiced in country branding. The subject of the study: The research identifies the logos of the European Union countries used in place branding. The purpose of the study is the exploration of the logo content from the senders’ perspective, i.e., the structures and organizations responsible for the country branding. There are many reasons why logos are used in place branding practice. The authors decided to focus on the logo as a form of controlled and projected message communicated via media and ICT. Cognitive gap: The research conducted so far has focused on the reception of logos by the recipients. The presented research attempts to examine the visual message contained in logos from the senders’ perspective. Research methods and data collection techniques: The content analysis method was used to study the visual identity of the countries. The authors collected logos and scrutinised them using Beyrow and Vogt as well as Mollerup’s taxonomy. The results of the study illustrate how governmental institutions, which are responsible for country branding, portray countries using visual identity on the Internet, social media, and their own media.</w:t>
      </w:r>
    </w:p>
    <w:p>
      <w:r>
        <w:t>POSSIBLE 2020: Professional Wargaming: A Flawed but Useful Tool — https://doi.org/10.1177/1046878120901852</w:t>
      </w:r>
    </w:p>
    <w:p>
      <w:r>
        <w:t>Shared claim-specific concepts: useful, tool, planning, set, develop; EU scope not established. This is a provisional connection, not an outcome finding.</w:t>
      </w:r>
    </w:p>
    <w:p>
      <w:r>
        <w:t>Available abstract (not full text): Rationale for the Article. Professional wargames have long been an integral part of the tool set used by the military. The literature includes many examples of wargames that have been successful in terms of training, military education, procurement, operational analysis and planning for war. However, retrospective examination demonstrates that many of these professional wargames also had major errors in them and by implication current games about future confrontations are similarly flawed. Nevertheless, the academic evidence is clear that such games are still invaluable tools. Methodology. Ten years of research into the development of wargames undertaken by the History of Wargaming Project has analysed and made generally available more professional wargames than ever before. Retrospective examination of a sample of these declassified games, from the British War Office Rules (1896) to more recent games about the Ukraine, shows significant errors. Value. Demonstrating that professional games had errors in the past opens challenges the overconfidence in the predictive capacity of games. It also raises the possibility for future research to identify game design bias and to develop better games in the future. Understanding the value of better games, even with their inherent issues, raise the possibility of better preparing decision makers for the future. Notes. The words wargame and</w:t>
      </w:r>
    </w:p>
    <w:p>
      <w:r>
        <w:t>POSSIBLE 2019: Market survey recently recognised as a persuasive tool to solve trademark disputes in China — https://doi.org/10.4324/9780429316395-6</w:t>
      </w:r>
    </w:p>
    <w:p>
      <w:r>
        <w:t>Shared claim-specific concepts: recognised, useful, tool; EU scope visible. This is a provisional connection, not an outcome finding.</w:t>
      </w:r>
    </w:p>
    <w:p>
      <w:r>
        <w:t>Available abstract (not full text): This chapter focuses on the decision concerning the trademark of the Chinese characters of the transliteration of Jordan, and especially the facts and legal issues surrounding market survey. China’s Trademark Law provides for the “prior right doctrine” as one of the grounds to refuse to grant trademark registration. In some jurisdictions, such as the United States and European Union, market surveys have been recognised as useful tools to deal with trademark disputes. Market surveys have been used to measure the major issues in trademark law: likelihood of confusion, generic terms, secondary meaning, deception, fame, and likelihood of dilution. The rights and interests stipulated under the laws shall be enjoyed by entities and protected against later trademark registration that might undermine those rights and interests. China’s Trademark Law provides that an application for trademark registration shall not infringe the prior right of another person.</w:t>
      </w:r>
    </w:p>
    <w:p>
      <w:pPr>
        <w:pStyle w:val="Heading2"/>
      </w:pPr>
      <w:r>
        <w:t>Outlook of the European forest-based sector: forest growth, harvest demand, wood-product markets, and forest carbon dynamics implications</w:t>
      </w:r>
    </w:p>
    <w:p>
      <w:r>
        <w:t>Original source (2018): https://doi.org/10.3832/ifor2636-011</w:t>
      </w:r>
    </w:p>
    <w:p>
      <w:r>
        <w:t>Original wording (abstract; indexed_source_text_not_full_document_verified): In a business-as-usual (BaU) scenario, European Union harvests increase seven percent by 2030 compared to past levels (485 million m3 on 2000-2012 average and 517 million m3 in 2030). In the HM scenario, harvest increases by 55% (754 million m3 in 2030) compared to the BaU scenario.</w:t>
      </w:r>
    </w:p>
    <w:p>
      <w:r>
        <w:t>POSSIBLE 2026: Selective Deconstruction Versus Business-as-Usual Demolition: An LCA-Based Assessment of CDW Management Scenarios — https://doi.org/10.1007/978-3-032-34930-9_58</w:t>
      </w:r>
    </w:p>
    <w:p>
      <w:r>
        <w:t>Shared claim-specific concepts: business-as-usual, bau, compared; EU scope not established. This is a provisional connection, not an outcome finding.</w:t>
      </w:r>
    </w:p>
    <w:p>
      <w:r>
        <w:t>Available abstract (not full text): Pre-demolition audits represent a key instrument for enabling selective deconstruction and improving the environmental performance of construction and demolition waste (CDW) management. This paper presents a life cycle assessment (LCA)–based case study in which a pre-demolition audit and the subsequent real deconstruction of a administrative building were used to systematically map and evaluate alternative CDW management scenarios. The study compares a real deconstruction scenario, implemented on the basis of a detailed pre-demolition audit, with a conventional business-as-usual (BAU) scenario reflecting standard demolition and waste treatment practices. The system boundary covers demolition-related life cycle modules C2–C4 and benefits beyond the system boundary (module D), including transport, processing, disposal, and recycling benefits, in accordance with EN 15804 + A2. Modelling was performed in SimaPro software using the ecoinvent 3.7 database. The results show that the real scenario based on selective deconstruction achieved substantially higher environmental benefits than the BAU scenario. Overall, the selective approach resulted in a net saving of 872 t CO 2 equivalent, corresponding to approximately 15% higher climate benefits compared to conventional demolition practices. Transport impacts were found to be relatively low, while the most significant environmental bene</w:t>
      </w:r>
    </w:p>
    <w:p>
      <w:r>
        <w:t>POSSIBLE 2025: Assessing the Air Quality Impacts of Net-Zero GHG Emissions in Europe and Switzerland with ICON-ART — https://doi.org/10.5194/egusphere-egu25-2578</w:t>
      </w:r>
    </w:p>
    <w:p>
      <w:r>
        <w:t>Shared claim-specific concepts: business-as-usual, bau, union, levels; EU scope visible. This is a provisional connection, not an outcome finding.</w:t>
      </w:r>
    </w:p>
    <w:p>
      <w:r>
        <w:t>Available abstract (not full text): The European Union and the Swiss Federal Council have both set the ambitious goal of achieving net-zero greenhouse gas (GHG) emissions by 2050. While reducing fossil fuel use is widely assumed to improve air quality due to the co-emission of air pollutants during fossil fuel combustion, specific choices regarding alternative energy sources and changes in the building, industrial, and agricultural sectors may have very different and potentially detrimental impacts on air quality.In this context, we study the air quality implications of transitioning to a net-zero GHG society in Europe and Switzerland by comparing two distinct scenarios for the year 2050: a net-zero pathway and a business-as-usual (BAU) scenario. The BAU scenario reflects the continuation of current energy policies without additional measures to achieve net-zero emissions. Comparing the BAU and net-zero scenarios allows us to assess how transformations in energy systems and associated changes in anthropogenic emissions shape the levels, composition, and dynamics of air pollutants.Our analysis is based on simulations conducted with the state-of-the-art atmospheric chemistry and transport model ICON-ART. We have incorporated the latest MOZART tropospheric chemistry scheme to accurately represent key oxidation processes involving ozone, nitrogen oxides, and volatile organic compounds. ICON-ART also features advanced</w:t>
      </w:r>
    </w:p>
    <w:p>
      <w:r>
        <w:t>POSSIBLE 2025: Gallium: Assessing the Long-Term Future Extraction, Supply, Recycling, and Price of Using WORLD7, in Relation to Future Technology Visions in the European Union — https://doi.org/10.1007/s41247-025-00125-7</w:t>
      </w:r>
    </w:p>
    <w:p>
      <w:r>
        <w:t>Shared claim-specific concepts: business-as-usual, bau, union, increase, million, increases; EU scope visible. This is a provisional connection, not an outcome finding.</w:t>
      </w:r>
    </w:p>
    <w:p>
      <w:r>
        <w:t>Available abstract (not full text): The gallium resources were assessed and used as input to long-term simulations using the WORLD7 model. The content of gallium in different mother ores has been estimated to be about 14.7 million tons of gallium. Much of this is not accessible because of low extraction yields, about 610,000 tons gallium appear to be extractable (4%) with present practices. The gallium content in all source metal refining residuals is about 51,000 ton/yr, but only a production of 1,374 ton/yr appears as the maximum with present technology and conditions. The actual gallium production was about 450 ton/yr in 2023. The gallium price is very sensitive to increases in demand, and production is not very likely to be able to rapidly increase. The simulations show that soft gallium scarcity sets in after 2028 and physical scarcity will occur about 2060. Better gallium extraction and recycling yields may push the scarcity date forward to 2100. 60% of the gallium demand for photovoltaic technology can be satisfied in the long term. To improve the situation and prevent scarcity, extractive access, gallium extraction yields, and recycling yields must be significantly improved to better than 50%. At present, the overall yields are 7-15%. Increasing extraction yields and recycling yields can reduce the shortage. The long-term sustainable extraction is under Business-as-Usual about 300 tons gallium per year, a</w:t>
      </w:r>
    </w:p>
    <w:p>
      <w:r>
        <w:t>POSSIBLE 2024: Beneficial use of sediments, tools, pilot sites and measuring techniques developed and used within seven European Union INTERREG projects — https://doi.org/10.1007/s11368-024-03811-z</w:t>
      </w:r>
    </w:p>
    <w:p>
      <w:r>
        <w:t>Shared claim-specific concepts: bau, union, seven, compared; EU scope visible. This is a provisional connection, not an outcome finding.</w:t>
      </w:r>
    </w:p>
    <w:p>
      <w:r>
        <w:t>Available abstract (not full text): Abstract Purpose The EU Water Framework Directive (European Union Off J Eur Comm 2000) and EU Waste Framework Directive (European Union Off J Euro Union 2008) impacted the Beneficial Use (BU) of sediments in Europe. INTERREG has supported initiatives to change the perception that sediments are a waste. In this paper we provide an overview of tools, pilot sites and measuring techniques developed and used for the BU of sediments within seven European Union INTERREG projects. We illustrate the lessons learned regarding barriers and enablers for BU of sediments. Materials and methods BU of sediments is a combination of factors. The following aspects are considered. The sediment must be suitable for use and be in engineering compliance. The sediment must also need to meet the end of waste criteria, as well as to be in environmental compliance. To check in the field if engineering and environmental compliance is feasible, on-site analyses and decision support tools are needed. When BU use is possible, there must be a benefit, either in an added socio-economic value or in ecosystem services. To define benefits the impact of Business as Usual (BAU) should also be expressed. Stakeholder perception and spatial restraints determine areas for BU of sediments with spatial consensus. Results and discussion The pilots and case studies described in this paper are examples of different applicat</w:t>
      </w:r>
    </w:p>
    <w:p>
      <w:r>
        <w:t>POSSIBLE 2022: The joint impact of the European Union emissions trading system on carbon emissions and economic performance — https://doi.org/10.1016/j.jeem.2022.102758</w:t>
      </w:r>
    </w:p>
    <w:p>
      <w:r>
        <w:t>Shared claim-specific concepts: union, increase; EU scope visible. This is a provisional connection, not an outcome finding.</w:t>
      </w:r>
    </w:p>
    <w:p>
      <w:r>
        <w:t>Available abstract (not full text): This paper investigates the impact of the European Union Emissions Trading System (EU ETS) on carbon emissions and economic performance based on a matching methodology exploiting installation-level inclusion criteria combined with difference-in-differences. Installation-level data from national Polluting Emissions Registries in France, Netherlands, Norway and the United Kingdom point to a reduction in carbon emissions in the order of −10% between 2005 and 2012, in line with existing micro and macro evidence. Meanwhile, firm-level data on the 31 ETS-regulated countries shows that the EU ETS had no significant impact on profits and employment, and led to an increase in regulated firms' revenues and fixed assets. We explore various explanations for these findings.</w:t>
      </w:r>
    </w:p>
    <w:p>
      <w:r>
        <w:t>POSSIBLE 2022: Comparison of European Union and Korean Applications of the Best Available Technology (BAT) Concept to Environmental Policy Areas in Consideration of BAT Baseline Methodology in the Carbon Market — https://doi.org/10.15531/ksccr.2022.13.1.047</w:t>
      </w:r>
    </w:p>
    <w:p>
      <w:r>
        <w:t>Shared claim-specific concepts: business-as-usual, bau, union; EU scope visible. This is a provisional connection, not an outcome finding.</w:t>
      </w:r>
    </w:p>
    <w:p>
      <w:r>
        <w:t>Available abstract (not full text): Article 6.4 of the Paris Agreement introduces a baseline-and-crediting mechanism, the so-called sustainable development mechanism (SDM), which allows parties to meet their nationally determined contributions (NDCs). Currently, various options for baseline methodologies are being considered and negotiated as a part of the implementation rules of Article 6.4 of the Paris Agreement for greenhouse gas emission reduction projects. The best available technology (BAT) baseline methodology has been increasingly emphasized as an alternative to historical emission, business-as-usual (BAU), and performance-based baseline methodologies. However, the application of the BAT baseline methodology in the international carbon market remains under-explored. Also, the rise of the BAT baseline methodology had attracted attention to the concept of BAT in environmental policies and practices. Therefore, this paper attempts to examine the meaning of the BAT concept and BAT application in related environmental policies to ultimately explore strategic ways that the BAT baseline methodology can be used under the SDM in an integrated manner amongst related policy fields. First, this paper sets three policy areas where the concepts of BAT are applied, and they are the i) integrated pollution and prevention control policy, ii) cap-and-trade policy in the carbon market, and iii) baseline-and-crediting mechan</w:t>
      </w:r>
    </w:p>
    <w:p>
      <w:pPr>
        <w:pStyle w:val="Heading2"/>
      </w:pPr>
      <w:r>
        <w:t>PROGNOSTIC MODEL OF THE UKRAINE SYSTEM OF GENERAL SECONDARY EDUCATION DEVELOPMENT: FORECASTING SCENARIOS OF THE DEVELOPMENT</w:t>
      </w:r>
    </w:p>
    <w:p>
      <w:r>
        <w:t>Original source (2018): https://doi.org/10.32405/2411-1317-2018-4-45-53</w:t>
      </w:r>
    </w:p>
    <w:p>
      <w:r>
        <w:t>Original wording (abstract; indexed_source_text_not_full_document_verified): The article is presented four forecasting scenarios Ukraine system of general secondary education development (optimistic, first realistic with positive profile characteristics, second realistic with positive background characteristics and pessimistic), described the content of each forecasting scenario, and indicated the main external and internal factors, which will contribute to its implementation.</w:t>
      </w:r>
    </w:p>
    <w:p>
      <w:r>
        <w:t>POSSIBLE 2024: Four influential recent Canadian Medical Education Journal articles presented at the International Congress for Medical Education — https://doi.org/10.36834/cmej.79278</w:t>
      </w:r>
    </w:p>
    <w:p>
      <w:r>
        <w:t>Shared claim-specific concepts: article, presented, four, education; EU scope not established. This is a provisional connection, not an outcome finding.</w:t>
      </w:r>
    </w:p>
    <w:p>
      <w:r>
        <w:t>Available abstract (not full text): Four influential recent Canadian Medical Education Journal articles presented at the International Congress for Medical Education. An article from journal Canadian Medical Education Journal / Revue canadienne de l'éducation médicale (Volume 15, Number 2, 2024, pp. 1-115), on Érudit.</w:t>
      </w:r>
    </w:p>
    <w:p>
      <w:r>
        <w:t>POSSIBLE 2021: REVIEW ARTICLE ON THE MITIGATION OF FOUR WAVE MIXING IN OPTICAL COMMUNICATION SYSTEM — https://doi.org/10.51459/futajeet.2021.15.1.266</w:t>
      </w:r>
    </w:p>
    <w:p>
      <w:r>
        <w:t>Shared claim-specific concepts: article, four, system, main; EU scope not established. This is a provisional connection, not an outcome finding.</w:t>
      </w:r>
    </w:p>
    <w:p>
      <w:r>
        <w:t>Available abstract (not full text): The main challenge faced in today's telecommunication is the ever increasing demand for bandwidth and data rates. The desire to expand the capacity of fiber optic communication to accommodate this demand accelerated the development of high capacity Dense Wavelength Division Multiplexing (DWDM) transmission equipment. However, nonlinear impairments are the fundamental limiting mechanisms to the amount of data that can be transmitted in DWDM. In DWDM, Four Wave Mixing is the most critical of nonlinear effects in fibre optics communication. This effect limits the DWDM’s channel capacity. There are numerous researches on nonlinear impairments that show the intricacy of FWM phenomena in DWDM system. This article present review of the several measures which have been carried out by researchers to overcome nonlinear effects in DWDM. Such measures include Modulation Formats, Channel Spacing, Channel Shuffling Algorithm and Electro-Optic Phase Modulation. The review provides insight into the methods, parameters and approaches used by other researchers. This will pave way for can thus lead to significant improvement in the design of DWDM system.</w:t>
      </w:r>
    </w:p>
    <w:p>
      <w:r>
        <w:t>POSSIBLE 2020: Four approaches to anticipatory climate governance: Different conceptions of the future and implications for the present — https://doi.org/10.1002/wcc.673</w:t>
      </w:r>
    </w:p>
    <w:p>
      <w:r>
        <w:t>Shared claim-specific concepts: article, four, system, each; EU scope not established. This is a provisional connection, not an outcome finding.</w:t>
      </w:r>
    </w:p>
    <w:p>
      <w:r>
        <w:t xml:space="preserve">Available abstract (not full text): Abstract In times of accelerating earth system transformations and their potentially disruptive societal consequences, imagining and governing the future is now a core challenge for sustainability research and practice. Much social science and sustainability science scholarship increasingly engages with the future. There is, however, a lack of scrutiny of how the future is envisioned in these literatures, and with what implications for governance in the present. This article analyses these two aspects, building on the concept of “anticipatory governance.” We understand anticipatory governance to broadly mean governing in the present to adapt to or shape uncertain futures. We review perspectives within public policy, futures studies, social–ecological systems, environmental policy and governance, transition studies, science and technology studies, and responsible research and innovation literatures. All these literatures engage explicitly or implicitly with the notion of anticipatory governance, yet from distinct ontological and epistemological starting points. Through our review, we identify four approaches to anticipatory governance that differ with regard to (a) their conceptions of and engagement with the future; (b) their implications for actions to be taken in the present; and (c) the ultimate end to be realized through anticipatory governance. We then map onto these four </w:t>
      </w:r>
    </w:p>
    <w:p>
      <w:r>
        <w:t>POSSIBLE 2020: The evolution of the Offshore US-Dollar System: past, present and four possible futures — https://doi.org/10.1017/s1744137420000168</w:t>
      </w:r>
    </w:p>
    <w:p>
      <w:r>
        <w:t>Shared claim-specific concepts: article, four, system; EU scope not established. This is a provisional connection, not an outcome finding.</w:t>
      </w:r>
    </w:p>
    <w:p>
      <w:r>
        <w:t>Available abstract (not full text): Abstract Little has contributed more to the emergence of today's world of financial globalization than the setup of the international monetary system. In its current shape, it has a hierarchical structure with the US-Dollar (USD) at the top and various other monetary areas forming a multilayered periphery to it. A key feature of the system is the creation of USD offshore – a feature that in the 1950s and 60s developed in co-evolution with the Bretton Woods System and in the 1970s replaced it. Since the 2007–9 Financial Crisis, this ‘Offshore US-Dollar System’ has been backstopped by the Federal Reserve's network of swap lines which are extended to other key central banks. This systemic evolution may continue in the decades to come, but other systemic arrangements are possible as well and have historical precedents. This article discusses four trajectories that would lead to different setups of the international monetary system by 2040, taking into account how its hierarchical structure and the role of offshore credit money creation may evolve. In addition to a continuation of USD hegemony, we present the emergence of competing monetary blocs, the formation of an international monetary federation and the disintegration into an international monetary anarchy.</w:t>
      </w:r>
    </w:p>
    <w:p>
      <w:r>
        <w:t>POSSIBLE 2020: Interrater Reliability of Four Neurological Scales for Patients Presenting to the Emergency Department — https://doi.org/10.5005/jp-journals-10071-23603</w:t>
      </w:r>
    </w:p>
    <w:p>
      <w:r>
        <w:t>Shared claim-specific concepts: article, four, background, each; EU scope not established. This is a provisional connection, not an outcome finding.</w:t>
      </w:r>
    </w:p>
    <w:p>
      <w:r>
        <w:t>Available abstract (not full text): BACKGROUND: Altered mental status (AMS) comprises a group of clinical symptoms rather than a specific diagnosis. A variety of neurological scales have been used to monitor these patients, including the Glasgow coma scale (GCS), AVPU (alert, responds to verbal stimuli, responds to painful stimuli, unresponsive) scale, and ACDU (alert, confused, drowsy, unresponsive) scale. The simplified motor scale (SMS) has been found to be a potential replacement for the GCS. In this study, we compare the interrater reliability of the GCS (individual components), AVPU, ACDU, and SMS to patients presenting to the ED with AMS. MATERIALS AND METHODS: This was a prospective observational study conducted in the emergency department of an urban tertiary-care hospital in New Delhi, India. Patients with AMS (traumatic and nontraumatic) presenting to the ED were assessed by two emergency physicians within 10 minutes of each other using the four neurological scales. Percentage agreement and kappa coefficient score were used to determine interrater reliability for SMS, individual components of GCS, AVPU, and ACDU. RESULTS: The SMS had the best inter-rater percent agreement with 83.91% (95% CI 77.7-88.6%), followed by ACDU which was 76.44% (95% CI 69.0-81.6%), AVPU 75.29% (95% CI 67.8-80.6%), GCS Eye 74.14% (95% CI 66.6-79.6%), GCS Verbal 67.82% (95% CI 60.6-74.3%), and GCS Motor was 64.94% (95% CI 57.6-</w:t>
      </w:r>
    </w:p>
    <w:p>
      <w:r>
        <w:t>POSSIBLE 2020: From mediated actions to heterogenous coalitions: four generations of activity-theoretical studies of work and learning — https://doi.org/10.1080/10749039.2020.1806328</w:t>
      </w:r>
    </w:p>
    <w:p>
      <w:r>
        <w:t>Shared claim-specific concepts: article, presented, four, system, each, main; EU scope not established. This is a provisional connection, not an outcome finding.</w:t>
      </w:r>
    </w:p>
    <w:p>
      <w:r>
        <w:t>Available abstract (not full text): The article outlines four generations of theorizing and research on work and learning within the Finnish school of activity theory. The main focus of the paper is on the evolution of the unit of analysis through the four generations, from mediated action to a collective activity system, to multiple-interconnected activity systems, and most recently to heterogenous work coalitions aimed at resolving wicked societal problems. We examine how learning and agency are conceptualized in each generation, and what kinds of interventions are conducted in the projects presented as examples of the four generations. We conclude that the four generations of activity-theoretical studies of work and learning continue to co-exist. To meet the challenges of work in today’s world, activity theory must seriously engage in the development of its fourth generation, building on ideas and instruments developed by the preceding generations.</w:t>
      </w:r>
    </w:p>
    <w:p>
      <w:r>
        <w:t>POSSIBLE 2019: Headings in the four journals — https://doi.org/10.4324/9781003009344-4</w:t>
      </w:r>
    </w:p>
    <w:p>
      <w:r>
        <w:t>Shared claim-specific concepts: article, presented, four; EU scope not established. This is a provisional connection, not an outcome finding.</w:t>
      </w:r>
    </w:p>
    <w:p>
      <w:r>
        <w:t>Available abstract (not full text): This chapter explores the differences between the four journals, using both corpus and discourse analytic methods. The four journals are: Agriculture, Ecosystems and Environment, Global Environmental Change, Plant Science, and Resource and Energy Economics. The chapter examines the linguistic features of the headings. The headings construct the readers as active members of the discourse, and the headings are presented as more than labelling acts that follow a convention – they are a part of the dialogue that is established in the article. The Introduction – Methods – Results – Discussion article is a conventionalised text type that performs the function of allowing scientists to communicate their research concisely. The fact that an article is expected to follow this convention allows the reader to hold expectations of how the article will be framed and how it will develop.</w:t>
      </w:r>
    </w:p>
    <w:p>
      <w:r>
        <w:t>POSSIBLE 2019: Four candles—the answer — https://doi.org/10.1088/1361-6552/aada78</w:t>
      </w:r>
    </w:p>
    <w:p>
      <w:r>
        <w:t>Shared claim-specific concepts: article, presented, four; EU scope not established. This is a provisional connection, not an outcome finding.</w:t>
      </w:r>
    </w:p>
    <w:p>
      <w:r>
        <w:t>Available abstract (not full text): Abstract In my article (Featonby 2019 Phys. Educ . 54 047002) we presented three experiments (using four candles!) which tested understanding of mechanics, and heat transfer.</w:t>
      </w:r>
    </w:p>
    <w:p>
      <w:r>
        <w:t>POSSIBLE 2019: Guide to presenting clinical prediction models for use in clinical settings — https://doi.org/10.1136/bmj.l737</w:t>
      </w:r>
    </w:p>
    <w:p>
      <w:r>
        <w:t>Shared claim-specific concepts: article, four, each; EU scope not established. This is a provisional connection, not an outcome finding.</w:t>
      </w:r>
    </w:p>
    <w:p>
      <w:r>
        <w:t>Available abstract (not full text): Clinical prediction models estimate the risk of existing disease or future outcome for an individual, which is conditional on the values of multiple predictors such as age, sex, and biomarkers. In this article, Bonnett and colleagues provide a guide to presenting clinical prediction models so that they can be implemented in practice, if appropriate. They describe how to create four presentation formats and discuss the advantages and disadvantages of each format. A key message is the need for stakeholder engagement to determine the best presentation option in relation to the clinical context of use and the intended users</w:t>
      </w:r>
    </w:p>
    <w:p>
      <w:pPr>
        <w:pStyle w:val="Heading2"/>
      </w:pPr>
      <w:r>
        <w:t>Plan Ceibal 2020: future scenarios for technology and education—the case of the Uruguayan public education system</w:t>
      </w:r>
    </w:p>
    <w:p>
      <w:r>
        <w:t>Original source (2018): https://doi.org/10.1186/s40309-018-0134-z</w:t>
      </w:r>
    </w:p>
    <w:p>
      <w:r>
        <w:t>Original wording (abstract; indexed_source_text_not_full_document_verified): In the present work, a set of future studies were implemented in order to answer the following question: What will the future scenarios be within the next 5 years regarding new technologies in the public education sector in Uruguay? This approach allowed us to define the possible technological future for the national education and technology policy.</w:t>
      </w:r>
    </w:p>
    <w:p>
      <w:r>
        <w:t>POSSIBLE 2026: Live-coding performances: a body of work (2008–present) — https://doi.org/10.5281/zenodo.20743614</w:t>
      </w:r>
    </w:p>
    <w:p>
      <w:r>
        <w:t>Shared claim-specific concepts: present, work, set, question, within; EU scope visible. This is a provisional connection, not an outcome finding.</w:t>
      </w:r>
    </w:p>
    <w:p>
      <w:r>
        <w:t>Available abstract (not full text): Research background. Live coding is a performance practice: the performer writes and edits code on stage, in real time, as the act of making music, with the screen projected for the audience to read. It is transdisciplinary by nature, sitting where live musical performance meets serious systems-level software engineering, a single set demanding both improvisational musicianship and the writing of correct, working code in real time. The practice grew out of the TOPLAP and algorave movements through the 2000s. It raises research questions about how a programming language can serve as a real-time musical instrument, and how the relationship between performer, code and audience shifts once the code becomes visible and mutable. Bound up with both is the question of how liveness and the ever-present risk of on-stage failure shape the performance itself. Research contribution. This is a sustained body of from-scratch live-coded performance, principally my own: each set begins from a blank screen, with no prepared material, the music built and rebuilt in code in front of the audience. The work treats three modes usually held apart, those of performer, researcher and engineer, as a single discipline. The performances are realised in environments designed by Andrew Sorensen: Impromptu in the early years, and Extempore since 2011, a project of which I am a core team member and, since 2025</w:t>
      </w:r>
    </w:p>
    <w:p>
      <w:r>
        <w:t>POSSIBLE 2026: On sets of periodic orbit lengths in finitely presented dynamical systems — https://doi.org/10.1017/etds.2026.10313</w:t>
      </w:r>
    </w:p>
    <w:p>
      <w:r>
        <w:t>Shared claim-specific concepts: work, set, question; EU scope not established. This is a provisional connection, not an outcome finding.</w:t>
      </w:r>
    </w:p>
    <w:p>
      <w:r>
        <w:t>Available abstract (not full text): Abstract We classify the sets of natural numbers n for which certain dynamical systems ( X , f ) $(X,f)$ left parenthesis upper X comma f right parenthesis on a compact metric space X have a periodic point of (least) period n . Interest in this question dates back to Sharkovskii’s theorem for continuous maps on intervals of the real line, but it also ties to checkable conditions for Krieger’s embedding theorem for symbolic dynamical systems. Given a system for which the logarithmic derivative of the Artin–Mazur zeta function is rational, we use the Skolem–Mahler–Lech theorem to classify for which n the system has a periodic point of (not necessarily least) period n . Moreover, we build on work on finitely presented (FP) systems and their relationship to symbolic dynamics to classify the set of least periods, that is, periodic orbit lengths, for arbitrary FP systems, extending a known classification for shifts of finite type. We also provide several constructions to realize any such least period sets.</w:t>
      </w:r>
    </w:p>
    <w:p>
      <w:r>
        <w:t>POSSIBLE 2024: Presenting Work Via PowerPoint — https://doi.org/10.4324/9781003526001-13</w:t>
      </w:r>
    </w:p>
    <w:p>
      <w:r>
        <w:t>Shared claim-specific concepts: work, set; EU scope not established. This is a provisional connection, not an outcome finding.</w:t>
      </w:r>
    </w:p>
    <w:p>
      <w:r>
        <w:t>Available abstract (not full text): Similar to a poster presentation, an oral presentation—with accompanying slideshow—requires a different writing style than a research paper. This chapter will focus on how to transfer thoughts from a carefully worded paper onto a presentation medium and still retain the message. The chapter author will focus on guiding the reader on how to convert ideas into bullet points and still ensure proper flow as well as being able to extract the most relevant points from the original paper. Sports medicine and kinesiology-based examples and sample problems in this chapter will mimic Chapter 12 in that they will focus on creating an effective bullet point, understanding which concepts to take from a paper, and how and when to develop new material for a presentation to better set up the concept used from the original paper.</w:t>
      </w:r>
    </w:p>
    <w:p>
      <w:r>
        <w:t>POSSIBLE 2023: Utilizing Innovative Project Management Technologies to Set Virtual Work Boundaries — https://doi.org/10.21428/f1f23564.6aaf45b9</w:t>
      </w:r>
    </w:p>
    <w:p>
      <w:r>
        <w:t>Shared claim-specific concepts: work, set, implemented, order, technologies; EU scope not established. This is a provisional connection, not an outcome finding.</w:t>
      </w:r>
    </w:p>
    <w:p>
      <w:r>
        <w:t xml:space="preserve">Available abstract (not full text): Utilizing Innovative Project Management Technologies to Set Virtual Work Boundaries 2The unpredictability of the COVID-19 pandemic presented research teams with the opportunity to optimize collaborative approaches to project management by integrating the productivity software necessary to navigate the sudden shift to remote work.While the shift from in-person to virtual work environments was rapid and disorienting, research teams were able to alleviate this transition by taking advantage of new technologies in project management.The Italian-Canadian Foodways project is an example of this: our project managers implemented a suite of innovative software to manage task delegation in a remote work environment.However, the increased surveillance also created the risk of blurring boundaries between the office and home, potentially threatening a healthy work-life balance.As Thareja (2016) explored, the virtual environment lent itself to various new opportunities for more comprehensive employee surveillance.Our project managers stringently adhered to three pillars to minimize work surveillance in the observation of work methods: planning, implementation, and monitoring.While the pandemic provided an opportunity to re-evaluate work methods, the case study of the Foodways project reveals that innovative technologies alone cannot provide effective project management; rather, technologies </w:t>
      </w:r>
    </w:p>
    <w:p>
      <w:r>
        <w:t>POSSIBLE 2022: CMOS compatible manufacturing of a hybrid SET-FET circuit — https://doi.org/10.1088/1361-6641/ac9f61</w:t>
      </w:r>
    </w:p>
    <w:p>
      <w:r>
        <w:t>Shared claim-specific concepts: work, set, technology; EU scope not established. This is a provisional connection, not an outcome finding.</w:t>
      </w:r>
    </w:p>
    <w:p>
      <w:r>
        <w:t>Available abstract (not full text): Abstract This study analyzes feasibility of complementary metal–oxide–semiconductor (CMOS)-compatible manufacturing of a hybrid single electron transistor–field effect transistor (SET-FET) circuit. The fundamental element towards an operating SET at room temperature is a vertical nanopillar (NP) with embedded Si nanodot generated by ion-beam irradiation. The integration process from NPs to contacted SETs is validated by structural characterization. Then, the monolithic fabrication of planar FETs integrated with vertical SETs is presented, and its compatibility with standard CMOS technology is demonstrated. The work includes process optimization, pillar integrity validation, electrical characterization and simulations taking into account parasitic effects. The FET fabrication process is adapted to meet the requirements of the pre-fabricated NPs. Overall, this work establishes the groundwork for the realization of a hybrid SET-FET circuit operating at room temperature.</w:t>
      </w:r>
    </w:p>
    <w:p>
      <w:r>
        <w:t>POSSIBLE 2021: Creativity in data work: case of developing training sets for machine learning — https://openalex.org/W3200956411</w:t>
      </w:r>
    </w:p>
    <w:p>
      <w:r>
        <w:t>Shared claim-specific concepts: present, work, set; EU scope not established. This is a provisional connection, not an outcome finding.</w:t>
      </w:r>
    </w:p>
    <w:p>
      <w:r>
        <w:t>Available abstract (not full text): Data reuse is seen as an important practice for realizing value from data.But, as scholars have repeatedly shown, the "cooked" character of data can present great challenges for data reuse.Yet, empirical research into how organizations can reuse data despite its "cooked" character is still underresearched.To address this gap, we followed five teams as they developed ML solutions for tackling complex, agricultural challenges.Our research finds that the development teams engage in creative data work which goes beyond mere preparation of data for training a machine learning model.In doing so, the team engaged in three data work practices: problematization, creative data work, and scrutinizing datasets.Our study shows that, in what seemingly appears as a merely technical and "janitorial" work, developers iteratively learn and interlace their knowledge of available data and a phenomenon in an effort to creatively produce a representation of that phenomenon in a form of a workable training set.</w:t>
      </w:r>
    </w:p>
    <w:p>
      <w:r>
        <w:t>POSSIBLE 2020: Effects of CSR on employee retention via identification and quality-of-work-life — https://doi.org/10.1108/ijchm-06-2019-0573</w:t>
      </w:r>
    </w:p>
    <w:p>
      <w:r>
        <w:t>Shared claim-specific concepts: work, set, sector, approach; EU scope not established. This is a provisional connection, not an outcome finding.</w:t>
      </w:r>
    </w:p>
    <w:p>
      <w:r>
        <w:t>Available abstract (not full text): Purpose This paper aims to explore the sequential effects of employee perceptions of corporate social responsibility (CSR), organizational identification (OI), higher-order quality-of-work-life (HQWL) and intention to stay (IS). Design/methodology/approach The survey responses were gathered from employees of a casino hotel company in the USA. All hypotheses were tested via structural equation modeling. Findings The results demonstrated that ethical and philanthropic CSR dimensions had significant direct effects on OI and indirect effects on HQWL via OI. OI had positive effects on HQWL (directly) and IS (directly and indirectly via HQWL). Both ethical and philanthropic CSR dimensions indirectly influenced IS via OI and HQWL, while economic CSR had a significant indirect effect on IS via HQWL. Research limitations/implications This study addressed the lack of theory-driven empirical work on the relationship between CSR and employee retention by presenting new insights into how different dimensions of CSR can contribute for improving employee HQWL and IS via OI based on social identity theory (SIT) and social exchange theory (SET). In this study, the results may not generalize to other countries and cultures because the data arises from a casino hotel in the USA. Practical implications Based on the results, hospitality companies can improve employee OI, HQWL and IS by more effecti</w:t>
      </w:r>
    </w:p>
    <w:p>
      <w:r>
        <w:t>POSSIBLE 2020: Set-Constrained Viterbi for Set-Supervised Action Segmentation — https://doi.org/10.1109/cvpr42600.2020.01083</w:t>
      </w:r>
    </w:p>
    <w:p>
      <w:r>
        <w:t>Shared claim-specific concepts: present, work, set; EU scope not established. This is a provisional connection, not an outcome finding.</w:t>
      </w:r>
    </w:p>
    <w:p>
      <w:r>
        <w:t>Available abstract (not full text): This paper is about weakly supervised action segmentation, where the ground truth specifies only a set of actions present in a training video, but not their true temporal ordering. Prior work typically uses a classifier that independently labels video frames for generating the pseudo ground truth, and multiple instance learning for training the classifier. We extend this framework by specifying an HMM, which accounts for co-occurrences of action classes and their temporal lengths, and by explicitly training the HMM on a Viterbi-based loss. Our first contribution is the formulation of a new set-constrained Viterbi algorithm (SCV). Given a video, the SCV generates the MAP action segmentation that satisfies the ground truth. This prediction is used as a framewise pseudo ground truth in our HMM training. Our second contribution in training is a new regularization of feature affinities between training videos that share the same action classes. Evaluation on action segmentation and alignment on the Breakfast, MPII Cooking2, Hollywood Extended datasets demonstrates our significant performance improvement for the two tasks over prior work.</w:t>
      </w:r>
    </w:p>
    <w:p>
      <w:r>
        <w:t>POSSIBLE 2020: CoverNet: Multimodal Behavior Prediction Using Trajectory Sets — https://doi.org/10.1109/cvpr42600.2020.01408</w:t>
      </w:r>
    </w:p>
    <w:p>
      <w:r>
        <w:t>Shared claim-specific concepts: present, work, set, approach; EU scope not established. This is a provisional connection, not an outcome finding.</w:t>
      </w:r>
    </w:p>
    <w:p>
      <w:r>
        <w:t>Available abstract (not full text): We present CoverNet, a new method for multimodal, probabilistic trajectory prediction for urban driving. Previous work has employed a variety of methods, including multimodal regression, occupancy maps, and 1-step stochastic policies. We instead frame the trajectory prediction problem as classification over a diverse set of trajectories. The size of this set remains manageable due to the limited number of distinct actions that can be taken over a reasonable prediction horizon. We structure the trajectory set to a) ensure a desired level of coverage of the state space, and b) eliminate physically impossible trajectories. By dynamically generating trajectory sets based on the agent's current state, we can further improve our method's efficiency. We demonstrate our approach on public, real world self-driving datasets, and show that it outperforms state-of-the-art methods.</w:t>
      </w:r>
    </w:p>
    <w:p>
      <w:r>
        <w:t>POSSIBLE 2020: Work-Function Fluctuation Impact on the SET Response of FinFET-based Majority Voters — https://doi.org/10.1109/lats49555.2020.9093679</w:t>
      </w:r>
    </w:p>
    <w:p>
      <w:r>
        <w:t>Shared claim-specific concepts: work, set, technology; EU scope not established. This is a provisional connection, not an outcome finding.</w:t>
      </w:r>
    </w:p>
    <w:p>
      <w:r>
        <w:t>Available abstract (not full text): The evolution of integrated circuits, alongside the technology scaling, has made them more susceptible to the radiation effects, as well presenting an increasing manufacturing process variability. These challenges can lead to circuits operating outside their specification ranges. Majority voters are adopted by most of the redundancy-based methodologies to ensure the fault masking. This work evaluates the SET response of seven different versions of majority voter circuits under the process variability using an 7nm FinFET technology. The process variability is considered through the work-function fluctuation of the metal gate and the SET response is characterized by the LETth (Threshold Linear Energy Transfer) and the SET pulse width metrics. Results show the impact of different transistor arrangements in the radiation and variability robustness. The LETth values can vary by up to 65% in comparison with all evaluated circuits. The process variability impacts up to 20% the sensitivity to SET on the evaluated majority voters.</w:t>
      </w:r>
    </w:p>
    <w:p>
      <w:r>
        <w:t>POSSIBLE 2020: To Set to Work Even with a Broken Heart — https://doi.org/10.1093/oso/9780190692322.003.0003</w:t>
      </w:r>
    </w:p>
    <w:p>
      <w:r>
        <w:t>Shared claim-specific concepts: present, work, set; EU scope not established. This is a provisional connection, not an outcome finding.</w:t>
      </w:r>
    </w:p>
    <w:p>
      <w:r>
        <w:t>Available abstract (not full text): Abstract Part I investigates the tensions inherent to projects designed to demonstrate. “Demonstrate” has three apparently separate meanings: to present evidence, to explicate a process or task, or to participate in public protest. In fact, each of these definitions is a distinct facet of the task of “showing” or “calling attention” to an issue or act. The term “demonstrate” itself demonstrates the persistent and inescapable interweaving of these diverse objectives. In every case, demonstrations are representational, in that they aim to reveal particular truths through evidence; they are pedagogical, in that they aim to transmit knowledge and procedures; and they are revolutionary, in that they aspire to transform individual acts and social relations. The prioritization, negotiation, and synthesis of these three objectives inherently generate aesthetic and political complications that emerge in the chapters in this section.</w:t>
      </w:r>
    </w:p>
    <w:p>
      <w:r>
        <w:t>POSSIBLE 2019: Framing the present: capitalism, work and crisis — https://doi.org/10.46692/9781447341871.001</w:t>
      </w:r>
    </w:p>
    <w:p>
      <w:r>
        <w:t>Shared claim-specific concepts: present, work, answer, question; EU scope not established. This is a provisional connection, not an outcome finding.</w:t>
      </w:r>
    </w:p>
    <w:p>
      <w:r>
        <w:t>Available abstract (not full text): What’s wrong with work? Sample dialogue from my life: What’s your book called? ‘What’s wrong with work?’ It’s about the ethics and politics of how work is changing at the moment. Good title. You should talk to my partner, who’s an XXX [insert name of almost any job]. What’s your book called? ‘What’s wrong with work?’ That’s going to be a long book. What’s your book called? ‘What’s wrong with work?’ It’s about… How long have you got? I hate my job, I hate my boss, I hate the customers. If ever a book title was an invitation to grumble, one that asks the question ‘What’s wrong with work?’ is it. Someone once answered ‘I don’t have a couch in my office’, but I think they were joking. Answering a question like ‘What’s wrong with work?’ could well involve writing a list, as that’s a normal way to provide answers. I wish it were that easy. In the course of the book I will open out ways of thinking about ethics and politics of current work for the lifeworld of workers and for how work contributes to making the world. The task of providing an account of the problem of work is pretty difficult, given the complexities of different kinds of work, of variations across time and space, and because of the many different elements that might be important when thinking about good and bad jobs, which may easily contradict each other (for example, routines generate stability but also boredom; work</w:t>
      </w:r>
    </w:p>
    <w:p>
      <w:pPr>
        <w:pStyle w:val="Heading2"/>
      </w:pPr>
      <w:r>
        <w:t>Polish and Ukrainian foresight into the directions for the innovation of power plants</w:t>
      </w:r>
    </w:p>
    <w:p>
      <w:r>
        <w:t>Original source (2018): https://doi.org/10.5277/ord180404</w:t>
      </w:r>
    </w:p>
    <w:p>
      <w:r>
        <w:t>Original wording (abstract; indexed_source_text_not_full_document_verified): Such an approach could be used to establish a set of measures aimed at the continuous improvement of technical, technological, socioeconomic and environmental processes in power plants (e.g., the operation of Ukrainian hydroelectric power plants).</w:t>
      </w:r>
    </w:p>
    <w:p>
      <w:r>
        <w:t>POSSIBLE 2026: Feasibility Model for Establishing and Implementing Smart Insurance Using a Hybrid Approach — https://openalex.org/W7217145713</w:t>
      </w:r>
    </w:p>
    <w:p>
      <w:r>
        <w:t>Shared claim-specific concepts: approach, used, processes; EU scope not established. This is a provisional connection, not an outcome finding.</w:t>
      </w:r>
    </w:p>
    <w:p>
      <w:r>
        <w:t>Available abstract (not full text): In the past decade, the insurance industry has been influenced by advancements in emerging technologies such as artificial intelligence (AI), blockchain, the Internet of Things (IoT), and big data analytics, leading to a shift toward digital transformation and the implementation of smart insurance practices. This study was conducted with the aim of presenting a comprehensive model for the feasibility assessment and implementation of smart insurance in Dana Insurance Company. The research employed a quantitative methodology. To develop the final model, the Delphi method was utilized. In this stage, the sample consisted of 15 insurance and academic experts. Data were collected using a questionnaire. In the subsequent phase, structural equation modeling (SEM) was applied to examine the validity of the final model. In this phase, the sample comprised 256 individuals, including managers, experts, and insurance representatives across the studied provinces. A researcher-made questionnaire was used for data collection. The validity of the questionnaire was evaluated and confirmed through construct validity, and its reliability was verified using Cronbach’s alpha coefficient. The results of the SEM analysis demonstrated satisfactory construct validity of the final model. Findings from these two phases identified 12 main categories, including smart technologies and tools, information tec</w:t>
      </w:r>
    </w:p>
    <w:p>
      <w:r>
        <w:t>POSSIBLE 2024: A comprehensive review of planting approaches used to establish willow for environmental applications — https://doi.org/10.1016/j.ecoleng.2024.107288</w:t>
      </w:r>
    </w:p>
    <w:p>
      <w:r>
        <w:t>Shared claim-specific concepts: used, establish, environmental, operation; EU scope not established. This is a provisional connection, not an outcome finding.</w:t>
      </w:r>
    </w:p>
    <w:p>
      <w:r>
        <w:t>Available abstract (not full text): Willow is considered an ideal plant species for environmental applications, including phytoremediation . Improving planting efficiency and reducing the costs of phytoremediation have become key steps for increasing its application. This paper reports the most update-to-date information on frequently used techniques for establishing willow, including plant material, planting methods, and the factors influencing the early establishment of trees in the field. The five main types of planting materials (rods, cuttings, billets, micro-cuttings and single-bud short branches), and the seven main planting techniques, especially different vertical and horizontal planting directions, were assessed. Factors affecting willow establishment were also reviewed, including the characteristics of planting materials (i.e., clones, cutting phenology , propagules size, pre-treatments), operation during planting (i.e., timing, orientation and planting depth) and post-planting management (i.e., soil conditions and weed management). New planting approaches with small-sized cuttings (of about 5 cm in length) have been recently proposed showing promising economical and effectiveness characteristics, especially for the establishment of willows in harsh soil and challenging conditions.</w:t>
      </w:r>
    </w:p>
    <w:p>
      <w:r>
        <w:t>POSSIBLE 2023: Establishing Novel Drug Leads For Bubonic Plague Using In-Silico Approach — https://doi.org/10.2991/978-94-6463-294-1_11</w:t>
      </w:r>
    </w:p>
    <w:p>
      <w:r>
        <w:t>Shared claim-specific concepts: approach, used, plants; EU scope not established. This is a provisional connection, not an outcome finding.</w:t>
      </w:r>
    </w:p>
    <w:p>
      <w:r>
        <w:t xml:space="preserve">Available abstract (not full text): Bubonic plague is an infection spread mostly to humans by infected fleas that feed on rodents which is also known as 'Black death'.It killed millions of Europeans during the middles ages.Bubonic Plague is an infectious disease caused by a specific type of bacterium called Yersinia pestis.Which is also know as Y.pestis can affect humans spread mainly by fleas.Prevention doesn't include a vaccine, but does involve reducing your exposure to mice, rats, squirrels and other animals that may be infected.The deaths exceeded 25 million people during the middle ages.The plague is rare now.Only a few thousand people around the world get it each year most of the cases are in Africa, India.The FASTA sequence of the genes-receptors of the above disease were retrieved from Genbank database.Next, we modelled the 3D structure of the FASTA protein sequence using modeller.The best model was selected using Ramachandran plot.Phytocompounds from medicinal plants is considered Emblica Officinalis, Terminalia Chebula, Terminalia Bellirica, Asphaltum Punjabianum, Azadirachta Indica as considered as novel drug leads is retrieved from PUBCHEM database.The phytocompounds are checked for drug-like properties using molinspiration software.The compounds having no violations was considered for further docking studies.Thannilignan, Ellagic acid, Quercetin, Termilignan docks best with both the receptors.Hence </w:t>
      </w:r>
    </w:p>
    <w:p>
      <w:r>
        <w:t>POSSIBLE 2022: Identifying Key Elements for Establishing Sustainable Conventions and Exhibitions: Use of the Delphi and AHP Approaches — https://doi.org/10.3390/su14031678</w:t>
      </w:r>
    </w:p>
    <w:p>
      <w:r>
        <w:t>Shared claim-specific concepts: approach, establish, continuous; EU scope not established. This is a provisional connection, not an outcome finding.</w:t>
      </w:r>
    </w:p>
    <w:p>
      <w:r>
        <w:t>Available abstract (not full text): The purpose of this study was to explore, by employing the Delphi method, key indicators and factors for establishing sustainable conventions and exhibitions (C&amp;E) events in a destination in lieu of holding one-off events. In addition, the identified factors for establishing sustainable C&amp;E events were assessed using the analytic hierarchy process (AHP) with a multi-group approach. First, internal and external factors that impact continuous hosting of C&amp;E events in a destination were identified in previous research and reviewed. Second, three stages of Delphi surveys were conducted with three groups of experts in the C&amp;E industry (academic scholars, industry experts, and government agencies in Korea). Third, data were analyzed from 35 and 29 participants in the first and second Delphi rounds, respectively, as well as from 17 panelists in the subsequent AHP analysis. A total of 33 indicators were developed and categorized into five factors for continuity of regional C&amp;E efforts: event contents and capabilities, organizers and support/sponsorship, impacts, facilities in venues and destinations, and the local event environment. Furthermore, all three participant groups reached agreement in rating event contents and capabilities as the most important factor, with the local event environment as the second most important factor in achieving sustainable regional C&amp;E. However, the opin</w:t>
      </w:r>
    </w:p>
    <w:p>
      <w:r>
        <w:t>POSSIBLE 2019: One Approach to using Fuzzy Logic for the Establishing of Natural Gas Tariffs — https://openalex.org/W3012361343</w:t>
      </w:r>
    </w:p>
    <w:p>
      <w:r>
        <w:t>Shared claim-specific concepts: approach, establish, processes; EU scope not established. This is a provisional connection, not an outcome finding.</w:t>
      </w:r>
    </w:p>
    <w:p>
      <w:r>
        <w:t>Available abstract (not full text): This paper introduces an attempt to establish natural gas tariffs based on experts’ fuzzy estimations</w:t>
        <w:br/>
        <w:br/>
        <w:t>on the example of Georgia. We consider the existent situation in tariffication processes. We discuss the</w:t>
        <w:br/>
        <w:br/>
        <w:t>necessity to use new approaches for implementation of these processes. We introduce a new approach for</w:t>
        <w:br/>
        <w:br/>
        <w:t>determination of natural gas tariffs based on fuzzy logic and its algorithm. At the end we show the example of</w:t>
        <w:br/>
        <w:br/>
        <w:t>practical application of the proposed method</w:t>
      </w:r>
    </w:p>
    <w:p>
      <w:r>
        <w:t>POSSIBLE 2019: An approach for establishing correspondence between OpenStreetMap and reference datasets for land use and land cover mapping — https://doi.org/10.1111/tgis.12581</w:t>
      </w:r>
    </w:p>
    <w:p>
      <w:r>
        <w:t>Shared claim-specific concepts: approach, used, establish, measures; EU scope not established. This is a provisional connection, not an outcome finding.</w:t>
      </w:r>
    </w:p>
    <w:p>
      <w:r>
        <w:t>Available abstract (not full text): Abstract OpenStreetMap (OSM) provides free source data for land use and land cover (LULC) mapping of many regions globally. Earlier work has used just manual and subjective approaches to establish correspondence between paired OSM and reference datasets, an essential step for LULC mapping. This study proposes an approach to establish correspondence via three steps: (1) convert line feature(s) into polygon feature(s); (2) merge multiple polygon feature(s) into a single layer; and (3) establish correspondence and reclassify OSM and/or reference datasets. Study areas in Sheffield, London, Rome, and Paris were used for testing, and two measures (overall accuracy, OA and kappa index) were used for evaluation. Experiments were designed to verify this approach, with each pair of OSM and reference datasets initially compared after reclassification. Correspondence from one study area was then applied to another for further validation. Results show that OA was between 70 and 90% and the kappa index varied between 0.6 and 0.8. Evaluation also indicates that the correspondence obtained from one study area is applicable to another, and we illustrate the effectiveness of this approach.</w:t>
      </w:r>
    </w:p>
    <w:p>
      <w:pPr>
        <w:pStyle w:val="Heading2"/>
      </w:pPr>
      <w:r>
        <w:t>Potential for hydrogen and Power-to-Liquid in a low-carbon EU energy system using cost optimization</w:t>
      </w:r>
    </w:p>
    <w:p>
      <w:r>
        <w:t>Original source (2018): https://doi.org/10.1016/j.apenergy.2018.09.216</w:t>
      </w:r>
    </w:p>
    <w:p>
      <w:r>
        <w:t>Original wording (abstract; indexed_source_text_not_full_document_verified): This study assesses the role of these pathways across scenarios that achieve 80–95% CO2 reduction by 2050 (vs. 1990) using the JRC-EU-TIMES model.</w:t>
      </w:r>
    </w:p>
    <w:p>
      <w:r>
        <w:t>POSSIBLE 2026: Assessing Plug-in Electric Vehicle Adoption: Methodologies, Policy Effects, and Diverging Market Pathways in China, the U.S., and Europe — https://doi.org/10.4271/2026-01-0455</w:t>
      </w:r>
    </w:p>
    <w:p>
      <w:r>
        <w:t>Shared claim-specific concepts: role, pathways; EU scope visible. This is a provisional connection, not an outcome finding.</w:t>
      </w:r>
    </w:p>
    <w:p>
      <w:r>
        <w:t>Available abstract (not full text): Accurate projection of Plug-in Electric Vehicle (PEV) market sales share is vital for evidence-based policymaking, yet existing studies employ diverse and often fragmented methodologies, creating a need for a systematic review to clarify their analytical foundations and comparative strengths. This study classifies mainstream approaches to market projections into theory-driven and data-driven categories and reviews the merits, limitations, and future directions of five representative models. Analysis reveals that leading approaches increasingly employ cross-scale model coupling, theory-data fusion, and modular design to harness complementary strengths, improving model robustness and predictive accuracy. Furthermore, the study compares PEV policies and market outlooks in China, the United States, and Europe—the world's three largest automotive markets. The findings indicate a strong linkage between projection convergence and policy stability. China demonstrates the highest policy consistency and institutional consensus, with an average projected PEV share of new-vehicle sales of 81.3% by 2030. Europe's projections average 62.8%, driven by binding emissions mandates, whereas the U.S. exhibits greater uncertainty, averaging 31.1% amid fragmented regulations and policy uncertainty. These disparities highlight the decisive role of policy coherence and regulatory predictability in sha</w:t>
      </w:r>
    </w:p>
    <w:p>
      <w:r>
        <w:t>POSSIBLE 2025: Regional Pathways to Internationalization: The Role of Erasmus+ in European HEIs — https://doi.org/10.3390/urbansci9050144</w:t>
      </w:r>
    </w:p>
    <w:p>
      <w:r>
        <w:t>Shared claim-specific concepts: role, pathways, across; EU scope visible. This is a provisional connection, not an outcome finding.</w:t>
      </w:r>
    </w:p>
    <w:p>
      <w:r>
        <w:t>Available abstract (not full text):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r>
        <w:t>POSSIBLE 2024: Distinct roles of direct and indirect electrification in pathways to a renewables-dominated European energy system — https://doi.org/10.1016/j.oneear.2024.01.015</w:t>
      </w:r>
    </w:p>
    <w:p>
      <w:r>
        <w:t>Shared claim-specific concepts: pathways; EU scope visible. This is a provisional connection, not an outcome finding.</w:t>
      </w:r>
    </w:p>
    <w:p>
      <w:r>
        <w:t>Available abstract (not full text):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r>
        <w:t>POSSIBLE 2024: The role of atmospheric circulation in explaining the summer extreme temperature trends over Europe — https://doi.org/10.5194/ems2024-1069</w:t>
      </w:r>
    </w:p>
    <w:p>
      <w:r>
        <w:t>Shared claim-specific concepts: role, pathways; EU scope visible. This is a provisional connection, not an outcome finding.</w:t>
      </w:r>
    </w:p>
    <w:p>
      <w:r>
        <w:t>Available abstract (not full text):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r>
        <w:t>POSSIBLE 2023: The potential role of a hydrogen network in Europe — https://doi.org/10.1016/j.joule.2023.06.016</w:t>
      </w:r>
    </w:p>
    <w:p>
      <w:r>
        <w:t>Shared claim-specific concepts: role, across, achieve; EU scope visible. This is a provisional connection, not an outcome finding.</w:t>
      </w:r>
    </w:p>
    <w:p>
      <w:r>
        <w:t>Available abstract (not full text): Europe's electricity transmission expansion suffers many delays, despite its significance for integrating renewable electricity. A hydrogen network reusing the existing gas network could not only help to supply the demand for low-emission fuels but could also balance variations in wind and solar energies across the continent and thus avoid power grid expansion. Our investigation varies the allowed expansion of electricity and hydrogen grids in net-zero CO 2 scenarios for a sector-coupled European energy system, capturing transmission bottlenecks, renewable supply and demand variability, and pipeline retrofitting and geological storage potentials. We find that a hydrogen network connecting regions with low-cost and abundant renewable potentials to demand centers, electrofuel production, and cavern storage sites reduces system costs by up to 26 bn€/a (3.4%). Although expanding both networks together can achieve the largest cost reductions, by 9.9%, the expansion of neither is essential for a net-zero system as long as higher costs can be accepted and flexibility options allow managing transmission bottlenecks.</w:t>
      </w:r>
    </w:p>
    <w:p>
      <w:r>
        <w:t>POSSIBLE 2023: Exploring pathways to 100% renewable energy in European industry — https://doi.org/10.1016/j.energy.2023.126687</w:t>
      </w:r>
    </w:p>
    <w:p>
      <w:r>
        <w:t>Shared claim-specific concepts: role, pathways; EU scope visible. This is a provisional connection, not an outcome finding.</w:t>
      </w:r>
    </w:p>
    <w:p>
      <w:r>
        <w:t>Available abstract (not full text):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r>
        <w:t>POSSIBLE 2022: Organizational change and psychosomatic symptoms: Exploring pathways through working conditions and assessing the moderating role of social support among European workers — https://doi.org/10.1177/0143831x211069411</w:t>
      </w:r>
    </w:p>
    <w:p>
      <w:r>
        <w:t>Shared claim-specific concepts: role, pathways; EU scope visible. This is a provisional connection, not an outcome finding.</w:t>
      </w:r>
    </w:p>
    <w:p>
      <w:r>
        <w:t>Available abstract (not full text): Building on the Job Demands–Resources (JD–R) model, this article sets out to analyze the mechanisms through which organizational change can affect workers’ health. The author carries out a moderated mediation analysis drawing on data from the European Working Conditions Survey conducted in 2015 with more than 44,000 European workers in 35 countries. Emotional labor, work intensity and physical strain are included as mediators of the relationship between organizational change and health, assessed by the self-declaration of psychosomatic symptoms. The study tests for the moderating role of social support, assessed as supervisor support and colleague support. It is shown that emotional labor mediates the relationship between organizational change and health alongside other work demands, with slight variations in the mechanisms depending on whether the reorganization involves staff cuts. There is evidence that social support from the hierarchy moderates the health effects of job demands.</w:t>
      </w:r>
    </w:p>
    <w:p>
      <w:r>
        <w:t>POSSIBLE 2022: Perspective on the hydrogen economy as a pathway to reach net-zero CO 2 emissions in Europe — https://doi.org/10.1039/d1ee02118d</w:t>
      </w:r>
    </w:p>
    <w:p>
      <w:r>
        <w:t>Shared claim-specific concepts: role; EU scope visible. This is a provisional connection, not an outcome finding.</w:t>
      </w:r>
    </w:p>
    <w:p>
      <w:r>
        <w:t>Available abstract (not full text): The envisioned role of hydrogen in the energy transition – or the concept of a hydrogen economy – has varied through the years.</w:t>
      </w:r>
    </w:p>
    <w:p>
      <w:r>
        <w:t>POSSIBLE 2021: Assessing the Role of Carbon Capture and Storage in Mitigation Pathways of Developing Economies — https://doi.org/10.3390/en14071879</w:t>
      </w:r>
    </w:p>
    <w:p>
      <w:r>
        <w:t>Shared claim-specific concepts: role, pathways; EU scope not established. This is a provisional connection, not an outcome finding.</w:t>
      </w:r>
    </w:p>
    <w:p>
      <w:r>
        <w:t>Available abstract (not full text): The Paris Agreement has set out ambitious climate goals aiming to keep global warming well-below 2 °C by 2100. This requires a large-scale transformation of the global energy system based on the uptake of several technological options to reduce drastically emissions, including expansion of renewable energy, energy efficiency improvements, and fuel switch towards low-carbon energy carriers. The current study explores the role of Carbon Capture and Storage (CCS) as a mitigation option, which provides a dispatchable source for carbon-free production of electricity and can also be used to decarbonise industrial processes. In the last decade, limited technology progress and slow deployment of CCS technologies worldwide have increased the concerns about the feasibility and potential for massive scale-up of CCS required for deep decarbonisation. The current study uses the state-of-the-art PROMETHEUS global energy demand and supply system model to examine the role and impacts of CCS deployment in a global decarbonisation context. By developing contrasted decarbonisation scenarios, the analysis illustrates that CCS deployment might bring about various economic and climate benefits for developing economies, in the form of reduced emissions, lower mitigation costs, ensuring the cost efficient integration of renewables, limiting stranded fossil fuel assets, and alleviating the negative dis</w:t>
      </w:r>
    </w:p>
    <w:p>
      <w:r>
        <w:t>POSSIBLE 2020: Coupling the heating and power sectors: The role of centralised combined heat and power plants and district heat in a European decarbonised power system — https://doi.org/10.1016/j.apenergy.2020.115134</w:t>
      </w:r>
    </w:p>
    <w:p>
      <w:r>
        <w:t>Shared claim-specific concepts: role, pathways, co2; EU scope visible. This is a provisional connection, not an outcome finding.</w:t>
      </w:r>
    </w:p>
    <w:p>
      <w:r>
        <w:t>Available abstract (not full text): This work examines the role of centralised cogeneration plants as one of the potential pathways of a future decarbonised energy system. Even in this context, thermal power plants will still exist and the utilisation of their excess heat via district heating networks can assist the decarbonisation of the built environment. In particular, the potential of existing thermal power plants to operate as combined heat and power (CHP) plants is assessed and their impact on the power system quantified. To do so, the European heat demand for the built environment is described, focused on the heat demand supplied with fossil fuels, and the European power sector is discussed. Then, a power system model (Dispa-SET) is used to evaluate this coupling pathway in terms of operating costs, efficiencies and associated CO2 emissions. The analysis is developed for the current and future European power system. Results show that the conversion of thermal into CHP plants increases the efficiency and reduces both the operating costs and the environmental impact of the energy system. Not only that, it also offers alternative flexibility options when coupled with thermal storage. Still, large investments regarding the deployment of thermal networks are required to leverage the full CHP potential.</w:t>
      </w:r>
    </w:p>
    <w:p>
      <w:pPr>
        <w:pStyle w:val="Heading2"/>
      </w:pPr>
      <w:r>
        <w:t>Projecting Drivers of Human Vulnerability under the Shared Socioeconomic Pathways</w:t>
      </w:r>
    </w:p>
    <w:p>
      <w:r>
        <w:t>Original source (2018): https://doi.org/10.3390/ijerph15030554</w:t>
      </w:r>
    </w:p>
    <w:p>
      <w:r>
        <w:t>Original wording (abstract; indexed_source_text_not_full_document_verified): The Shared Socioeconomic Pathways (SSPs) are the new set of alternative futures of societal development that inform global and regional climate change research. They have the potential to foster the integration of socioeconomic scenarios within assessments of future climate-related health impacts.</w:t>
      </w:r>
    </w:p>
    <w:p>
      <w:r>
        <w:t>POSSIBLE 2026: Pandemic risk in the Shared Socioeconomic Pathways — https://doi.org/10.64898/2026.07.29.26359250</w:t>
      </w:r>
    </w:p>
    <w:p>
      <w:r>
        <w:t>Shared claim-specific concepts: shared, socioeconomic, pathways, ssps, climate, health; EU scope not established. This is a provisional connection, not an outcome finding.</w:t>
      </w:r>
    </w:p>
    <w:p>
      <w:r>
        <w:t>Available abstract (not full text): Abstract For over a decade, the Shared Socioeconomic Pathways (SSPs) have served as the principal framework for quantitative modeling of the socioeconomic dimensions of global environmental change. The SSP scenarios describe many of the ecological and social processes thought to shape pandemic risk, including the emergence of novel pathogens (accelerated by processes such as deforestation, livestock intensification, and land-use change) and their subsequent spread (mediated by factors such as inequality, human mobility, and health system capacity). However, the SSP framework has not been widely incorporated into pandemic risk assessment. Here, we assess how pandemic risk is embedded in the SSP framework, and find that the framework captures most of the social-environmental drivers of pathogen spillover, and many of the social-economic drivers of pandemic spread and impacts. Because climate change and pandemics share many drivers and risk factors—including ecosystem degradation, animal agriculture, and weak governance—SSP scenarios characterized by higher barriers to climate adaptation also generally imply lower chances of outbreak containment, and greater pandemic impacts on vulnerable populations. Pandemic risk is therefore lowest in SSP1 and highest in SSP3, but SSP5 shows that frequent spillover and effective containment can coexist. These findings suggest that pandemic risk</w:t>
      </w:r>
    </w:p>
    <w:p>
      <w:r>
        <w:t>POSSIBLE 2025: Digital transformation in the Shared Socioeconomic Pathways — https://doi.org/10.1038/s44168-025-00283-w</w:t>
      </w:r>
    </w:p>
    <w:p>
      <w:r>
        <w:t>Shared claim-specific concepts: shared, socioeconomic, pathways, ssps, set, societal; EU scope not established. This is a provisional connection, not an outcome finding.</w:t>
      </w:r>
    </w:p>
    <w:p>
      <w:r>
        <w:t>Available abstract (not full text): Digital transformation refers to the widespread use of digital technologies in ways that reshape societal and economic activity, with significant impacts on sustainable development and climate challenges-both for better and for worse. Using statistical models calibrated to historical evidence in 62 countries across 12 world regions, we project future digital transformation within the Shared Socioeconomic Pathways (SSPs), adding contextual richness to this scenario framework used extensively in global climate research. In some scenarios, we find a pervasive and prolonged digital divide with up to 45% of the assessed population by mid-century still residing in countries with relatively low levels of digital transformation despite ever-deepening digitalisation in wealthier countries. We set out six use cases for how our explicit representation of digital transformation within the SSPs enables quantitative assessment of digitalisation's impact on energy, emissions, climate policy, and Sustainable Development Goals. We also discuss challenges with using empirically calibrated models to project digital transformation given its rapid evolution and socioeconomic implications.</w:t>
      </w:r>
    </w:p>
    <w:p>
      <w:r>
        <w:t>POSSIBLE 2024: A critical utopian shared socioeconomic pathway — https://doi.org/10.1016/j.futures.2024.103437</w:t>
      </w:r>
    </w:p>
    <w:p>
      <w:r>
        <w:t>Shared claim-specific concepts: shared, socioeconomic, pathways, ssps, they; EU scope not established. This is a provisional connection, not an outcome finding.</w:t>
      </w:r>
    </w:p>
    <w:p>
      <w:r>
        <w:t>Available abstract (not full text): The aim of this study is to investigate the utility of speculative, fictional utopian narratives to be used as a comparative and critical tool to expose taken for granted ideas, discourses and norms in the five shared socioeconomic pathways (SSP1–5) that are used by the IPCC to build future scenarios. To achieve this goal, we first invited citizens to write stories about fictional utopian futures, which they perceived as good for “both people and the planet”. We then compared these utopian stories with the SSPs by (1) a semi-quantitative thematic analysis, and (2) a critical literary analysis. Based on the thematic analysis, we found strong similarities between the utopian futures and SSP1 (“Taking the Green Road”) at a superficial level. Based on the literary analysis, we found that this apparent similarity obscured fundamental differences between the implicit mindsets that was found in SSP1 and the utopian futures; with the former underpinned by collective anthropocentrism and the latter by collective ecocentrism. We conclude that speculative utopias, that are not bound by the requirement of perceived plausibility, can provide a powerful tool to scrutinize and extend science-based future scenarios, such as the SSPs, to consider other aspects, such as different mindsets and norm-breaking solutions.</w:t>
      </w:r>
    </w:p>
    <w:p>
      <w:r>
        <w:t>POSSIBLE 2022: Updating global urbanization projections under the Shared Socioeconomic Pathways — https://doi.org/10.1038/s41597-022-01209-5</w:t>
      </w:r>
    </w:p>
    <w:p>
      <w:r>
        <w:t>Shared claim-specific concepts: shared, socioeconomic, pathways, climate; EU scope not established. This is a provisional connection, not an outcome finding.</w:t>
      </w:r>
    </w:p>
    <w:p>
      <w:r>
        <w:t>Available abstract (not full text): Urbanization level is an important indicator of socioeconomic development, and projecting its dynamics is fundamental for studies related to global socioeconomic and climate change. This paper aims to update the projections of global urbanization from 2015 to 2100 under the Shared Socioeconomic Pathways by using the logistic fitting model and iteratively identifying reference countries. Based on historical urbanization level database from the World Urbanization Prospects, projected urbanization levels and uncertainties are provided for 204 countries and areas every five years. The 2010-2100 year-by-year projected urbanization levels and uncertainties based on the annual historical data from the World Bank (WB) for 188 of countries and areas are also provided. The projections based on the two datasets were compared and the latter were validated using the historical values of the WB for the years 2010-2018. The updated dataset of urbanization level is relevant for understanding future socioeconomic development, its implications for climate change and policy planning.</w:t>
      </w:r>
    </w:p>
    <w:p>
      <w:r>
        <w:t>POSSIBLE 2022: Global gridded GDP data set consistent with the shared socioeconomic pathways — https://doi.org/10.1038/s41597-022-01300-x</w:t>
      </w:r>
    </w:p>
    <w:p>
      <w:r>
        <w:t>Shared claim-specific concepts: shared, socioeconomic, pathways, ssps, set, regional; EU scope not established. This is a provisional connection, not an outcome finding.</w:t>
      </w:r>
    </w:p>
    <w:p>
      <w:r>
        <w:t>Available abstract (not full text): The vulnerability, exposure and resilience of socioeconomic activities to future climate extremes call for high-resolution gridded GDP in climate change adaptation and mitigation research. While global socioeconomic projections are provided mainly at the national level, and downscaling approaches using nighttime light (NTL) images or gridded population data can increase the uncertainty due to limitations. Therefore, we adopt an NTL-population-based approach, which exhibits higher accuracy in socioeconomic disaggregation. Gross regional product of over 800 provinces, which covering over 60% of the global land surface and accounted for more than 80% of GDP in 2005, were used as input. We present a first set of comparable spatially explicit global gridded GDP projections with fine spatial resolutions of 30 arc-seconds and 0.25 arc-degrees for the historical period of 2005 and for 2030-2100 at 10-year intervals under the five SSPs, accounting for the two-child policy in China. This gridded GDP projection dataset can broaden the applicability of GDP data, the availability of which is necessary for socioeconomic and climate change research.</w:t>
      </w:r>
    </w:p>
    <w:p>
      <w:r>
        <w:t>POSSIBLE 2021: Future cooling gap in shared socioeconomic pathways — https://doi.org/10.1088/1748-9326/ac2195</w:t>
      </w:r>
    </w:p>
    <w:p>
      <w:r>
        <w:t>Shared claim-specific concepts: shared, socioeconomic, pathways, ssps, regional, climate; EU scope not established. This is a provisional connection, not an outcome finding.</w:t>
      </w:r>
    </w:p>
    <w:p>
      <w:r>
        <w:t>Available abstract (not full text): Abstract The extent to which societies will globally be able to adapt to climate change is not well understood. Here we analyze socioeconomic dimensions of adaptive capacity of populations to deal with heat stress and find income, urbanization and income inequality to be important factors in explaining adaptation to heat stress with air conditioning (AC). Using the scenario framework of the Shared Socioeconomic Pathways (SSPs), we estimate the future cooling gap, which represents the difference between the population exposed to heat stress and the population able to protect against heat stress with AC. Depending on the scenario of socioeconomic development, total population affected by the cooling gap may vary between 2 billion and 5 billion people in 2050, with the scenario-dependent range widening further towards the end of the century. Our analysis shows vast regional inequalities in adaptive capacity for one of the most universal manifestations of climate change, underscoring the need to account for the different potential levels of adaptive capacity in assessments of climate change impacts.</w:t>
      </w:r>
    </w:p>
    <w:p>
      <w:r>
        <w:t>POSSIBLE 2021: China's energy-related carbon emissions projections for the shared socioeconomic pathways — https://doi.org/10.1016/j.resconrec.2021.105456</w:t>
      </w:r>
    </w:p>
    <w:p>
      <w:r>
        <w:t>Shared claim-specific concepts: shared, socioeconomic, pathways; EU scope not established. This is a provisional connection, not an outcome finding.</w:t>
      </w:r>
    </w:p>
    <w:p>
      <w:r>
        <w:t>Available abstract (not full text): Unavailable</w:t>
      </w:r>
    </w:p>
    <w:p>
      <w:r>
        <w:t>POSSIBLE 2021: Gridded GDP Projections Compatible With the Five SSPs (Shared Socioeconomic Pathways) — https://doi.org/10.3389/fbuil.2021.760306</w:t>
      </w:r>
    </w:p>
    <w:p>
      <w:r>
        <w:t>Shared claim-specific concepts: shared, socioeconomic, pathways, ssps, climate; EU scope not established. This is a provisional connection, not an outcome finding.</w:t>
      </w:r>
    </w:p>
    <w:p>
      <w:r>
        <w:t>Available abstract (not full text): Historical and future spatially explicit population and gross domestic product (GDP) data are essential for the analysis of future climate risks. Unlike population projections that are generally available, GDP projections—particularly for scenarios compatible with shared socioeconomic pathways (SSPs)—are limited. Our objective is to perform a high-resolution and long-term GDP estimation under SSPs utilizing a wide variety of geographic auxiliary information. We estimated the GDP in a 1/12-degree grid scale. The estimation is done through downscaling of historical GDP data for 1850–2010 and SSP future scenario data for 2010–2100. In the downscaling, we first modeled the spatial and economic interactions among cities and projected different future urban growth patterns according to the SSPs. Subsequently, the projected patterns and other auxiliary geographic data were used to estimate the gridded GDP distributions. Finally, the GDP projections were visualized via three-dimensional mapping to enhance the clarity for multiple stakeholders. Our results suggest that the spatial pattern of urban and peri-urban GDP depends considerably on the SSPs; the GDP of the existing major cities grew rapidly under SSP1, moderately grew under SSP 2 and SSP4, slowly grew under SSP3, and dispersed growth under SSP5.</w:t>
      </w:r>
    </w:p>
    <w:p>
      <w:r>
        <w:t>POSSIBLE 2021: A Walk Through the Shared Socioeconomic Pathways — https://doi.org/10.37099/mtu.dc.yeah-conference/april2021/all-events/36</w:t>
      </w:r>
    </w:p>
    <w:p>
      <w:r>
        <w:t>Shared claim-specific concepts: shared, socioeconomic, pathways, climate, they; EU scope not established. This is a provisional connection, not an outcome finding.</w:t>
      </w:r>
    </w:p>
    <w:p>
      <w:r>
        <w:t>Available abstract (not full text): Science communication stands increasingly important in a world that feels the growing effects of climate change. The Shared Socioeconomic Pathways are five different human behavior predictions to climate change that have only been communicated through scientific papers. This comic aims to communicate these scenarios without the barriers that scientific papers often hold.The scenarios range from Fossil Fuel Development, to Inequality, to Sustainability. Drawn with inspiration from artist Roy Lichtenstein, they illustrate these scenarios in simplified yet graphic depictions. The 5 scenarios are important to understand in order to navigate these next couple of pivotal years with social, economic, and environmental sound.</w:t>
      </w:r>
    </w:p>
    <w:p>
      <w:r>
        <w:t>POSSIBLE 2020: Global projections of future urban land expansion under shared socioeconomic pathways — https://doi.org/10.1038/s41467-020-14386-x</w:t>
      </w:r>
    </w:p>
    <w:p>
      <w:r>
        <w:t>Shared claim-specific concepts: shared, socioeconomic, pathways, ssps, impacts; EU scope not established. This is a provisional connection, not an outcome finding.</w:t>
      </w:r>
    </w:p>
    <w:p>
      <w:r>
        <w:t>Available abstract (not full text): Despite its small land coverage, urban land and its expansion have exhibited profound impacts on global environments. Here, we present the scenario projections of global urban land expansion under the framework of the shared socioeconomic pathways (SSPs). Our projections feature a fine spatial resolution of 1 km to preserve spatial details. The projections reveal that although global urban land continues to expand rapidly before the 2040s, China and many other Asian countries are expected to encounter substantial pressure from urban population decline after the 2050s. Approximately 50-63% of the newly expanded urban land is expected to occur on current croplands. Global crop production will decline by approximately 1-4%, corresponding to the annual food needs for a certain crop of 122-1389 million people. These findings stress the importance of governing urban land development as a key measure to mitigate its negative impacts on food production.</w:t>
      </w:r>
    </w:p>
    <w:p>
      <w:r>
        <w:t>POSSIBLE 2020: A framework for nitrogen futures in the shared socioeconomic pathways — https://doi.org/10.1016/j.gloenvcha.2019.102029</w:t>
      </w:r>
    </w:p>
    <w:p>
      <w:r>
        <w:t>Shared claim-specific concepts: shared, socioeconomic, pathways, climate, within, impacts; EU scope not established. This is a provisional connection, not an outcome finding.</w:t>
      </w:r>
    </w:p>
    <w:p>
      <w:r>
        <w:t>Available abstract (not full text): century is crucial for scientists and decision-makers from local to global scales. Scenario analysis is the primary tool for doing so, and has been applied across all major environmental issues, including nitrogen pollution. However, to date most scenario efforts addressing nitrogen flows have either taken a narrow approach, focusing on a singular impact or sector, or have not been integrated within a broader scenario framework - a missed opportunity given the multiple environmental and socio-economic impacts that nitrogen pollution exacerbates. Capitalizing on our expanding knowledge of nitrogen flows, this study introduces a framework for new nitrogen-focused narratives based on the widely used Shared Socioeconomic Pathways that include all the major nitrogen-polluting sectors (agriculture, industry, transport and wastewater). These new narratives are the first to integrate the influence of climate and other environmental pollution control policies, while also incorporating explicit nitrogen-control measures. The next step is for them to be used as model inputs to evaluate the impact of different nitrogen production, consumption and loss trajectories, and thus advance understanding of how to address environmental impacts while simultaneously meeting key development goals. This effort is an important step in assessing how humanity can return to the planetary boundary of this e</w:t>
      </w:r>
    </w:p>
    <w:p>
      <w:r>
        <w:t>POSSIBLE 2020: Provincial and gridded population projection for China under shared socioeconomic pathways from 2010 to 2100 — https://doi.org/10.1038/s41597-020-0421-y</w:t>
      </w:r>
    </w:p>
    <w:p>
      <w:r>
        <w:t>Shared claim-specific concepts: shared, socioeconomic, pathways, ssps, climate, potential; EU scope not established. This is a provisional connection, not an outcome finding.</w:t>
      </w:r>
    </w:p>
    <w:p>
      <w:r>
        <w:t>Available abstract (not full text): In response to a growing demand for subnational and spatially explicit data on China's future population, this study estimates China's provincial population from 2010 to 2100 by age (0-100+), sex (male and female) and educational levels (illiterate, primary school, junior-high school, senior-high school, college, bachelor's, and master's and above) under different shared socioeconomic pathways (SSPs). The provincial projection takes into account fertility promoting policies and population ceiling restrictions of megacities that have been implemented in China in recent years to reduce systematic biases in current studies. The predicted provincial population is allocated to spatially explicit population grids for each year at 30 arc-seconds resolution based on representative concentration pathway (RCP) urban grids and historical population grids. The provincial projection data were validated using population data in 2017 from China's Provincial Statistical Yearbook, and the accuracy of the population grids in 2015 was evaluated. These data have numerous potential uses and can serve as inputs in climate policy research with requirements for precise administrative or spatial population data in China.</w:t>
      </w:r>
    </w:p>
    <w:p>
      <w:pPr>
        <w:pStyle w:val="Heading2"/>
      </w:pPr>
      <w:r>
        <w:t>Public health air pollution impacts of pathway options to meet the 2050 UK Climate Change Act target: a modelling study</w:t>
      </w:r>
    </w:p>
    <w:p>
      <w:r>
        <w:t>Original source (2018): https://doi.org/10.3310/phr06070</w:t>
      </w:r>
    </w:p>
    <w:p>
      <w:r>
        <w:t>Original wording (abstract; indexed_source_text_not_full_document_verified): Concentrations of PM2.5show a modest decrease by 2050, which would have been larger if it had not been for a significant increase in biomass (wood burning) use in the two CCA scenarios peaking in 2035. Conclusions We have established a system which can be used to explore a wider range of climate policy scenarios, including more European and global scenarios as well as local measures.</w:t>
      </w:r>
    </w:p>
    <w:p>
      <w:r>
        <w:t>POSSIBLE 2026: Air Quality Based on the Spatial-Temporal Variations of Particulate Matter (PM2.5 and PM10)Concentrations Using R — https://doi.org/10.22401/anjs.29.2.06</w:t>
      </w:r>
    </w:p>
    <w:p>
      <w:r>
        <w:t>Shared claim-specific concepts: concentrations, pm2, show, used; EU scope visible. This is a provisional connection, not an outcome finding.</w:t>
      </w:r>
    </w:p>
    <w:p>
      <w:r>
        <w:t>Available abstract (not full text): Air pollution is an escalating health problem in Iraq, particularly since dry and semi-dry conditions often exacerbate the loads of airborne dust and particles. We assess the impact of fine particulate matter PM2. with freely available Copernicus Atmosphere Monitoring Service (CAMS) products from the European Centre for Medium-Range Weather forecast (ECMWF) over Iraq. The analyses were performed on the year 2021, with a focus from January to March due to higher pollution levels within this period, it can be expected that particle concentrations are elevated. We also calculated the annual mean PM2. PM2. 5 and PM10 for 2021 are provided for a more global perspective with relevant international air-quality reference level. We used spatial methods in R to apply particulate matter fields to 20 of Iraq’s major cities, which allowed us to map geographic inconsistencies and areas with chronically high pollution. Results show that regional contrasts are considered very strong: PM2. 5 and PH10 than cities situated north or southwest. The observed patterns are in line with the synergistic influences of weather variability, recurrent dust storms, and local emissions associated with oil industry activity and urban stressors. PM2. In the most polluted areas, it was trained to 2023 data. Large portion of fine particles as implied by 5 relative to PM10.In total, mean PM concentrations were abo</w:t>
      </w:r>
    </w:p>
    <w:p>
      <w:r>
        <w:t>POSSIBLE 2026: Mortality and long-term exposure to source-specific PM2·5: evidence from a national cohort study in China — https://doi.org/10.1016/j.lanplh.2025.101400</w:t>
      </w:r>
    </w:p>
    <w:p>
      <w:r>
        <w:t>Shared claim-specific concepts: concentrations, pm2, show, increase, system, used; EU scope not established. This is a provisional connection, not an outcome finding.</w:t>
      </w:r>
    </w:p>
    <w:p>
      <w:r>
        <w:t>Available abstract (not full text): Background The hazardous effects of fine particulate matter (PM 2·5 ) could vary by source. However, evidence regarding the long-term effects of source-specific PM 2·5 on mortality is scarce, particularly in countries with high levels of pollution. We aimed to assess the associations between long-term exposure to source-specific PM 2·5 and mortality in China, a low-income and middle-income country with high concentrations of PM 2·5 . Methods This nationwide cohort study used data from the 2010–11 wave of the China Chronic Disease and Risk Factor Surveillance (CCDRFS) project, which surveyed a geographically and socioeconomically representative sample of participants aged 18 years and older across mainland China. Participants were followed up through mortality information from the national Disease Surveillance Point system. Source-specific PM 2·5 concentrations were estimated by combining high-resolution concentration predictions generated by a random forest model with estimates of the proportions contributed by each of six PM 2·5 sources—industry, energy, transportation, residential, agriculture, and other—derived from the Community Multiscale Air Quality model. A Cox proportional hazards model, in which exposures were treated as time-varying covariates, was used to evaluate the associations between long-term exposure to source-specific PM 2·5 and mortality from total non-accid</w:t>
      </w:r>
    </w:p>
    <w:p>
      <w:r>
        <w:t>POSSIBLE 2026: Development of an OEE Availability Framework for Maintenance Decision Making on PM1 and PM2 : A case study of Smurfit Westrock Piteå AB — https://openalex.org/W7204503844</w:t>
      </w:r>
    </w:p>
    <w:p>
      <w:r>
        <w:t>Shared claim-specific concepts: pm2, not, two, system; EU scope visible. This is a provisional connection, not an outcome finding.</w:t>
      </w:r>
    </w:p>
    <w:p>
      <w:r>
        <w:t>Available abstract (not full text): Availability loss classification in continuous kraftliner manufacturing remains underdeveloped. At site level,downtime is categorized into broad fault categories, while academic literature has mostly applied top-down,discrete-manufacturing frameworks to continuous processes without an inductively derived, site-specific taxonomy. This thesis develops an inductively derived, multi-layer availability-loss taxonomy for two continuous kraftliner machines, structuring losses by failure category, mechanism sub-layer, machine location,and engineering work-center ownership for Smurfit Westrock Piteå, Europe's largest kraftliner producer.Through content analysis of 183 SAP maintenance work orders, data extracts from automated downtime monitoring system, daily production reports and machine drawings, a three-cycle constant-comparative process yielded 18 unplanned downtime categories and 8 planned maintenance classes which are exhaustive and mutually exclusive across the observed loss event time window. The taxonomy was validated for exhaustiveness and quantification accuracy through reconciliation against the company's separately aggregated company availability report based on the same underlying sensor data, agreeing to 92.4% for PM1 and 96.3%for PM2. Unplanned failure classification consistency was governed by a deterministic decision rulebook that resolved 70.8% of events by explicit r</w:t>
      </w:r>
    </w:p>
    <w:p>
      <w:r>
        <w:t>POSSIBLE 2025: Healthful plant-based dietary patterns, PM2·5 exposure and the risk of heart failure: a population-based cohort study — https://doi.org/10.1017/s0007114525000698</w:t>
      </w:r>
    </w:p>
    <w:p>
      <w:r>
        <w:t>Shared claim-specific concepts: pm2, use, two; EU scope not established. This is a provisional connection, not an outcome finding.</w:t>
      </w:r>
    </w:p>
    <w:p>
      <w:r>
        <w:t>Available abstract (not full text): Abstract Fine particulate matter (PM2·5) is a known risk factor for heart failure (HF), while plant-based dietary patterns may help reduce HF risk. This study examined the combined impact of PM2·5 exposure and a plant-based diet on HF incidence. A total of 190 092 participants from the UK Biobank were included in this study. HF cases were identified through linkage to the UK National Health Services register, with follow-up lasting until October 2022 in England, August 2022 in Scotland and May 2022 in Wales. Annual mean PM2·5 concentration was obtained using a land use regression model, while the healthful plant-based diet index (hPDI) was calculated using the Oxford WebQ tool based on two or more 24-hour dietary assessments of seventeen major food groups. Cox proportional hazard models assessed the associations of PM2·5 and hPDI with HF risk, and interactions were evaluated on additive and multiplicative scales. During a median of 13·4-year follow-up, 4351 HF cases were recorded. Participants in the highest PM2·5 tertile had a 23 % increased HF risk (hazard ratio: 1·23, 95 % CI: 1·14, 1·32) compared with those in the lowest tertile. Moderate or high hPDI was associated with reduced HF risk relative to low hPDI. The lowest HF risk was observed in individuals with high hPDI and low PM2·5 exposure, underscoring the protective role of a plant-based diet, particularly in areas with</w:t>
      </w:r>
    </w:p>
    <w:p>
      <w:r>
        <w:t>POSSIBLE 2024: Discussed Poster Abstracts – PM2 — https://doi.org/10.1111/fcp.13016</w:t>
      </w:r>
    </w:p>
    <w:p>
      <w:r>
        <w:t>Shared claim-specific concepts: pm2, two, used; EU scope not established. This is a provisional connection, not an outcome finding.</w:t>
      </w:r>
    </w:p>
    <w:p>
      <w:r>
        <w:t>Available abstract (not full text): Introduction: Acute generalized exanthematous pustulosis (AGEP) is a rare form of severe cutaneous adverse drug reaction.Because of change regarding drug prescription over time, new drugs emerge as causative agents.Our objective was to assess new drugs associated with AGEP such as heterogeneity regarding delays between drug intake and AGEP onset.Material and methods: We used VigiBase, the WHO pharmacovigilance database.Two periods of interest were extracted: period 1 (2007-2012), as control period; and period 2 (2017-2022) to assess newly associated drugs.Overall reports of AGEP recorded in period 1 and period 2 were analyzed.To assess drug associated with AGEP, the information component and the lower limit of its 95% credibility interval (IC025) was used.IC025 ≥ 0 is the statistical threshold used in Vigibase.Additionally, in order to group drugs according to the delay between drug intake and AGEP onset, we performed a clustering analysis.Results: A total of 635 and 3832 reports were recorded in period 1 and 2 respectively.A total of 64 drugs were newly associated during period 2. Period 2 particularly highlighted the new association of antimicrobials, such as meropenem (IC025 3.52), valaciclovir (IC025 3.83) and acyclovir (IC025 2.00), nystatin (IC025 3.76) and itraconazole (IC025 2.67), proton pump inhibitors such as pantoprazole (IC025 1.17), diuretics such as acetazolamide</w:t>
      </w:r>
    </w:p>
    <w:p>
      <w:r>
        <w:t>POSSIBLE 2024: Time Series Analysis PM2•5 Concentration for Capital City Dhaka from 2016 to 2023 — https://doi.org/10.11648/sf.20240501.15</w:t>
      </w:r>
    </w:p>
    <w:p>
      <w:r>
        <w:t>Shared claim-specific concepts: pm2, significant, biomass, burning, range; EU scope not established. This is a provisional connection, not an outcome finding.</w:t>
      </w:r>
    </w:p>
    <w:p>
      <w:r>
        <w:t>Available abstract (not full text): Dhaka, as the epicenter of economic, political, and cultural activity, has been actively pursuing urbanization, modernization, and development in line with global trends. The rise in unplanned urbanization, industrialization, and other human activities have led to an escalation in air pollution levels. The quality of air in Dhaka is progressively declining over time. It has become a significant challenge due to its detrimental effects on both human health and the environment. The objectives of the study to analyze the air quality in Dhaka city over eight years, from 2016 to 2023 and to assess the relation between concentration of PM2•5 and meteorological characteristics in Dhaka city. AQI and PM2•5 data has been collected from the website of U.S. Embassy Dhaka and meteorological data from the Bangladesh Meteorological Department (BMD). Data processing and analysis have been conducted by using SPSS and Microsoft Excel. Annual variations indicated that 2023 experienced the highest air pollution levels with an average PM2•5 concentration of 103.67 µg/m³ which is 2.96 times higher than the national ambient air quality standards level. Furthermore, shifting variation analysis demonstrated that air quality deteriorated in the night to morning, reaching an unhealthy level, largely attributed to heavy traffic. Along with that seasonal variations illustrate that winter had the highest P</w:t>
      </w:r>
    </w:p>
    <w:p>
      <w:r>
        <w:t>POSSIBLE 2024: Estimates of global mortality burden associated with short-term exposure to fine particulate matter (PM2·5) — https://doi.org/10.1016/s2542-5196(24)00003-2</w:t>
      </w:r>
    </w:p>
    <w:p>
      <w:r>
        <w:t>Shared claim-specific concepts: concentrations, pm2, not; EU scope not established. This is a provisional connection, not an outcome finding.</w:t>
      </w:r>
    </w:p>
    <w:p>
      <w:r>
        <w:t>Available abstract (not full text): Background The acute health effects of short-term (hours to days) exposure to fine particulate matter (PM 2·5 ) have been well documented; however, the global mortality burden attributable to this exposure has not been estimated. We aimed to estimate the global, regional, and urban mortality burden associated with short-term exposure to PM 2·5 and the spatiotemporal variations in this burden from 2000 to 2019. Methods We combined estimated global daily PM 2·5 concentrations, annual population counts, country-level mortality rates, and epidemiologically derived exposure–response functions to estimate the mortality attributable to short-term PM 2·5 exposure from 2000 to 2019, in the continental regions and in 13 189 urban centres worldwide at a spatial resolution of 0·1° × 0·1°. We tested the robustness of our mortality estimates with different theoretical minimum risk exposure levels, lag effects, and exposure–response functions. Findings Approximately 1 million (95% CI 690 000–1·3 million) premature deaths per year from 2000 to 2019 were attributable to short-term PM 2·5 exposure, representing 2·08% (1·41–2·75) of total global deaths or 17 (11–22) premature deaths per 100 000 population. Annually, 0·23 million (0·15 million–0·30 million) deaths attributable to short-term PM 2·5 exposure were in urban areas, constituting 22·74% of the total global deaths attributable to this cau</w:t>
      </w:r>
    </w:p>
    <w:p>
      <w:r>
        <w:t>POSSIBLE 2024: Estimating the effect of annual PM2·5 exposure on mortality in India: a difference-in-differences approach — https://doi.org/10.1016/s2542-5196(24)00248-1</w:t>
      </w:r>
    </w:p>
    <w:p>
      <w:r>
        <w:t>Shared claim-specific concepts: concentrations, pm2, not, increase, use, system; EU scope not established. This is a provisional connection, not an outcome finding.</w:t>
      </w:r>
    </w:p>
    <w:p>
      <w:r>
        <w:t>Available abstract (not full text): Background In 2019, the Global Burden of Diseases, Injuries, and Risk Factors Study attributed 0·98 million deaths to ambient air pollution in India based on potentially inappropriate exposure–response functions from countries with low air pollution levels. Instead, using data from India, we investigated long-term exposure to PM 2·5 and all-cause mortality with a causal inference method. Methods We collected national counts of annual mortality from 2009 to 2019 from the Civil Registration System at the district level to calculate annual district-level mortality rate as our main outcome and obtained annual PM 2·5 concentrations from a high-resolution spatiotemporal model. We applied an extended version of the difference-in-differences design by use of generalised additive models with quasi-Poisson distribution, including indicator variables and separate time trends for spatial administrative divisions. PM 2·5 concentrations obtained at 1 km × 1 km spatial resolution across the country were used to calculate annual district-level mean PM 2·5 concentrations. Similarly, we collected confounders at the district level, such as mean and SD of quarterly temperatures, gross domestic product per capita, population aged 60 years or older, clean cooking fuel usage, literacy in women, and median age. The spatial unit of analysis was administrative division. Findings The annual median popula</w:t>
      </w:r>
    </w:p>
    <w:p>
      <w:r>
        <w:t>POSSIBLE 2024: Seasonal Trend Analysis of Major Air Pollutant (PM2:5 and PM10) Concentration in Visakhapatnam During 2020 – 2022: A Case Study — https://doi.org/10.17485/ijst/v17i3.2549</w:t>
      </w:r>
    </w:p>
    <w:p>
      <w:r>
        <w:t>Shared claim-specific concepts: concentrations, pm2, decrease, range; EU scope not established. This is a provisional connection, not an outcome finding.</w:t>
      </w:r>
    </w:p>
    <w:p>
      <w:r>
        <w:t xml:space="preserve">Available abstract (not full text): Objective: The main objective of the present study is to analyze the seasonal variations of major particulate air pollutants (PM2.5 and PM10) from January 2020 to December 2022 in the industrially developed Visakhapatnam City and its comparison with previous existing studies from January 2018 - December 2020. Methods: The real-time daily mass concentrations of air pollutants in Visakhapatnam recorded by the Central Pollution Control Board (CPCB) are collected for the present study. The monthly average observations of pollutants such as PM2.5, PM10, and PM2.5/PM10 in each season are considered for the present study, and pollutants trends are studied from January 2020 - December 2022. The fine particles below 100μm (RSPM) and coarse particles &gt; 100μm (TSPM) are treated as primary pollutants and pollutant concentration is determined based on prevailing meteorological and topographic factors. In the present study, the pollutant intensity is analyzed using the Pearson correlation coefficient for various seasons. Similarly, statistical analysis is also implemented on particulate air pollutants (PM2.5 and PM10) from January 2020 to December 2022. Findings: From Table 1 PM2.5 levels fall within the range of 16 - 96 μg/m3 and the minimum PM2.5 level is in April 2020 and maximum in December 2020. According to AQI standards, moderate pollution indicates the fall of the PM10 levels within </w:t>
      </w:r>
    </w:p>
    <w:p>
      <w:r>
        <w:t>POSSIBLE 2024: Trends in Air Pollution in Europe, 2000–2019 — https://doi.org/10.4209/aaqr.230237</w:t>
      </w:r>
    </w:p>
    <w:p>
      <w:r>
        <w:t>Shared claim-specific concepts: concentrations, pm2, show, significant; EU scope visible. This is a provisional connection, not an outcome finding.</w:t>
      </w:r>
    </w:p>
    <w:p>
      <w:r>
        <w:t>Available abstract (not full text):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r>
        <w:t>POSSIBLE 2023: Effects of urban to regional emissions on the air pollution health burden in Europe — https://doi.org/10.1016/s2468-2667(23)00125-1</w:t>
      </w:r>
    </w:p>
    <w:p>
      <w:r>
        <w:t>Shared claim-specific concepts: pm2, show, larger, not, significant, used; EU scope visible. This is a provisional connection, not an outcome finding.</w:t>
      </w:r>
    </w:p>
    <w:p>
      <w:r>
        <w:t>Available abstract (not full text): Ambient air pollution is one of the largest health risk factors facing populations globally;1Cohen AJ Brauer M Burnett R et al.Estimates and 25-year trends of the global burden of disease attributable to ambient air pollution: an analysis of data from the Global Burden of Diseases Study 2015.Lancet. 2017; 389: 1907-1918Summary Full Text Full Text PDF PubMed Scopus (3543) Google Scholar however, who is responsible for pollution exposure across various populations is unclear. Is attainment of clean air the provenance of municipal governments, or does it require coordinated action with neighbouring upwind cities, states or provinces, and countries, or even intercontinental agreements? Many studies have sought to address this question, from investigations of hemispheric atmospheric transport affecting continental mean pollutant concentrations2Dentener F Keating T Akimoto H Hemispheric transport of air pollution 2010. Part A: ozone and particulate matter. UN, New York, NY, and Geneva2010Google Scholar to quantifying the role of municipal emissions in air quality in individual cities.3Tessum MW Anenberg SC Chafe ZA et al.Sources of ambient PM2·5 exposure in 96 global cities.Atmos Environ. 2022; 286119234Crossref Scopus (4) Google Scholar, 4Nawaz MO Henze DK Anenberg SC et al.Sources of air pollution-related health impacts and benefits of radially applied transportation policies in 14</w:t>
      </w:r>
    </w:p>
    <w:p>
      <w:r>
        <w:t>POSSIBLE 2023: Long-term mortality burden trends attributed to black carbon and PM2·5 from wildfire emissions across the continental USA from 2000 to 2020: a deep learning modelling study — https://doi.org/10.1016/s2542-5196(23)00235-8</w:t>
      </w:r>
    </w:p>
    <w:p>
      <w:r>
        <w:t>Shared claim-specific concepts: concentrations, pm2, decrease, significant, increase, climate; EU scope not established. This is a provisional connection, not an outcome finding.</w:t>
      </w:r>
    </w:p>
    <w:p>
      <w:r>
        <w:t>Available abstract (not full text): Background Long-term improvements in air quality and public health in the continental USA were disrupted over the past decade by increased fire emissions that potentially offset the decrease in anthropogenic emissions. This study aims to estimate trends in black carbon and PM 2·5 concentrations and their attributable mortality burden across the USA. Methods In this study, we derived daily concentrations of PM 2·5 and its highly toxic black carbon component at a 1-km resolution in the USA from 2000 to 2020 via deep learning that integrated big data from satellites, models, and surface observations. We estimated the annual PM 2·5 -attributable and black carbon-attributable mortality burden at each 1-km 2 grid using concentration–response functions collected from a national cohort study and a meta-analysis study, respectively. We investigated the spatiotemporal linear-regressed trends in PM 2·5 and black carbon pollution and their associated premature deaths from 2000 to 2020, and the impact of wildfires on air quality and public health. Findings Our results showed that PM 2·5 and black carbon estimates are reliable, with sample-based cross-validated coefficients of determination of 0·82 and 0·80, respectively, for daily estimates (0·97 and 0·95 for monthly estimates). Both PM 2·5 and black carbon in the USA showed significantly decreasing trends overall during 2000 to 2020 (22% d</w:t>
      </w:r>
    </w:p>
    <w:p>
      <w:pPr>
        <w:pStyle w:val="Heading2"/>
      </w:pPr>
      <w:r>
        <w:t>Renewable and Sustainable Energy Transitions for Countries with Different Climates and Renewable Energy Sources Potentials</w:t>
      </w:r>
    </w:p>
    <w:p>
      <w:r>
        <w:t>Original source (2018): https://doi.org/10.3390/en11123523</w:t>
      </w:r>
    </w:p>
    <w:p>
      <w:r>
        <w:t>Original wording (abstract; indexed_source_text_not_full_document_verified): The outcomes of the new scenarios support the future national plans, showing how decarburization in an energy system can occur in relation to the European Roadmap 2030 and 2050.</w:t>
      </w:r>
    </w:p>
    <w:p>
      <w:r>
        <w:t>POSSIBLE 2024: Developing a European Psychotherapy Consortium (EPoC): Towards adopting a single-item self-report outcome measure across European countries — https://doi.org/10.32872/cpe.13827</w:t>
      </w:r>
    </w:p>
    <w:p>
      <w:r>
        <w:t>Shared claim-specific concepts: outcomes, support, relation; EU scope visible. This is a provisional connection, not an outcome finding.</w:t>
      </w:r>
    </w:p>
    <w:p>
      <w:r>
        <w:t>Available abstract (not full text): Background: Complementing the development of evidence-based psychological therapies, practice-based evidence has developed from patient samples collected in routine care, addressing questions relevant to patients and practitioners, and thereby expanding our knowledge of psychological therapies and their impact. Implementation of assessments in routine care allows for timely clinical decision support and the collection of multiple practice-based data sets by addressing the needs of patients and clinicians (e.g., routine outcome monitoring) and the needs of researchers (e.g., identifying the impact of therapist variables on outcomes). Method: In this article we describe an initiative developed in Europe, through the European Chapter of the Society for Psychotherapy Research, aimed at creating a consortium that has the potential for collecting data on tens of thousands of patients per year. Results: A survey identified one of the main problems in the development of a common data set to be the heterogeneity of measures used by members (e.g., 87 different pre-post outcomes). We report on the results of the survey and the initial stage of identifying a single-item - the Emotional and Psychological Outcome (EPO-1) - measure and the process of its translation into multiple European languages. Conclusions: We conclude this first stage of the overall project by discussing the future pote</w:t>
      </w:r>
    </w:p>
    <w:p>
      <w:r>
        <w:t>POSSIBLE 2023: European Consensus Guidelines on the Management of Respiratory Distress Syndrome: 2022 Update — https://doi.org/10.1159/000528914</w:t>
      </w:r>
    </w:p>
    <w:p>
      <w:r>
        <w:t>Shared claim-specific concepts: support, system; EU scope visible. This is a provisional connection, not an outcome finding.</w:t>
      </w:r>
    </w:p>
    <w:p>
      <w:r>
        <w:t>Available abstract (not full text): Respiratory distress syndrome (RDS) care pathways evolve slowly as new evidence emerges. We report the sixth version of "European Guidelines for the Management of RDS" by a panel of experienced European neonatologists and an expert perinatal obstetrician based on available literature up to end of 2022. Optimising outcome for babies with RDS includes prediction of risk of preterm delivery, appropriate maternal transfer to a perinatal centre, and appropriate and timely use of antenatal steroids. Evidence-based lung-protective management includes initiation of non-invasive respiratory support from birth, judicious use of oxygen, early surfactant administration, caffeine therapy, and avoidance of intubation and mechanical ventilation where possible. Methods of ongoing non-invasive respiratory support have been further refined and may help reduce chronic lung disease. As technology for delivering mechanical ventilation improves, the risk of causing lung injury should decrease, although minimising time spent on mechanical ventilation by targeted use of postnatal corticosteroids remains essential. The general care of infants with RDS is also reviewed, including emphasis on appropriate cardiovascular support and judicious use of antibiotics as being important determinants of best outcome. We would like to dedicate this guideline to the memory of Professor Henry Halliday who died on Nov</w:t>
      </w:r>
    </w:p>
    <w:p>
      <w:r>
        <w:t>POSSIBLE 2022: Understanding Public Support for European Protected Areas: A Review of the Literature and Proposing a New Approach for Policy Makers — https://doi.org/10.3390/land11050733</w:t>
      </w:r>
    </w:p>
    <w:p>
      <w:r>
        <w:t>Shared claim-specific concepts: outcomes, support, system; EU scope visible. This is a provisional connection, not an outcome finding.</w:t>
      </w:r>
    </w:p>
    <w:p>
      <w:r>
        <w:t>Available abstract (not full text): Protected Areas are the most widely applied policy tool for biodiversity conservation. In Europe, protected areas are expected to significantly increase as the new EU Biodiversity strategy sets an ambitious target of 30% of land and 30% of water to be protected by 2030. Despite the popularity of this environmental policy, understanding variations in the level of public support for protected areas remains underexplored. This is an important area of research, considering that, in order for protected areas to be effective, they need to be supported by most users, including local communities and visitors. In this paper, we reviewed theoretical and empirical evidence explaining the level of support for protected areas and proposed a new approach when designing and designating protected areas in Europe. This approach models the process of the introduction of a new protected area as a policy intervention within a socio-ecological system. Specifically, it models how protected area social outcomes or impacts are conditioned and contextualised by numerous intervening factors relating to the social context and governance and management system to influence local actors’ attitude and active support for the protected area. This new approach aims to assist policy makers, conservation practitioners and scientists to plan actions that assist in increasing the level of public support for protect</w:t>
      </w:r>
    </w:p>
    <w:p>
      <w:r>
        <w:t>POSSIBLE 2022: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r>
        <w:t>Shared claim-specific concepts: outcomes, support; EU scope visible. This is a provisional connection, not an outcome finding.</w:t>
      </w:r>
    </w:p>
    <w:p>
      <w:r>
        <w:t>Available abstract (not full text):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r>
        <w:t>POSSIBLE 2021: SCOPE 2021: a new scorecard for osteoporosis in Europe — https://doi.org/10.1007/s11657-020-00871-9</w:t>
      </w:r>
    </w:p>
    <w:p>
      <w:r>
        <w:t>Shared claim-specific concepts: system, relation; EU scope visible. This is a provisional connection, not an outcome finding.</w:t>
      </w:r>
    </w:p>
    <w:p>
      <w:r>
        <w:t xml:space="preserve">Available abstract (not full text): This scorecard summarises key indicators of the burden of osteoporosis and its management in the 27 member states of the European Union, as well as the UK and Switzerland. The resulting scorecard elements, assembled on a single sheet, provide a unique overview of osteoporosis in Europe. INTRODUCTION: The scorecard for osteoporosis in Europe (SCOPE) is a project of the International Osteoporosis Foundation (IOF) that seeks to raise awareness of osteoporosis care in Europe. The aim of this project was to develop a scorecard and background documents to draw attention to gaps and inequalities in the provision of primary and secondary prevention of fractures due to osteoporosis. METHODS: The SCOPE panel reviewed the information available on osteoporosis and the resulting fractures for each of the 27 countries of the European Union plus the UK and Switzerland (termed EU27+2). The information obtained covered four domains: background information (e.g. the burden of osteoporosis and fractures), policy framework, service provision and service uptake, e.g. the proportion of men and women at high risk that do not receive treatment (the treatment gap). RESULTS: There was a marked difference in fracture risk among the EU27+2 countries. Of concern was the marked heterogeneity in the policy framework, service provision and service uptake for osteoporotic fracture that bore little relation to </w:t>
      </w:r>
    </w:p>
    <w:p>
      <w:r>
        <w:t>POSSIBLE 2021: Building Mental Health and Psychosocial Support Capacity During a Pandemic: The Process of Adapting Problem Management Plus for Remote Training and Implementation During COVID-19 in New York City, Europe and East Africa — https://doi.org/10.4103/intv.intv_30_20</w:t>
      </w:r>
    </w:p>
    <w:p>
      <w:r>
        <w:t>Shared claim-specific concepts: outcomes, support; EU scope visible. This is a provisional connection, not an outcome finding.</w:t>
      </w:r>
    </w:p>
    <w:p>
      <w:r>
        <w:t>Available abstract (not full text): On March 11, 2020, COVID-19 was declared a pandemic by the World Health Organization. In response to the sudden rise in COVID-19-related mental health and psychosocial impacts, we embarked on a digital training (e-learning) and remote delivery adaptation for Problem Management Plus Training for Helpers (Remote PM+ Training) based in New York City, four European countries and six African countries. This paper provides an overview of the two Remote PM+ Trainings, including key adaptations and lessons learned across the contexts. Trainings were approximately 75 hours in duration, with a mix of group and individual work, in diverse contexts. Overall, remotely delivered PM+ training and intervention appear appropriate. There were a number of critical lessons learned that contributed to the efficacy of the trainings, such as technological support, digital literacy, preparation and flexibility among the trainers and the trainees. There is also a need for cultural and contextual adaptation towards the delivery of remote training and implementation of PM+. However, the outcomes from these two trainings indicate that PM+ may be adapted for remote (online) training and, if supported with additional studies, could build workforce capacity in contexts in which there is limited in-person access to mental health and psychosocial support services and staff.</w:t>
      </w:r>
    </w:p>
    <w:p>
      <w:r>
        <w:t>POSSIBLE 2020: New guidance on the regulation of allergen products: key aspects and outcomes — https://doi.org/10.1097/aci.0000000000000687</w:t>
      </w:r>
    </w:p>
    <w:p>
      <w:r>
        <w:t>Shared claim-specific concepts: outcomes, support, national; EU scope visible. This is a provisional connection, not an outcome finding.</w:t>
      </w:r>
    </w:p>
    <w:p>
      <w:r>
        <w:t>Available abstract (not full text): PURPOSE OF REVIEW: Key aspects and outcomes from the recently published guidance on the regulation of allergen products are summarized. RECENT FINDINGS: A new regulatory guideline has been published to enhance harmonized national approaches on the regulation of allergen products and thereby strengthen the availability of high-quality products across the European Union (EU). As the guideline was developed, critical aspects for allergen products regulation were identified and are discussed in the document, including recommendations on the regulatory procedures to be applied for diagnostics, allergen immunotherapy products and named-patient products. SUMMARY: The new guidance is expected to provide clarifications on and support harmonization of the regulation of allergen products in the EU.</w:t>
      </w:r>
    </w:p>
    <w:p>
      <w:r>
        <w:t>POSSIBLE 2019: Renewable energy in the European Union: support policy and outcomes — https://doi.org/10.33531/farplss.2019.1.23</w:t>
      </w:r>
    </w:p>
    <w:p>
      <w:r>
        <w:t>Shared claim-specific concepts: outcomes, support, energy; EU scope visible. This is a provisional connection, not an outcome finding.</w:t>
      </w:r>
    </w:p>
    <w:p>
      <w:r>
        <w:t>Available abstract (not full text): The article deals with the study of support schemes for renewable energy promotion in the European Union member states. The main strategic documents that declare short-term and long-term goals to increase the share of green energy in final energy consumption of the European Union are considered. The primary motivational mechanisms aimed at encouraging the production of energy from renewable energy sources, namely feed-in tariff models, feed-in premium model, and tradable green certificate scheme are analyzed. In addition, a number of secondary motivational tools such as tender systems, net metering, tax and customs privileges which are used in combination with the primary mechanisms for more effective promotion of renewable energy are described. The results of the influence of policy in renewable energy field on increasing the share of green energy in the total energy mixes of European Union member states are presented.</w:t>
      </w:r>
    </w:p>
    <w:p>
      <w:pPr>
        <w:pStyle w:val="Heading2"/>
      </w:pPr>
      <w:r>
        <w:t>Renewable jet fuel supply scenarios in the European Union in 2021–2030 in the context of proposed biofuel policy and competing biomass demand</w:t>
      </w:r>
    </w:p>
    <w:p>
      <w:r>
        <w:t>Original source (2018): https://doi.org/10.1111/gcbb.12525</w:t>
      </w:r>
    </w:p>
    <w:p>
      <w:r>
        <w:t>Original wording (abstract; indexed_source_text_not_full_document_verified): Model scenarios show nonfood RJF supply could increase from 1 PJ in 2021 to 165–261 PJ /year (3.8–6.1 million tonne (Mt)/year) by 2030, provided advanced biofuel technologies are developed and adequate (policy) incentives are present. Abstract This study presents supply scenarios of nonfood renewable jet fuel ( RJF ) in the European Union ( EU ) toward 2030, based on the anticipated regulatory context, availability of biomass and conversion technologies, and competing biomass demand from other sectors (i.e., transport, heat, power, and chemicals).</w:t>
      </w:r>
    </w:p>
    <w:p>
      <w:r>
        <w:t>POSSIBLE 2026: Nonfood Geographical Indications as Collective Sustainability Strategies: Governance as a Strategic Capability for Territorial Competitive Advantage — https://doi.org/10.1002/bse.71040</w:t>
      </w:r>
    </w:p>
    <w:p>
      <w:r>
        <w:t>Shared claim-specific concepts: nonfood, abstract, based; EU scope not established. This is a provisional connection, not an outcome finding.</w:t>
      </w:r>
    </w:p>
    <w:p>
      <w:r>
        <w:t xml:space="preserve">Available abstract (not full text): ABSTRACT Nonfood geographical indications (GIs) are increasingly emerging as collective sustainability strategies. They enable territories to transform cultural and productive heritage into sources of long‐term competitive advantage. While existing research recognises their regulatory and cultural relevance, limited attention has been paid to how governance configurations activate nonfood GIs as strategic mechanisms for sustainability‐oriented territorial competitiveness. This study consolidates and systematises the literature through a systematic review conducted using the SPAR‐4‐SLR protocol. Fifty‐four peer‐reviewed studies were analysed through bibliometric mapping and in‐depth thematic analysis to identify the dominant conceptual approaches, governance models and strategic outcomes associated with nonfood GIs. Drawing on the systematic review and its interpretative synthesis, the study conceptualises nonfood GIs as heritage‐based collective business strategies. It develops a layered conceptual framework that positions governance as a strategic capability mediating between territorial resources and sustainability‐oriented competitive outcomes. The framework identifies two systemic strategic trade‐offs that recur across studies and contexts: authenticity protection versus market responsiveness and participatory inclusiveness versus decision‐making agility, shaping long‐term </w:t>
      </w:r>
    </w:p>
    <w:p>
      <w:r>
        <w:t>POSSIBLE 2025: Harnessing Nonfood Biomass for Biodiesel Production: Integration of Hazardous Waste Treatment into Sustainable Energy Solutions — https://doi.org/10.5772/intechopen.1011460</w:t>
      </w:r>
    </w:p>
    <w:p>
      <w:r>
        <w:t>Shared claim-specific concepts: nonfood, advanced; EU scope not established. This is a provisional connection, not an outcome finding.</w:t>
      </w:r>
    </w:p>
    <w:p>
      <w:r>
        <w:t>Available abstract (not full text): This chapter explores the integration of hazardous waste treatment into biodiesel production using nonfood biomass as a sustainable feedstock. Nonfood biomass—such as agricultural residues, lignocellulosic waste, forestry byproducts, and microalgae—represents a promising alternative to food-based biofuels, enabling energy production without compromising food security. Concurrently, the incorporation of hazardous waste streams, including industrial effluents, contaminated biomass, and organic toxins, into bioenergy pathways offers an innovative approach to environmental remediation. Through advanced pretreatment, bioremediation, and catalytic transesterification processes, these waste materials can be converted into high-quality biodiesel. This integrated framework not only addresses the challenges of waste management but also enhances energy circularity, reduces greenhouse gas emissions, and contributes to carbon neutrality. The chapter highlights recent technological advancements, system efficiencies, and sustainability metrics in waste-to-energy systems, providing a roadmap for implementing closed-loop bioenergy strategies. By aligning with circular economy principles and global climate goals, this approach offers a dual benefit—clean energy generation and effective hazardous waste mitigation.</w:t>
      </w:r>
    </w:p>
    <w:p>
      <w:r>
        <w:t>POSSIBLE 2024: Duckweed: Growth factor and applications in nonfood, food, and health — https://doi.org/10.1002/fsh3.12078</w:t>
      </w:r>
    </w:p>
    <w:p>
      <w:r>
        <w:t>Shared claim-specific concepts: nonfood, biofuel, abstract; EU scope not established. This is a provisional connection, not an outcome finding.</w:t>
      </w:r>
    </w:p>
    <w:p>
      <w:r>
        <w:t>Available abstract (not full text): Abstract Duckweeds are aquatic plants and mainly constitute of five genera, Lemna, Spirodela, Wolffia , Wolffiella, and Landoltia. These are the smallest plants yet having a rapid growth rate. Hence, duckweeds are sustainable food sources for humans and animals, as well as sustainable feedstocks for biochemical production. Previously, duckweeds were discovered for their vital role in water purification by metabolizing chemicals and waste. However, many recent studies have discovered that duckweeds have a high amount of nutrients, which makes them a great substitute in human diets and animal feed. Their nutrient composition and growth rate are greatly affected by environmental factors. Hence, this review summarizes the characteristics of duckweeds, growth rate factors, and their applications in nonfood, food, and health. Duckweeds could improve health due to their large amounts of macro‐ and micronutrients. Future studies on the safety measures and duckweed culture are strongly recommended to safeguard the quality of the plants. Besides that, duckweeds have great potential to be used as heavy metals or contaminants absorbent, as well as a sustainable feedstock for biofuel production.</w:t>
      </w:r>
    </w:p>
    <w:p>
      <w:r>
        <w:t>POSSIBLE 2023: Impact of Digital Transformation on the Spatial Organization of Nonfood Retail in a Russian City — https://doi.org/10.1134/s2079970523700910</w:t>
      </w:r>
    </w:p>
    <w:p>
      <w:r>
        <w:t>Shared claim-specific concepts: nonfood, abstract; EU scope not established. This is a provisional connection, not an outcome finding.</w:t>
      </w:r>
    </w:p>
    <w:p>
      <w:r>
        <w:t>Available abstract (not full text): Abstract — The objective of this study is to reveal what has changed under the influence of digital transformation in the “physical” spatial structure of the retail/purchase process in connection with the emergence of a choice between online and offline “spaces,” or environments, as well as how e-commerce has changed the “physical” spatial principles of organizing nonfood retail in a Russian city with a case study of St. Petersburg. The principles of placement of new e-commerce facilities were analyzed by comparing various shopping models and spatiotemporal systems formed by them, including specific objects (warehouses-stores, warehouses-distributors, order pickup points and parcel terminals), features of interaction between retail actors and transport and logistics flows in the city. Two opposing trends in the placement of new types of retail facilities are described: towards the transfer of the trading function to non-trading premises and the transfer of the non-trading retail function to retail premises. They create spatial competition with traditional retail as well as a new hierarchical competition with office and warehouse business types. The trend towards retail infrastructure for durable goods to be within walking distance means the rollout of a new type of competition for locations: with FMCG sellers. The fact that in delivery the logistics of the “last mile” passes fr</w:t>
      </w:r>
    </w:p>
    <w:p>
      <w:r>
        <w:t>POSSIBLE 2022: A review of product safety regulations in the European Union — https://doi.org/10.1365/s43439-022-00057-8</w:t>
      </w:r>
    </w:p>
    <w:p>
      <w:r>
        <w:t>Shared claim-specific concepts: nonfood, technologies, union, based; EU scope visible. This is a provisional connection, not an outcome finding.</w:t>
      </w:r>
    </w:p>
    <w:p>
      <w:r>
        <w:t>Available abstract (not full text): Product safety has been a concern in Europe ever since the early 1960s. Despite the long and relatively stable historical lineage of product safety regulations, new technologies, changes in the world economy, and other major transformations have in recent years again brought product safety to the forefront of policy debates. As reforms are also underway, there is a motivation to review the complex safety policy framework in the European Union (EU). Thus, building on deliberative policy analysis and an interpretative literature review, this paper reviews the safety policy for nonfood consumer products in the EU. The review covers the historical background and the main laws, administration and enforcement, standardization and harmonization, laws enacted for specific products, notifications delivered by national safety authorities, recalls of dangerous products, and the liability of these. Based on the review and analysis of these themes and the associated literature, some current policy challenges are further discussed.</w:t>
      </w:r>
    </w:p>
    <w:p>
      <w:r>
        <w:t>POSSIBLE 2021: An integrated life cycle and water footprint assessment of nonfood crops based bioenergy production — https://doi.org/10.1038/s41598-021-83061-y</w:t>
      </w:r>
    </w:p>
    <w:p>
      <w:r>
        <w:t>Shared claim-specific concepts: nonfood, technologies, based; EU scope not established. This is a provisional connection, not an outcome finding.</w:t>
      </w:r>
    </w:p>
    <w:p>
      <w:r>
        <w:t>Available abstract (not full text): Biomass gasification, especially distribution to power generation, is considered as a promising way to tackle global energy and environmental challenges. However, previous researches on integrated analysis of the greenhouse gases (GHG) abatement potentials associated with biomass electrification are sparse and few have taken the freshwater utilization into account within a coherent framework, though both energy and water scarcity are lying in the central concerns in China's environmental policy. This study employs a Life cycle assessment (LCA) model to analyse the actual performance combined with water footprint (WF) assessment methods. The inextricable trade-offs between three representative energy-producing technologies are explored based on three categories of non-food crops (maize, sorghum and hybrid pennisetum) cultivated in marginal arable land. WF results demonstrate that the Hybrid pennisetum system has the largest impact on the water resources whereas the other two technology options exhibit the characteristics of environmental sustainability. The large variances in contribution ratio between the four sub-processes in terms of total impacts are reflected by the LCA results. The Anaerobic Digestion process is found to be the main contributor whereas the Digestate management process is shown to be able to effectively mitigate the negative environmental impacts with an ab</w:t>
      </w:r>
    </w:p>
    <w:p>
      <w:r>
        <w:t>POSSIBLE 2020: Actual and potential new fuel types in Europe and Austria — https://doi.org/10.34726/hss.2020.73189</w:t>
      </w:r>
    </w:p>
    <w:p>
      <w:r>
        <w:t>Shared claim-specific concepts: increase, biofuel, technologies, present, fuel; EU scope visible. This is a provisional connection, not an outcome finding.</w:t>
      </w:r>
    </w:p>
    <w:p>
      <w:r>
        <w:t>Available abstract (not full text): The present of this master thesis is concerned with the usage of fuel types in their actual and future form. It should provide a big overview of actual technologies that are available on the market and outline different potential future scenarios. The future deployment of fuels in our daily life can change. Several technologies gained increase public attention like hydrogen, battery powered vehicles (BEV), hybrid technologies and more. There are several different fuels that have the potential to decrease the humans carbon footprint in this world. The main goal of the thesis is to provide the technical and theoretical background of fuel types in their actual form and their potential usage in the future. The history of fuels is outlined that provides the foundation for the actual mobility situation on earth. Basic chemical compounds that build the base for actual fuels are treated. Since the development of fuels, the efficiency in the combustion process has been improved several times, as example the adding of a turbo changer can be named, this and potential increasing efficiency methods outlined by technicians are investigated. Biofuels are one big topic that influenced the mixture of conventional fuels the last years, therefore this topic is covered. New upcoming technologies like nanotechnology in the context of biofuel production, biorefineries, fuel cells and other potential</w:t>
      </w:r>
    </w:p>
    <w:p>
      <w:r>
        <w:t>POSSIBLE 2019: FABIO─The Construction of the Food and Agriculture Biomass Input–Output Model — https://doi.org/10.1021/acs.est.9b03554</w:t>
      </w:r>
    </w:p>
    <w:p>
      <w:r>
        <w:t>Shared claim-specific concepts: show, nonfood, present; EU scope not established. This is a provisional connection, not an outcome finding.</w:t>
      </w:r>
    </w:p>
    <w:p>
      <w:r>
        <w:t>Available abstract (not full text): Harvested biomass is linked to final consumption by networks of processes and actors that convert and distribute food and nonfood goods. Achieving a sustainable resource metabolism of the economy is an overarching challenge which manifests itself in a number of the UN Sustainable Development Goals. Modeling the physical dimensions of biomass conversion and distribution networks is essential to understanding the characteristics, drivers, and dynamics of the socio-economic biomass metabolism. In this paper, we present the Food and Agriculture Biomass Input-Output model (FABIO), a set of multiregional supply, use and input-output tables in physical units, that document the complex flows of agricultural and food products in the global economy. The model assembles FAOSTAT statistics reporting crop production, trade, and utilization in physical units, supplemented by data on technical and metabolic conversion efficiencies, into a consistent, balanced, input-output framework. FABIO covers 191 countries and 130 agriculture, food and forestry products from 1986 to 2013. The physical supply use tables offered by FABIO provide a comprehensive, transparent, and flexible structure for organizing data representing flows of materials within metabolic networks. They allow tracing of biomass flows and embodied environmental pressures along global supply chains at an unprecedented level of produ</w:t>
      </w:r>
    </w:p>
    <w:p>
      <w:r>
        <w:t>POSSIBLE 2019: Assessing lignocellulosic biomass production from crop residues in the European Union: Modelling, analysis of the current scenario and drivers of interannual variability — https://doi.org/10.1111/gcbb.12604</w:t>
      </w:r>
    </w:p>
    <w:p>
      <w:r>
        <w:t>Shared claim-specific concepts: show, provided, abstract, union, based; EU scope visible. This is a provisional connection, not an outcome finding.</w:t>
      </w:r>
    </w:p>
    <w:p>
      <w:r>
        <w:t>Available abstract (not full text): Abstract This study assesses crop residues in the EU from major crops using empirical models to predict crop residues from yield statistics; furthermore it analyses the inter‐annual variability of those estimates over the period 1998‐2015, identifying its main drivers across Europe. The models were constructed based on an exhaustive collection of experimental data from scientific papers for the crops: wheat, barley, rye, oats, triticale, rice, maize, sorghum, rapeseed, sunflower, soybean, potato and sugarbeet. We discuss the assumptions on the relationship between yield and the harvest index, adopted by previous studies, to interpret the experimental data, quantify the uncertainties of these models, and establish the premises to implement them at regional scale –i.e., NUTS level 3– within the EU. To cope this, we created a consolidated sub‐national statistical data along with an algorithm able to aggregate (figures are provided at country level) and disaggregate (production at 25 km grid is provided assupplementary material) estimates. The total lignocellulosic biomass production in the EU28 over the review period, according to our models, is 419 Mt, from which wheat is the major contributor (155 Mt). Our results show that maize and rapeseed are the two crops with the highest residue yield, respectively 8.9 and 8.6 t ha‐1. The spatial analysis revealed that these three crops, w</w:t>
      </w:r>
    </w:p>
    <w:p>
      <w:r>
        <w:t>POSSIBLE 2019: Quantifying the global cropland footprint of the European Union’s non-food bioeconomy — https://doi.org/10.1088/1748-9326/ab07f5</w:t>
      </w:r>
    </w:p>
    <w:p>
      <w:r>
        <w:t>Shared claim-specific concepts: developed, union; EU scope visible. This is a provisional connection, not an outcome finding.</w:t>
      </w:r>
    </w:p>
    <w:p>
      <w:r>
        <w:t>Available abstract (not full text): A rapidly growing share of global agricultural areas is devoted to the production of biomass for non-food purposes. The expanding non-food bioeconomy can have far-reaching social and ecological implications; yet, the non-food sector has attained little attention in land footprint studies. This paper provides the first assessment of the global cropland footprint of non-food products of the European Union (EU), a globally important region regarding its expanding bio-based economy. We apply a novel hybrid land flow accounting model, combining the biophysical trade model LANDFLOW with the multi-regional input–output model EXIOBASE. The developed hybrid approach improves the level of product and country detail, while comprehensively covering all global supply chains from agricultural production to final consumption, including highly processed products, such as many non-food products. The results highlight the EU's role as a major processing and the biggest consuming region of cropland-based non-food products, while at the same time relying heavily on imports. Two thirds of the cropland required to satisfy the EU's non-food biomass consumption are located in other world regions, particularly in China, the US and Indonesia, giving rise to potential impacts on distant ecosystems. With almost 39% in 2010, oilseeds used to produce for example biofuels, detergents and polymers represented</w:t>
      </w:r>
    </w:p>
    <w:p>
      <w:pPr>
        <w:pStyle w:val="Heading2"/>
      </w:pPr>
      <w:r>
        <w:t>Retirement timing in a future welfare state: a Finnish Delphi study</w:t>
      </w:r>
    </w:p>
    <w:p>
      <w:r>
        <w:t>Original source (2018): https://doi.org/10.1108/ijssp-04-2018-0067</w:t>
      </w:r>
    </w:p>
    <w:p>
      <w:r>
        <w:t>Original wording (abstract; indexed_source_text_not_full_document_verified): Design/methodology/approach The study employs the Delphi method by interviewing anonymous experts from a variety of relevant organisations and fields in Finland, then sending them a scaled on-line questionnaire from the initial findings to elicit views on the likelihood of different scenarios influencing retirement timing over the next 20 years. Findings While the experts perceived that a raised state pension age and a removal of early retirement options will inevitably delay retirement on average, multiple scenarios were believe to hinder this trend.</w:t>
      </w:r>
    </w:p>
    <w:p>
      <w:r>
        <w:t>POSSIBLE 2026: Urban cooperation for sustainable development in Europe: a co-designed methodology to foster multi-level governance — https://doi.org/10.1108/ijpsm-12-2025-0662</w:t>
      </w:r>
    </w:p>
    <w:p>
      <w:r>
        <w:t>Shared claim-specific concepts: design, methodology, approach, relevant, findings; EU scope visible. This is a provisional connection, not an outcome finding.</w:t>
      </w:r>
    </w:p>
    <w:p>
      <w:r>
        <w:t>Available abstract (not full text): Purpose This paper presents and discusses the process employed to co-design and implement a participatory methodology for fostering multi-stakeholder governance within a European Interreg project, named UrbanCOOP. It aims to show how a stakeholder-oriented approach can be operationalized through co-created tools and routines that help regional and local authorities work with their stakeholders on sustainable urban cooperation. Design/methodology/approach The study adopts an action-research design within the Interreg Europe UrbanCOOP project, involving six European regions. The methodology was developed in two main phases: a co-design phase, leading to the co-construction of a stakeholder assessment template (SAT); a joint implementation phase, including progressive stakeholder mapping. Findings The methodology provides a structured process for organizing stakeholder relationships in multi-level governance. It supports continuous engagement rather than one-off consultations, serves as a legitimation tool, functions as a prioritization mechanism by clarifying which stakeholders must be involved and how and broadens the spectrum of actors considered relevant to urban policies. Research limitations/implications The study is based mainly on self-reported data from project partners and on a single Interreg Europe experience with six regions. Future research could test and adapt the m</w:t>
      </w:r>
    </w:p>
    <w:p>
      <w:r>
        <w:t>POSSIBLE 2025: Design anthropology as a design methodology — https://doi.org/10.4324/9781003343134-15</w:t>
      </w:r>
    </w:p>
    <w:p>
      <w:r>
        <w:t>Shared claim-specific concepts: design, methodology, fields; EU scope not established. This is a provisional connection, not an outcome finding.</w:t>
      </w:r>
    </w:p>
    <w:p>
      <w:r>
        <w:t xml:space="preserve">Available abstract (not full text): Anthropology, architecture, and design have in common that they observe, describe, and propose. Their orientations, as Ingold argues, are as much towards human futures as towards human pasts: these are futures, however, that are not conjured from thin air but forged in the crucible of contemporary social lives. Here, it is important to challenge conventional thinking regarding the nature of design and creativity that acknowledges the improvisatory skills and perceptual acuity of people. Learning from the successes and failures of design processes and practices requires an understanding of how people are affected and effected by the outputs of design processes and practices. As an anthropologist, my research is concerned with the affects and effects that design processes have on people who engage with products, buildings, and urban landscapes. This has been underpinned by a longer-term aim to understand how people’s sensory experience and perceptual acuity can be involved during architectural and design engineering processes and future-making practices. Central to this inquiry, I argue it is necessary to make partial connections between the movements of designing and movements of ongoing intra-action . In the fields of architectural design and design engineering, I ask what kind of forms and material practices we could imagine being made in the future based on this proposition. </w:t>
      </w:r>
    </w:p>
    <w:p>
      <w:r>
        <w:t>POSSIBLE 2024: Methodologies for the design of positive energy districts: A scoping literature review and a proposal for a new approach (PlanPED) — https://doi.org/10.1016/j.buildenv.2024.111667</w:t>
      </w:r>
    </w:p>
    <w:p>
      <w:r>
        <w:t>Shared claim-specific concepts: design, approach, then; EU scope visible. This is a provisional connection, not an outcome finding.</w:t>
      </w:r>
    </w:p>
    <w:p>
      <w:r>
        <w:t>Available abstract (not full text): Cities can substantially contribute to European Green Deal targets by accelerating their transition towards smarter, more efficient, and renewable-based energy models. In that context, European cities need to increase their self-sufficiency and the resilience of their energy system especially through the promotion of district and neighbourhood scale energy projects such as positive energy districts (PEDs). Despite the increasing interest for PEDs experienced in the last years, their deployment is currently hindered by the absence of an energy planning culture and the lack of adequately skilled personnel in cities. Indeed, there is a strong need for practical tools and guidelines that support practitioners in the design and implementation of PEDs. In that context, the present paper introduces PlanPED, a framework for the conception of methodologies for PED planning, design, and implementation, to support municipalities in their energy transition. PlanPED aims at providing a multiple perspective approach based on the most important elements from existing methodologies. In that sense, the paper begins with an overview of the state of the art, leading to the identification of trends, gaps, and good practices of current research. Then, based on this analysis, the novel framework PlanPED is introduced. It consists of three interconnected workflows that, if followed, enables to know w</w:t>
      </w:r>
    </w:p>
    <w:p>
      <w:r>
        <w:t>POSSIBLE 2024: A Methodology for Intercultural Design — https://doi.org/10.30682/diid8224j</w:t>
      </w:r>
    </w:p>
    <w:p>
      <w:r>
        <w:t>Shared claim-specific concepts: design, methodology, approach; EU scope visible. This is a provisional connection, not an outcome finding.</w:t>
      </w:r>
    </w:p>
    <w:p>
      <w:r>
        <w:t>Available abstract (not full text): Issues concerning integration and the relations between different ethnic groups within a changing contemporary society are becoming increasingly prominent in the social and scientific debate. Design skills can be employed as a tool to systematise this multiplicity, promoting innovation that respects diversity, comparison, and interaction between people and cultures. The purpose of this paper is to provide a synthesis of a research experience, the development of a new Islamic Cultural Centre in the city of Turin (Italy), in which the intercultural design approach constitutes the founding theoretical and methodological basis for the development of the project. Starting from the analysis of experiences developed in the field of national and international research, the authors developed a methodological approach to the theme of designing to promote intercultural dialogue, furthermore establishing collaboration agreements with local authorities for the development of the Cultural Centre.</w:t>
      </w:r>
    </w:p>
    <w:p>
      <w:r>
        <w:t>POSSIBLE 2023: Design displacement for lifelines at fault crossings: the code-based approach for Europe — https://doi.org/10.1007/s10518-023-01813-9</w:t>
      </w:r>
    </w:p>
    <w:p>
      <w:r>
        <w:t>Shared claim-specific concepts: design, methodology, approach; EU scope visible. This is a provisional connection, not an outcome finding.</w:t>
      </w:r>
    </w:p>
    <w:p>
      <w:r>
        <w:t>Available abstract (not full text): Abstract The earthquake-resistant design of lifelines, such as pipelines, tunnels and bridges, is based on the reliable representation and estimation of the seismic loading. In the case of lifeline–fault crossings, the design fault displacement is typically derived from estimates based on fault dimensions via empirical fault scaling relations for a given “design” scenario event. This approach comes with an unknown level of safety because the fault productivity and the actual distribution of earthquake events are essentially disregarded. To overcome this challenge, a simplified approach is proposed by statistically analyzing the outcome of probabilistic fault displacement hazard analyses (PFDHAs). A selection of faults from the 2020 European Fault-Source Model is used to build the logic tree and to set the range of parameters considered in the PFDHAs. The methodology allows the (mostly conservative) approximation of the fault displacement corresponding to any given return period based on readily available data, namely fault productivity, fault mechanism, fault length, and lifeline crossing location on the fault. The proposed methodology has been proposed and adopted as an informative Annex in prEN 1998-4:2022.</w:t>
      </w:r>
    </w:p>
    <w:p>
      <w:r>
        <w:t>POSSIBLE 2023: A Novel Integrated Design Methodology for Nature-Based Solutions and Soil and Water Bioengineering Interventions: The Tardio&amp;Mickovski Methodology — https://doi.org/10.3390/su15043044</w:t>
      </w:r>
    </w:p>
    <w:p>
      <w:r>
        <w:t>Shared claim-specific concepts: design, methodology, approach; EU scope visible. This is a provisional connection, not an outcome finding.</w:t>
      </w:r>
    </w:p>
    <w:p>
      <w:r>
        <w:t>Available abstract (not full text): A methodology for designing nature-based solutions (NBS) and soil and water bioengineering (SWB) works is proposed which includes the main particularities of this type of intervention. The dynamic nature of NBS/SWB works, their most important changes and possible critical scenarios are reflected in the proposed methodology. A clear and practical time framework for design checks is also defined. Existing structural design routines and plant root reinforcement models are integrated into the proposed time staged scheme. Likewise, the connections with the monitoring stage and the possibilities of continuous improvement are incorporated as an essential characteristic of the approach of this type of intervention. The proposed methodology is validated by means of a practical case study example embracing the whole service life of an SWB/NBS intervention. The obtained results are in good agreement with both the accumulated experience within the European SWB sector and the existing data collected in SWB monitoring works. The proposed methodology can be readily implemented in a wide range of nature restoration projects and works.</w:t>
      </w:r>
    </w:p>
    <w:p>
      <w:r>
        <w:t>POSSIBLE 2023: Methodological approach for an Atlas of architectural design in built heritage: contributions of the School of Porto — https://doi.org/10.1108/jchmsd-08-2023-0131</w:t>
      </w:r>
    </w:p>
    <w:p>
      <w:r>
        <w:t>Shared claim-specific concepts: design, methodology, approach, findings; EU scope visible. This is a provisional connection, not an outcome finding.</w:t>
      </w:r>
    </w:p>
    <w:p>
      <w:r>
        <w:t>Available abstract (not full text): Purpose This research seeks to provide methodological bases for the identification, documentation and critical reflection of good practices of architectural design in built heritage. These are applied explicitly to the School of Porto architects, which express a high sense of pedagogy and community practice in this field. The methodological approach defines the selection criteria for a georeferenced inventory and the procedures for in-depth analysis of adaptive reuse strategies. Design/methodology/approach The works included in the inventory were selected according to geographical, chronological, typological, qualitative and quantitative criteria. The cases chosen for in-depth analysis have been studied along four thematic axes to dissect all the intervention processes (previous state, design/construction and final state). This approach is supported by a cross-analysis of different sources (oral, written, graphic) and using drawing as a fundamental research tool. Findings The research has collected and disseminated up to 150 works by 44 architects, providing a comprehensive portrait of heritage intervention by the School of Porto over the past decades. The selection of 22 buildings for in-depth documentation reveals a particular sensibility toward the cultural values through a case-by-case approach based in deep knowledge of the preexisting context and the introduction of conte</w:t>
      </w:r>
    </w:p>
    <w:p>
      <w:r>
        <w:t>POSSIBLE 2022: Co-Design of Augmented Reality Games for Learning with Teachers: A methodological approach — https://doi.org/10.21203/rs.3.rs-1988443/v1</w:t>
      </w:r>
    </w:p>
    <w:p>
      <w:r>
        <w:t>Shared claim-specific concepts: design, approach, method, relevant; EU scope not established. This is a provisional connection, not an outcome finding.</w:t>
      </w:r>
    </w:p>
    <w:p>
      <w:r>
        <w:t>Available abstract (not full text): Abstract Augmented Reality Game-Based Learning (ARGBL) is becoming increasingly relevant in Technology-Enhanced Learning. Games with AR characteristics, or even AR applications structured with rules and game elements, are proving to be effective and successful learning experiences. There is a need to include teachers in the design, development and implementation process as to make it more effective. In this paper, two case studies where 6 teachers participated are shown in order to validate a methodological approach for the co-design of ARGBL. This is a co-design method that proposes a thorough, iterative process guided by design principles and mediated by dialogue between the stakeholders. Here, the process of co-design with teachers is analyzed and assessed using mixed-methods observations on the use of the produced ARGBL games with students on naturalistic environments. The validation process links the usefulness of the ensuing products with the use of the method and shows the benefits of using co-design methods to create ARGBL experiences.</w:t>
      </w:r>
    </w:p>
    <w:p>
      <w:r>
        <w:t>POSSIBLE 2021: The EU DEMO staged design approach in the Pre-Concept Design Phase — https://doi.org/10.1016/j.fusengdes.2021.112959</w:t>
      </w:r>
    </w:p>
    <w:p>
      <w:r>
        <w:t>Shared claim-specific concepts: design, methodology, approach; EU scope visible. This is a provisional connection, not an outcome finding.</w:t>
      </w:r>
    </w:p>
    <w:p>
      <w:r>
        <w:t>Available abstract (not full text): This paper provides an overview of the methodology adopted within the EUROfusion framework covering the Pre-Concept Design Phase (2014–2020). The phase activities focused on advancing the technical basis of the design of the European DEMOnstration Fusion Power Plant (DEMO). The emphasis in the latter stages was placed upon an integrated design approach, based on systems engineering, providing a clear direction for urgent technology R&amp;D and addressing the key design integration issues by assessing the critical systems interdependencies and uncertainties of certain design assumptions. The programme has continued to benefit from the ITER return of experience, in terms of design, licensing, and construction and DEMO will maintain a strong link with the ITER schedule in the coming design phases. The growing need for a structured and transparent review process gave rise to the introduction of a phase-gate review process, the implementation of which led to the first formal DEMO-wide gate review held at the end of the Pre-Concept Design Phase. The Gate Panel's recommendations provided clarity on the key priorities for the programme moving forward and serve to underpin the planning for the next phase.</w:t>
      </w:r>
    </w:p>
    <w:p>
      <w:r>
        <w:t>POSSIBLE 2020: A Methodological Safe-by-Design Approach for the Development of Nanomedicines — https://doi.org/10.3389/fbioe.2020.00258</w:t>
      </w:r>
    </w:p>
    <w:p>
      <w:r>
        <w:t>Shared claim-specific concepts: design, approach, relevant, fields; EU scope visible. This is a provisional connection, not an outcome finding.</w:t>
      </w:r>
    </w:p>
    <w:p>
      <w:r>
        <w:t>Available abstract (not full text): Safe-by-Design (SbD) concepts foresee the risk identification and reduction as well as uncertainties regarding human health and environmental safety in early stages of product development. The EU's NANoREG project and further on the H2020 ProSafe initiative, NanoReg2, and CALIBRATE projects have developed a general SbD approach for nanotechnologies (e.g., paints, textiles, etc.). Based on it, the GoNanoBioMat project elaborated a methodological SbD approach (GoNanoBioMat SbD approach) for nanomedicines with a focus on polymeric nanobiomaterials (NBMs) used for drug delivery. NBMs have various advantages such as the potential to increase drug efficacy and bioavailability. However, the nanoscale brings new challenges to product design, manufacturing, and handling. Nanomedicines are costly and require the combination of knowledge from several fields. In this paper, we present the GoNanoBioMat SbD approach, which allows identifying and addressing the relevant safety aspects to address when developing polymeric NBMs during design, characterization, assessment of human health and environmental risk, manufacturing and handling, and combines the nanoscale and medicine field under one approach. Furthermore, regulatory requirements are integrated into the innovation process.</w:t>
      </w:r>
    </w:p>
    <w:p>
      <w:r>
        <w:t>POSSIBLE 2020: SMEs strategic networks and innovative performance: a relational design and methodology for knowledge sharing — https://doi.org/10.1108/jkm-01-2020-0010</w:t>
      </w:r>
    </w:p>
    <w:p>
      <w:r>
        <w:t>Shared claim-specific concepts: design, methodology, approach, findings; EU scope visible. This is a provisional connection, not an outcome finding.</w:t>
      </w:r>
    </w:p>
    <w:p>
      <w:r>
        <w:t>Available abstract (not full text): Purpose In the context of resource scarcity, the affiliation of small and medium-sized enterprises (SMEs) to strategic networks has emerged as a fruitful path towards knowledge sharing as a reaction to fierce competition and with a view to enhance their innovative performance. In this framework, this paper aims to investigate the influence exerted by a specific relational design (i.e. types of strategic networks) and methodology (i.e. channels and content) of knowledge sharing on SMEs innovative performance. Design/methodology/approach A questionnaire-based survey with 102 top managers of European SMEs in the industrial field was conducted from June to August 2019 and a partial least squares structural equation modelling technique was used. The database was initially filtered to ensure the adequacy of the sample and data was analysed using the statistics software package SmartPLS 3.0. Findings The results concluded that the structural model explains 38.5% of the variance in SMEs innovative performance, indicating the positive effects exerted by offline and online and by competitive knowledge sharing on the dependent variable. Research implications The study has both theoretical and practical implications in that it sets out a reference point for the key performance indicators for strategic networks structure, formation and development and, implicitly, for the selection of the m</w:t>
      </w:r>
    </w:p>
    <w:p>
      <w:r>
        <w:t>POSSIBLE 2019: Methodology and empirical design — https://doi.org/10.4324/9780429431234-4</w:t>
      </w:r>
    </w:p>
    <w:p>
      <w:r>
        <w:t>Shared claim-specific concepts: design, methodology, approach; EU scope visible. This is a provisional connection, not an outcome finding.</w:t>
      </w:r>
    </w:p>
    <w:p>
      <w:r>
        <w:t>Available abstract (not full text): Chapter 4 “Methodology and Empirical Design” starts with a brief outline of the research project (“ENRI-East: European, National and Regional Identities”) that has provided the quantitative and qualitative data used in the book. It presents the basic population statistics of all researched minority groups: Russians in Latvia and Lithuania; Hungarians in Slovakia and Ukraine; Poles in Belarus, Ukraine and Lithuania; Belarusians in Poland and Lithuania; Slovaks in Hungary; Ukrainians in Poland; and Lithuanians in Russia (Kaliningrad region). The following subchapter describes the design and the implementation of the quantitative data collection (“ENRI-VIS”), including the specific sampling methods and a detailed description of the sample (N = 6,800). The third subchapter provides information on the qualitative data collection (“ENRI-BIO”) and a detailed sample description (N = 132). The sampling frame for the biographical interviews included gender and age. Members of three generations of all researched minority groups were interviewed by using a biographical approach.</w:t>
      </w:r>
    </w:p>
    <w:p>
      <w:pPr>
        <w:pStyle w:val="Heading2"/>
      </w:pPr>
      <w:r>
        <w:t>South East Europe electricity roadmap – modelling energy transition in the electricity sectors</w:t>
      </w:r>
    </w:p>
    <w:p>
      <w:r>
        <w:t>Original source (2018): https://doi.org/10.1080/14693062.2018.1532390</w:t>
      </w:r>
    </w:p>
    <w:p>
      <w:r>
        <w:t>Original wording (abstract; indexed_source_text_not_full_document_verified): It also explores what are the most important system wide impacts of the high deployment of renewable energy concerning generation adequacy and security of supply.Key policy insights Energy policies in the South East Europe (SEE) region, both at the national and regional level, should focus on enabling renewable energy integration, as this will be a key component of the future energy mix.EU and Energy Community policies should be incorporated into national energy planning to ensure that SEE countries embark on the energy transition process at an early stage.Stranded costs should be carefully considered in decision-making on new fossil-fuel generation and gas network investment in order to avoid lock-in to carbon intensive technologies.If consistent decarbonization policy prevails, with a significant and persistent CO2 price signal, the role of natural gas remains transitory in the region.The SEE region offers relatively cheap decarbonization options: the power sector can reduce GHG emissions above 94% by 2050 in the modelled scenarios.</w:t>
      </w:r>
    </w:p>
    <w:p>
      <w:r>
        <w:t>POSSIBLE 2025: Challenges in the micropropagation of economically important fruit species in Europe — https://doi.org/10.1007/s11240-025-03165-5</w:t>
      </w:r>
    </w:p>
    <w:p>
      <w:r>
        <w:t>Shared claim-specific concepts: also, important, high; EU scope visible. This is a provisional connection, not an outcome finding.</w:t>
      </w:r>
    </w:p>
    <w:p>
      <w:r>
        <w:t>Available abstract (not full text): Commercial micropropagation plays a crucial role in increasing the production of many economically important fruit crops worldwide, including Europe. The focus has been on many woody horticultural species, such as stone and pome fruits, berries, nuts, and palms. This paper presents an updated overview of the European commercial micropropagation landscape, highlighting the countries currently operating in this sector, crop targets, and the distribution of micropropagation companies based on recent survey data. In Europe and the broader Mediterranean basin, Italy, Spain, Türkiye, and Germany emerge as the leading contributors to the large-scale in vitro production of woody fruit species, based on the number of operating commercial companies and efforts to adopt new technology. Despite this progress, several challenges limit the scalability and sustainability of in vitro propagation systems, and their expansion in underrepresented countries. These main issues include species recalcitrance, high labour and infrastructure costs, further improvement of stock maintenance capacity, logistical issues in plantlet shipment, and barriers related to intellectual property rights. To address these challenges, this paper discusses solutions such as utilizing automation and robotics, exploring new compounds to enhance micropropagation rates, and using European funding opportunities. Furthermore</w:t>
      </w:r>
    </w:p>
    <w:p>
      <w:r>
        <w:t>POSSIBLE 2024: Exploring the joint probability of precipitation and soil moisture over Europe using copulas — https://doi.org/10.5194/hess-28-103-2024</w:t>
      </w:r>
    </w:p>
    <w:p>
      <w:r>
        <w:t>Shared claim-specific concepts: also, high, insights, both; EU scope visible. This is a provisional connection, not an outcome finding.</w:t>
      </w:r>
    </w:p>
    <w:p>
      <w:r>
        <w:t>Available abstract (not full text): Abstract. The joint probability of precipitation and soil moisture is here investigated over Europe with the goal to extrapolated meaningful insights on the potential joint use of these variables for the detection of agricultural droughts within a probabilistic modeling framework. The use of copulas is explored as a parametric approach often used in hydrological studies for the analysis of bivariate distributions. The analysis is performed for the period 1996–2020 on the ERA5 precipitation and LISFLOOD soil moisture datasets, both available as part of the Copernicus European Drought Observatory. The results show an overall good correlation between the empirical frequency series derived from the two datasets (Kendall’s τ = 0.42±0.1), but also clear spatial patterns in the tail-dependence derived with both non-parametric and parametric approaches. About half of the domain shows symmetric tail-dependences, well reproduced by the Student-t copula, whereas the rest of the domain is almost equally split between low and high tail-dependences (modeled with the Gumbel family of copulas). These spatial patterns are reasonably reproduced by a random forest classifier, suggesting that this outcome is not driven by chance. This study stresses how a joint use of precipitation and soil moisture for agriculture drought characterization may be more beneficial in areas with strong low tail-depen</w:t>
      </w:r>
    </w:p>
    <w:p>
      <w:r>
        <w:t>POSSIBLE 2023: Exploring European regional trade — https://doi.org/10.82444/warw.33858340</w:t>
      </w:r>
    </w:p>
    <w:p>
      <w:r>
        <w:t>Shared claim-specific concepts: also, important, national; EU scope visible. This is a provisional connection, not an outcome finding.</w:t>
      </w:r>
    </w:p>
    <w:p>
      <w:r>
        <w:t>Available abstract (not full text): We use the new dataset of trade flows across 269 European regions in 24 countries constructed in Santamaría et al. (2020) to systematically explore for the first time trade patterns within and across country borders. We focus on the differences between home trade, country trade and foreign trade. We document the following facts: (i) European regional trade has a strong home and country bias, (ii) geographic distance and national borders are important determinants of regional trade, but cannot explain the strong regional home bias and (iii) the home bias is heterogeneous across regions and seems to be driven by political regional borders. This paper also appears as CAGE Discussion paper 650</w:t>
      </w:r>
    </w:p>
    <w:p>
      <w:r>
        <w:t>POSSIBLE 2023: Exploring the effects of protected area networks on the European land system — https://doi.org/10.1016/j.jenvman.2023.117741</w:t>
      </w:r>
    </w:p>
    <w:p>
      <w:r>
        <w:t>Shared claim-specific concepts: also, system, high; EU scope visible. This is a provisional connection, not an outcome finding.</w:t>
      </w:r>
    </w:p>
    <w:p>
      <w:r>
        <w:t>Available abstract (not full text):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r>
        <w:t>POSSIBLE 2023: Exploring Energy Sufficiency Benefits, Limitations, Deployment, and Opportunities in Europe — https://doi.org/10.51505/ijaemr.2023.8316</w:t>
      </w:r>
    </w:p>
    <w:p>
      <w:r>
        <w:t>Shared claim-specific concepts: also, deployment, energy; EU scope visible. This is a provisional connection, not an outcome finding.</w:t>
      </w:r>
    </w:p>
    <w:p>
      <w:r>
        <w:t>Available abstract (not full text): Following the industrial revolution, greenhouse gases continue to grow, and this increase degrades the ozone layer and accelerates the global warming. The climate change has considerably transformed our way of life and the way we produce, buy, transport, and use energy. To reduce the impact of the energy crisis different levers are activated such as energy efficiency, renewables energy and energy sufficiency. The aim of this article is to explore the benefits, limitation, deployment, and opportunities in Europe of energy sufficiency. The research conducted also includes real case studies on energy sufficiency. Furthermore, Covid-19 pandemic and Ukraine war have negatively impacted energy availability and costs.</w:t>
      </w:r>
    </w:p>
    <w:p>
      <w:r>
        <w:t>POSSIBLE 2022: European Green Deal necropolitics: Exploring ‘green’ energy transition, degrowth &amp; infrastructural colonization — https://doi.org/10.1016/j.polgeo.2022.102640</w:t>
      </w:r>
    </w:p>
    <w:p>
      <w:r>
        <w:t>Shared claim-specific concepts: also, important, deployment, renewable, energy; EU scope visible. This is a provisional connection, not an outcome finding.</w:t>
      </w:r>
    </w:p>
    <w:p>
      <w:r>
        <w:t>Available abstract (not full text):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r>
        <w:t>POSSIBLE 2021: Social Investment, Redistribution or Basic Income? Exploring the Association Between Automation Risk and Welfare State Attitudes in Europe — https://doi.org/10.1017/s0047279421000519</w:t>
      </w:r>
    </w:p>
    <w:p>
      <w:r>
        <w:t>Shared claim-specific concepts: also, policies; EU scope visible. This is a provisional connection, not an outcome finding.</w:t>
      </w:r>
    </w:p>
    <w:p>
      <w:r>
        <w:t>Available abstract (not full text): Abstract Rapid technological change – the digitalization and automation of work – is challenging contemporary welfare states. Most of the existing research, however, focuses on its effect on labor market outcomes, such as employment or wage levels. In contrast, this paper studies the implications of technological change for welfare state attitudes and preferences. Compared to previous work on this topic, this paper adopts a much broader perspective regarding different kinds of social policy. Using data from the European Social Survey, we find that individual automation risk is positively associated with support for redistribution, but negatively with support for social investment policies (partly depending on the specific measure of automation risk that is used), while there is no statistically significant association with support for basic income. We also find a moderating effect of the overall size of the welfare state on the micro-level association between risk and preferences.</w:t>
      </w:r>
    </w:p>
    <w:p>
      <w:r>
        <w:t>POSSIBLE 2020: Exploring Young Europeans’ Homeownership Opportunities — https://doi.org/10.13060/23362839.2020.7.1.506</w:t>
      </w:r>
    </w:p>
    <w:p>
      <w:r>
        <w:t>Shared claim-specific concepts: also, explores, important, policies; EU scope visible. This is a provisional connection, not an outcome finding.</w:t>
      </w:r>
    </w:p>
    <w:p>
      <w:r>
        <w:t>Available abstract (not full text): Even before the 2008/9-crisis but certainly afterwards, trends in labour, housing and mortgage markets combined with welfare reform, making it more difficult for each new cohort of young Europeans (25-34) to complete the transition to ‘residential independence’, particularly to become a homeowner. This paper explores ‘trends in homeownership opportunities’, using data from EU-SILC (2005-2018). It takes a broader perspective by exploring trends in its social selectivity, as well as changes in the ‘attributes’ of homeownership over time. Young adults’ homeownership opportunities have declined almost everywhere in Europe, but to varying extents. Furthermore, a more socially selective group of young homeowners seems to be entering properties of lower quality in locations with fewer services. Deteriorating homeownership opportunities are strongly associated with mortgage lending restrictions, indicating that trends in housing and broader financial markets/policies are important explanatory factors. I also find indications that the transition to homeownership is being pushed beyond the commonly-used age-threshold of 34 years.</w:t>
      </w:r>
    </w:p>
    <w:p>
      <w:r>
        <w:t>POSSIBLE 2019: Implementing Green Infrastructure in Spatial Planning in Europe — https://doi.org/10.3390/land8040062</w:t>
      </w:r>
    </w:p>
    <w:p>
      <w:r>
        <w:t>Shared claim-specific concepts: also, important, wide, insights, policies, see; EU scope visible. This is a provisional connection, not an outcome finding.</w:t>
      </w:r>
    </w:p>
    <w:p>
      <w:r>
        <w:t>Available abstract (not full text):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pPr>
        <w:pStyle w:val="Heading2"/>
      </w:pPr>
      <w:r>
        <w:t>Technology roadmapping in security and defence foresight</w:t>
      </w:r>
    </w:p>
    <w:p>
      <w:r>
        <w:t>Original source (2018): https://doi.org/10.1108/fs-12-2017-0074</w:t>
      </w:r>
    </w:p>
    <w:p>
      <w:r>
        <w:t>Original wording (abstract; indexed_source_text_not_full_document_verified): Design/methodology/approach The analysis is based on a content analysis of public domain Spanish Defence National Foresight Exercise, and a study directed to analyse the impact on defence technological and industrial base. Findings Foresight studies on the defence and security environment uses hybrid methodologies, but rarely involve all the stakeholders, and specially the citizens.</w:t>
      </w:r>
    </w:p>
    <w:p>
      <w:r>
        <w:t>POSSIBLE 2025: NEW DESIGN METHODOLOGY APPROACH FOR DESIGNING A HYDRO-MOTOR OF RADIAL PISTONS — https://openalex.org/W7217876663</w:t>
      </w:r>
    </w:p>
    <w:p>
      <w:r>
        <w:t>Shared claim-specific concepts: design, methodology, approach, technological, uses, but; EU scope not established. This is a provisional connection, not an outcome finding.</w:t>
      </w:r>
    </w:p>
    <w:p>
      <w:r>
        <w:t>Available abstract (not full text): This paper presents the work of a Doctoral Thesis on “First stage of the process of development of a hydro-motor of high torque: conceptualisation and analytic prototype” that was defended in November 2004 in Cuba. A new focus of design is discussed. It is convenient for the countries that possess a low technological capacity in industry. This new focus was nominated as "the process of development of new products guided to the available technological capacity", and their distinctive characteristic is that it uses the technological capacity contained in the products normalised to design products to satisfy social necessities, that in another way they are impossible to design for their elaboration demands. In an application of this procedure, a new type of hydro-motor of radial pistons was obtained with competitive benefits that it can be built by the countries of the third world. The objective of this paper is not to give an itemised explanation of the methodology, But showing its existence and the great utility that this it possesses</w:t>
      </w:r>
    </w:p>
    <w:p>
      <w:r>
        <w:t>POSSIBLE 2025: Optimising Healthcare Integration: Design Methodology Approach to Developing an Integrated Service Delivery Model for Irish Health Service Executive's Health Regions — https://doi.org/10.5334/ijic.icic24232</w:t>
      </w:r>
    </w:p>
    <w:p>
      <w:r>
        <w:t>Shared claim-specific concepts: design, methodology, approach, national, base, methodologies; EU scope visible. This is a provisional connection, not an outcome finding.</w:t>
      </w:r>
    </w:p>
    <w:p>
      <w:r>
        <w:t>Available abstract (not full text): This abstract outlines the implementation of evidenced-based design methodologies to develop an Integrated Service Delivery (ISD) model for the Irish Health Service Executive (HSE) Health Regions. The initiative is a response to the Sláintecare reform and the Health Regions Implementation Plan, aiming to establish regional and local organisational structures that support and enable integrated care provision for the population of the Republic of Ireland, including health and social care service users, providers, and communities. This initiative, aligned with co-production principles from the Health Services Change Guide and Public Service Design Principles, involves collaboration between the HSE Health Regions Programme Team, HSE Organisation Development and Design Team, and the Department of Health in Ireland. Ninety-eight individuals, comprising HSE staff, managers, partner agencies, policymakers, renowned Integrated Care experts, and patient advocacy groups, participated in a co-design methodology to evaluate high-level structural options for Integrated Service Delivery in Health Regions. The initiative aims to leverage the insights of those receiving and delivering services to inform integrated care practices. The initiative employed evidence-based design methods, primarily guided by People’s Needs Defining Change – Health Services Change Guide (2018) and national government</w:t>
      </w:r>
    </w:p>
    <w:p>
      <w:r>
        <w:t>POSSIBLE 2024: Learning Transitions in Studying Development: Design, Methodologies/Approaches, Tools in the Digital and Hybrid Platforms — https://doi.org/10.58887/ijodel.v10i1.254</w:t>
      </w:r>
    </w:p>
    <w:p>
      <w:r>
        <w:t>Shared claim-specific concepts: design, hybrid, methodologies, but; EU scope not established. This is a provisional connection, not an outcome finding.</w:t>
      </w:r>
    </w:p>
    <w:p>
      <w:r>
        <w:t>Available abstract (not full text): Post-pandemic realities paved the way for certain innovative learning approaches to address the risks associated with traditional educational settings, inefficiencies in mobility, limited access to facilities and resources, and vulnerability to disease of student and teaching population, among others. Learning interactions in digital space remain to be further explored, requiring adjustments in the design of courses, pedagogical approaches, methodologies, and tools employed. The adjustments were seen as imperative at all levels of education and across mainstream fields of studies but even more pronounced, in multidisciplinary and interdisciplinary research study areas, such as Development Studies. Development research underwent learning transitions to retain its relevance as an important academic field. The combined online and in-site learning settings still have effective and efficient modalities of studying development, as argued in prevailing literature. This paper aims to find rationality in course design and structure, given the learners’ background and academic program tracks, as well as the teaching tools and instruments necessary in a combined learning modality. The challenge is how learners can be more engaged in discussions and provide participatory feedback. Another objective of this work is to provide documented experience of the issues and challenges in hybrid plat</w:t>
      </w:r>
    </w:p>
    <w:p>
      <w:r>
        <w:t>POSSIBLE 2024: Using a co-design methodological approach to optimize perioperative nursing care for older adult patients from ethnically diverse backgrounds: a study protocol — https://doi.org/10.1080/17482631.2024.2349438</w:t>
      </w:r>
    </w:p>
    <w:p>
      <w:r>
        <w:t>Shared claim-specific concepts: methodology, approach, findings; EU scope not established. This is a provisional connection, not an outcome finding.</w:t>
      </w:r>
    </w:p>
    <w:p>
      <w:r>
        <w:t>Available abstract (not full text): This article outlines the use of a co-design methodological approach aimed at optimizing perioperative care experiences for ethnically diverse older adults and their family carers. The research involved three phases. In Phase 1, the foundation was established with the formation of a Core Advisory Group comprising key informants, including health consumers. This initial phase focused on forming relationships and conducting a literature review to inform subsequent stages of the research. Phase 2 progressed to data collection, where a qualitative survey on perioperative experiences was conducted. Semi-structured interviews were held with patients, their family carers, and perioperative staff. Phase 3 advanced the co-design process through a workshop involving patients, family carers, perioperative staff, and key stakeholders. Workshop participants collaborated on potential practice changes, proposing strategies for future clinical implementation. While data analysis and reporting for Phases 2 and 3 are forthcoming, the continued involvement of the Core Advisory Group ensures ongoing consensus-building on health consumer needs. This methodology article adopts a prospective stance, with findings to be presented in subsequent scholarly works. Use of this methodology will help to determine how the use of a co-design approach may impact the development of culturally responsive perioper</w:t>
      </w:r>
    </w:p>
    <w:p>
      <w:r>
        <w:t>POSSIBLE 2024: A design methodology based approach for robotic gripper design — https://openalex.org/W4391710302</w:t>
      </w:r>
    </w:p>
    <w:p>
      <w:r>
        <w:t>Shared claim-specific concepts: design, methodology, approach, based; EU scope not established. This is a provisional connection, not an outcome finding.</w:t>
      </w:r>
    </w:p>
    <w:p>
      <w:r>
        <w:t>Available abstract (not full text): Abstract Not Provided</w:t>
      </w:r>
    </w:p>
    <w:p>
      <w:r>
        <w:t>POSSIBLE 2024: Exploring a Material-Focused Design Methodology: An Innovative Approach to Pressure Vessel Design — https://doi.org/10.3390/machines12010081</w:t>
      </w:r>
    </w:p>
    <w:p>
      <w:r>
        <w:t>Shared claim-specific concepts: design, methodology, approach, based, industrial, methodologies; EU scope not established. This is a provisional connection, not an outcome finding.</w:t>
      </w:r>
    </w:p>
    <w:p>
      <w:r>
        <w:t>Available abstract (not full text): The design of components and elements comprising industrial machinery, as well as those that are part of an industrial system, has been carried out in recent years using various design methodologies. Currently, the products demanded by customers, as well as the needs of different companies, governments, and individuals, require considerations beyond traditional design, including multidisciplinary aspects such as sustainability, environmental friendliness, and circular economy. The design methodologies considered for this study are the quality function deployment (QFD) methodology, the theory of inventive problem-solving methodology, Ashby’s Materials Selection methodology, and the systematic approach methodology, which are currently the main design methodologies. These methodologies present some disadvantages, such as multidisciplinary requirements not being considered directly, the selection of materials based on standards is not well established, and obtaining technical requirements is ambiguous for the technical purposes of the design or manufacturing, and the designer’s experience in these examples is important to the design process and the development of the product. For these reasons, the traditional design methodologies are presented, next, a new design methodology is proposed and described, then a case study is performed in order to compare the proposed methodology with</w:t>
      </w:r>
    </w:p>
    <w:p>
      <w:r>
        <w:t>POSSIBLE 2023: Smart factory mapping and design: methodological approaches — https://doi.org/10.1007/s11740-023-01193-8</w:t>
      </w:r>
    </w:p>
    <w:p>
      <w:r>
        <w:t>Shared claim-specific concepts: design, approach, based; EU scope not established. This is a provisional connection, not an outcome finding.</w:t>
      </w:r>
    </w:p>
    <w:p>
      <w:r>
        <w:t>Available abstract (not full text): Abstract Several studies show a demand for further transfer of Industry 4.0 concepts and technologies into practice. This paper describes how companies can be supported methodologically to identify individual opportunities for optimization within their future smart factories. Existing methods are screened, recombined, and enhanced to create a sufficient demand-oriented approach, based on the lean value stream mapping and design. The final approach covers a mapping phase of the current state and a design phase of a future state. It follows the general principle of process optimization prior to digitalization. Being a highly visual method, it can be used to explain the needs and the motivation for the identified improvement initiatives to all involved parties, including non-IT-specialists. This paper also presents an exemplary result and several learnings from tests with three companies with discrete manufacturing processes.</w:t>
      </w:r>
    </w:p>
    <w:p>
      <w:r>
        <w:t>POSSIBLE 2023: Full factorial design methodology approach to optimize the elimination of gallic acid from water by coagulation using activated acorns barks as coagulant-aid — https://doi.org/10.2298/jsc220623084b</w:t>
      </w:r>
    </w:p>
    <w:p>
      <w:r>
        <w:t>Shared claim-specific concepts: design, methodology, approach, hybrid; EU scope not established. This is a provisional connection, not an outcome finding.</w:t>
      </w:r>
    </w:p>
    <w:p>
      <w:r>
        <w:t>Available abstract (not full text): This study investigated the elimination of organic matter from water by the coagulation process using a biomaterial ?acorns barks? as a coagulantaid with the presence of aluminium sulphate in low concentration. The removal of gallic acid from water was first studied by two processes: the adsorption on activated acorns barks, and coagulation by aluminium sulphate, separately. The hybrid system was then studied, and the optimal operating conditions were determined. The performance of the hybrid system (coagulation/adsorption) mainly depends on the initial concentration of gallic acid, the coagulant dose and the mass of coagulant-aid. A full factorial design 23 was used to determine the optimum conditions for gallic acid removal. The maximum removal of gallic acid in water was 92.48 %, achieved at 20 mg L-1 of initial gallic acid concentration, 50 mg L-1 of aluminium sulphate coagulant concentration and 1.5 g of activated acorns barks adsorbent mass. The application of these optimal conditions on urban wastewater for the elimination of organic matter has shown the performance of this hybrid system treatment.</w:t>
      </w:r>
    </w:p>
    <w:p>
      <w:r>
        <w:t>POSSIBLE 2021: Analytical Quality by Design Methodology Approach for Simultaneous Quantitation of Paeoniflorin and Decursin in Herbal Medicine by RP-HPLC Analysis — https://doi.org/10.20307/nps.2021.27.4.264</w:t>
      </w:r>
    </w:p>
    <w:p>
      <w:r>
        <w:t>Shared claim-specific concepts: design, methodology, approach, based; EU scope not established. This is a provisional connection, not an outcome finding.</w:t>
      </w:r>
    </w:p>
    <w:p>
      <w:r>
        <w:t>Available abstract (not full text): Simultaneous quantification of multiple marker compounds in herbal medicine by high performance liquid chromatography (HPLC) analysis is still a challenge due to the complexity in various parameters to be considered and co-existing multi-components. As a case study, a reliable HPLC method for simultaneous quantification of paeoniflorin from Paeoniae Radix and decursin from Angelicae Gigantis Radix in various commercial herbal medicine was developed based on analytical quality by design (AQbD) strategy. As a first step, risk assessment was performed to select the critical method parameters (CMPs) which were decided as organic mobile phase ratio and column oven temperature. In order to evaluate the effect of the CMPs on critical method attributes (CMAs) of peak resolution and tailing, central composite design (CCD) was employed. The final chromatographic conditions were optimized as follows: column- C18, 4.6 × 250 mm, 5 μm particle size; mobile phase- A: acetonitrile, B: 0.1% acetic acid water; detection wavelength- 235 nm for paeoniflorin, 325 nm for decursin; column oven temperature- 25oC; flow rate- 1.0 mL/min; gradient mobile phase system as Time (min) : % A, 0:14, 25:14, 30:50, 60:50, 61:100, 65:100, 66:14, 75:14. The method was successfully validated according to the International Conference on Harmonization (ICH) guidelines and piloted for ten commercial herbal medicines.</w:t>
      </w:r>
    </w:p>
    <w:p>
      <w:r>
        <w:t>POSSIBLE 2020: A Methodological Safe-by-Design Approach for the Development of Nanomedicines — https://doi.org/10.3389/fbioe.2020.00258</w:t>
      </w:r>
    </w:p>
    <w:p>
      <w:r>
        <w:t>Shared claim-specific concepts: design, approach, based; EU scope visible. This is a provisional connection, not an outcome finding.</w:t>
      </w:r>
    </w:p>
    <w:p>
      <w:r>
        <w:t>Available abstract (not full text): Safe-by-Design (SbD) concepts foresee the risk identification and reduction as well as uncertainties regarding human health and environmental safety in early stages of product development. The EU's NANoREG project and further on the H2020 ProSafe initiative, NanoReg2, and CALIBRATE projects have developed a general SbD approach for nanotechnologies (e.g., paints, textiles, etc.). Based on it, the GoNanoBioMat project elaborated a methodological SbD approach (GoNanoBioMat SbD approach) for nanomedicines with a focus on polymeric nanobiomaterials (NBMs) used for drug delivery. NBMs have various advantages such as the potential to increase drug efficacy and bioavailability. However, the nanoscale brings new challenges to product design, manufacturing, and handling. Nanomedicines are costly and require the combination of knowledge from several fields. In this paper, we present the GoNanoBioMat SbD approach, which allows identifying and addressing the relevant safety aspects to address when developing polymeric NBMs during design, characterization, assessment of human health and environmental risk, manufacturing and handling, and combines the nanoscale and medicine field under one approach. Furthermore, regulatory requirements are integrated into the innovation process.</w:t>
      </w:r>
    </w:p>
    <w:p>
      <w:r>
        <w:t>POSSIBLE 2020: An approach to the Contextual Design methodology in the context of Information Science — https://doi.org/10.5281/zenodo.3733525</w:t>
      </w:r>
    </w:p>
    <w:p>
      <w:r>
        <w:t>Shared claim-specific concepts: design, methodology, approach, based, domain; EU scope not established. This is a provisional connection, not an outcome finding.</w:t>
      </w:r>
    </w:p>
    <w:p>
      <w:r>
        <w:t>Available abstract (not full text): Based on an operative definition of Information Science (IS) as a study of the mediation aspects of the phenomena: data, information, knowledge and message, and their implementation in the cultural domain, the potential of Contextual Design (CD) as a methodology for the development of optimized interfaces between information resources and users is analyzed. The goals are (i) to identify papers that address or make use of the CD methodology in databases related to IS; (ii) to describe the approaches to the concept of CD in those papers; (iii) to point out the potentials and limitations of this methodology. We draw an exploratory / descriptive study based on a systematic review and categorical analysis. Eight papers were retrieved, which may act as a potential indicator of the reduced use of this methodology in the IS area. Furthermore, its application is essentially practical. Although the limitation of non-involvement of users throughout all the design process is pointed out, the CD methodology shows the ability to collect implicit information through user activities and the possibility of shared systematization of complex data. These characteristics make CD a potential value for the development of appropriate interfaces between information resources and their users.</w:t>
      </w:r>
    </w:p>
    <w:p>
      <w:pPr>
        <w:pStyle w:val="Heading2"/>
      </w:pPr>
      <w:r>
        <w:t>The Future of Rural Poland: the Main Trends and Possible Scenarios.</w:t>
      </w:r>
    </w:p>
    <w:p>
      <w:r>
        <w:t>Original source (2018): https://doi.org/10.1515/eec-2017-0004</w:t>
      </w:r>
    </w:p>
    <w:p>
      <w:r>
        <w:t>Original wording (abstract; indexed_source_text_not_full_document_verified): Abstract The objective of the report is to attempt the identification of the most significant factors that will shape Polish countryside until the year 2050 and to outline the feasible scenarios of changes in rural areas. The image of the Polish countryside in the perspective of the decades to come will most probably not undergo radical shifts.</w:t>
      </w:r>
    </w:p>
    <w:p>
      <w:r>
        <w:t>POSSIBLE 2025: Abstracts of the 19th European Congress of Psychology — https://doi.org/10.1024/2673-8627/a000085</w:t>
      </w:r>
    </w:p>
    <w:p>
      <w:r>
        <w:t>Shared claim-specific concepts: significant, shape, not; EU scope visible. This is a provisional connection, not an outcome finding.</w:t>
      </w:r>
    </w:p>
    <w:p>
      <w:r>
        <w:t xml:space="preserve">Available abstract (not full text): Psychology plays a crucial role in addressing the diverse challenges facing Europe.Its interdisciplinary nature allows it to connect with various sciences and professions.Despite differences in how individual countries are both affected by and handle these challenges, there's a shared framework provided by the United Nations Sustainable Development Goals (SDGs).Mental health and wellbeing have become a core human concern, underscored by recent events like the COVID-19 pandemic and the war in Ukraine.Climate change has significant psychological implications.The workplace also faces mental health challenges, with one-quarter of the EU workforce experiencing mental health issues.Digitalisation proceeding at pace has implications across the board.Psychology is increasingly involved in social discourses across Europe.Psychology collaborates at the international organizations like the United Nations and the World Health Organization.It is significantly engaged with the European Union institutions of the Parliament and Commission, and more widely across EU candidate countries and those on the continent of Europe but outside of the EU.This work is fostering a European-level approach.In times of fundamental change, it is important to take stock.Questions about the 'where from' are linked to the search for solutions and sustainable perspectives for the future.By realigning education and </w:t>
      </w:r>
    </w:p>
    <w:p>
      <w:r>
        <w:t>POSSIBLE 2023: Organizational Models in European Forestry: An Attempt of Conceptualization and Categorization — https://doi.org/10.3390/f14050905</w:t>
      </w:r>
    </w:p>
    <w:p>
      <w:r>
        <w:t>Shared claim-specific concepts: attempt, decades; EU scope visible. This is a provisional connection, not an outcome finding.</w:t>
      </w:r>
    </w:p>
    <w:p>
      <w:r>
        <w:t>Available abstract (not full text): The changes and challenges that are tackling the forest sector in recent decades have prompted governments and foresters to work hard to find innovative solutions. Research in the forestry domain has focused on product and process innovation, and more recently on business systems and social innovation. In addition, organizational innovation is recognized and documented. However, while consistent conceptualization work has been conducted for business models and social innovation, the organizational domain in forestry seems less clear, characterized by multiple actors and often overlapping in literature, while a clear framework to describe it is missing. This work proposes a conceptualization of the “organizational model”, a concept embracing different approaches to build an analytical framework used to describe and characterize organizations in the forestry sector. The framework is drafted referring to existing theories, then tested (and further developed) through a semi-systematic literature review on organizations operating in forest management in Europe that are identified, categorized, and characterized. This exercise confirms that forest management organizations can be described with several diverse arrangements and can be complex entities: a holistic and comprehensive approach is more likely to be used by policy initiatives addressing improvement of forest management.</w:t>
      </w:r>
    </w:p>
    <w:p>
      <w:pPr>
        <w:pStyle w:val="Heading2"/>
      </w:pPr>
      <w:r>
        <w:t>The Public Health Status and Foresight report 2014: Four normative perspectives on a healthier Netherlands in 2040</w:t>
      </w:r>
    </w:p>
    <w:p>
      <w:r>
        <w:t>Original source (2018): https://doi.org/10.1016/j.healthpol.2018.10.014</w:t>
      </w:r>
    </w:p>
    <w:p>
      <w:r>
        <w:t>Original wording (abstract; indexed_source_text_not_full_document_verified): We organized meetings with experts to explore how engagement and policy strategies in each scenario would affect the other three societal challenges. Possible synergies and trade-offs between the four scenarios were identified.</w:t>
      </w:r>
    </w:p>
    <w:p>
      <w:r>
        <w:t>POSSIBLE 2026: European Cancer Prevention Organization on cancer screening: an expert panel position paper — https://doi.org/10.1097/cej.0000000000001025</w:t>
      </w:r>
    </w:p>
    <w:p>
      <w:r>
        <w:t>Shared claim-specific concepts: organized, strategies, each, identified; EU scope visible. This is a provisional connection, not an outcome finding.</w:t>
      </w:r>
    </w:p>
    <w:p>
      <w:r>
        <w:t>Available abstract (not full text): BACKGROUND: Cancer screening is a cornerstone of cancer control in Europe yet marked disparities persist in access, implementation, and quality assurance among national or regional programs. Building on the EU Council's 2022 recommendations and the European Union's Beating Cancer Plan, the European Consensus Project (ECP) was established to provide harmonized, evidence-based recommendations for major cancer screening programs and to promote a shift toward risk-adapted, technology-enabled, and equitable prevention models. METHODS: A structured expert panel meeting was convened under the auspices of the European Cancer Prevention Organization, integrating systematic literature review and multidisciplinary discussion to formulate validated, evidence-based recommendations. For each primary cancer site (breast, lung, colo-rectum, cervix, prostate, and stomach), systematic literature reviews identified evidence on reductions in mortality, stage distribution, participation, cost-effectiveness, and organizational quality. RESULTS: The consensus reaffirmed the evidence of mortality reduction with organized breast, lung, colorectal, and cervical screening, endorsed structured risk-adapted prostate-specific antigen testing for prostate cancer, and recommended Helicobacter pylori 'screen-and-treat' strategies for gastric cancer in high-incidence regions. Insights into future perspectives o</w:t>
      </w:r>
    </w:p>
    <w:p>
      <w:r>
        <w:t>POSSIBLE 2024: Editorial: European Optical Society Annual Meeting (EOSAM) 2023 — https://doi.org/10.1051/jeos/2024037</w:t>
      </w:r>
    </w:p>
    <w:p>
      <w:r>
        <w:t>Shared claim-specific concepts: organized, meetings, experts, three, challenges, between; EU scope visible. This is a provisional connection, not an outcome finding.</w:t>
      </w:r>
    </w:p>
    <w:p>
      <w:r>
        <w:t>Available abstract (not full text): The European Optical Society Annual Meeting, EOSAM, covers all aspects of optics and photonics within several topical meetings and sessions.The 11th EOSAM was organized by EOS and SFO onsite in Dijon, France, at the Dijon Exhibition and Convention Center, 11-15 September 2023.It was attended by over 500 researchers, key leaders, students, and industry experts from over 34 different countries all over the world.The event provided a comprehensive overview of cutting-edge research in optics and photonics, from fundamental to applied, and of industrial developments through more than 420 presentations in 10 thematic sessions highlighting the most innovative and emerging research, including: silicon photonics and integrated optics, adaptive and freeform optics, biophotonics, nanophotonics, optical materials, nonlinear and quantum optics, optical frequency combs, ultrafast optics, optoelectronic nanotechnologies and microsystems, and optics applications.Four focused sessions completed the panorama: specialty optical fibers, structured light, chiroptical phenomena, machine-learning for optics and photonic computing for Artificial Intelligence (AI).This annual international congress highlighted the richness and vigor of all the optics sectors in France, Europe and the rest of the world.An industrial session dedicated to technological innovations was complemented by an exhibition area fo</w:t>
      </w:r>
    </w:p>
    <w:p>
      <w:r>
        <w:t>POSSIBLE 2023: Update on the clinical use of trabecular bone score (TBS) in the management of osteoporosis: results of an expert group meeting organized by the European Society for Clinical and Economic Aspects of Osteoporosis, Osteoarthritis and Musculoskeletal Diseases (ESCEO), and the International Osteoporosis Foundation (IOF) under the auspices of WHO Collaborating Center for Epidemiology of Musculoskeletal Health and Aging — https://doi.org/10.1007/s00198-023-06817-4</w:t>
      </w:r>
    </w:p>
    <w:p>
      <w:r>
        <w:t>Shared claim-specific concepts: organized, strategies, four; EU scope visible. This is a provisional connection, not an outcome finding.</w:t>
      </w:r>
    </w:p>
    <w:p>
      <w:r>
        <w:t>Available abstract (not full text): PURPOSE: Trabecular bone score (TBS) is a grey-level textural measurement acquired from dual-energy X-ray absorptiometry lumbar spine images and is a validated index of bone microarchitecture. In 2015, a Working Group of the European Society on Clinical and Economic Aspects of Osteoporosis, Osteoarthritis and Musculoskeletal Diseases (ESCEO) published a review of the TBS literature, concluding that TBS predicts hip and major osteoporotic fracture, at least partly independent of bone mineral density (BMD) and clinical risk factors. It was also concluded that TBS is potentially amenable to change as a result of pharmacological therapy. Further evidence on the utility of TBS has since accumulated in both primary and secondary osteoporosis, and the introduction of FRAX and BMD T-score adjustment for TBS has accelerated adoption. This position paper therefore presents a review of the updated scientific literature and provides expert consensus statements and corresponding operational guidelines for the use of TBS. METHODS: An Expert Working Group was convened by the ESCEO and a systematic review of the evidence undertaken, with defined search strategies for four key topics with respect to the potential use of TBS: (1) fracture prediction in men and women; (2) initiating and monitoring treatment in postmenopausal osteoporosis; (3) fracture prediction in secondary osteoporosis; and (4)</w:t>
      </w:r>
    </w:p>
    <w:p>
      <w:r>
        <w:t>POSSIBLE 2021: Barriers to ecological restoration in Europe: expert perspectives — https://doi.org/10.1111/rec.13346</w:t>
      </w:r>
    </w:p>
    <w:p>
      <w:r>
        <w:t>Shared claim-specific concepts: experts, three, identified; EU scope visible. This is a provisional connection, not an outcome finding.</w:t>
      </w:r>
    </w:p>
    <w:p>
      <w:r>
        <w:t>Available abstract (not full text): Ecological restoration is key to counteracting anthropogenic degradation of biodiversity and to reducing disaster risk. However, there is limited knowledge of barriers hindering the wider implementation of restoration practices, despite high‐level political priority to halt the loss of biodiversity. In Europe, progress on ecological restoration has been slow and insufficient to meet international agreements and comply with European Union Nature Directives. We assessed European restoration experts' perceptions on barriers to restoration in Europe, and their relative importance, through a multiple expert consultation using a Delphi process. We found that experts share a common multi‐dimensional concept of ecological restoration. Experts identified a large number of barriers (33) to the advancement of ecological restoration in Europe. Major barriers pertained to the socio‐economic, not the environmental, domain. The three most important being insufficient funding , conflicting interests among different stakeholders , and low political priority given to restoration . Our results emphasize the need to increase political commitment at all levels, comply with existing nature laws, and optimize the use of financial resources by increasing funds for ecological restoration and eradicate environmentally harmful subsidies. The experts also call for the integration of ecological restoration</w:t>
      </w:r>
    </w:p>
    <w:p>
      <w:r>
        <w:t>POSSIBLE 2019: Determinants, consequences and potential solutions to poor adherence to anti-osteoporosis treatment: results of an expert group meeting organized by the European Society for Clinical and Economic Aspects of Osteoporosis, Osteoarthritis and Musculoskeletal Diseases (ESCEO) and the International Osteoporosis Foundation (IOF) — https://doi.org/10.1007/s00198-019-05104-5</w:t>
      </w:r>
    </w:p>
    <w:p>
      <w:r>
        <w:t>Shared claim-specific concepts: organized, experts, each; EU scope visible. This is a provisional connection, not an outcome finding.</w:t>
      </w:r>
    </w:p>
    <w:p>
      <w:r>
        <w:t>Available abstract (not full text): Many patients at increased risk of fractures do not take their medication appropriately, resulting in a substantial decrease in the benefits of drug therapy. Improving medication adherence is urgently needed but remains laborious, given the numerous and multidimensional reasons for non-adherence, suggesting the need for measurement-guided, multifactorial and individualized solutions. INTRODUCTION: Poor adherence to medications is a major challenge in the treatment of osteoporosis. This paper aimed to provide an overview of the consequences, determinants and potential solutions to poor adherence and persistence to osteoporosis medication. METHODS: A working group was organized by the European Society on Clinical and Economic Aspects of Osteoporosis, Osteoarthritis and Musculoskeletal diseases (ESCEO) to review consequences, determinants and potential solutions to adherence and to make recommendations for practice and further research. A systematic literature review and a face-to-face experts meeting were undertaken. RESULTS: Medication non-adherence is associated with increased risk of fractures, leading to a substantial decrease in the clinical and economic benefits of drug therapy. Reasons for non-adherence are numerous and multidimensional for each patient, depending on the interplay of multiple factors, suggesting the need for multifactorial and individualized solutions. Few</w:t>
      </w:r>
    </w:p>
    <w:p>
      <w:r>
        <w:t>POSSIBLE 2019: Brief Report on the 11th Meeting of the European Forum on Antiphospholipid Antibodies — https://doi.org/10.1007/s11926-019-0805-1</w:t>
      </w:r>
    </w:p>
    <w:p>
      <w:r>
        <w:t>Shared claim-specific concepts: organized, meetings, experts; EU scope visible. This is a provisional connection, not an outcome finding.</w:t>
      </w:r>
    </w:p>
    <w:p>
      <w:r>
        <w:t>Available abstract (not full text): The European Forum on Antiphospholipid Antibodies provides a multidisciplinary network of diverse experts with a common interest in antiphospholipid antibodies (aPL) and antiphospholipid syndrome (APS).Ten successful meetings have been organized since 1997 in different cities (Paris, Venice, Utrecht, London, Barcelona, Ljubljana, Marseille, Padua, Krakow, and Nancy), providing an excellent opportunity for European clinicians and scientists involved in the field of APS to meet and strengthen current and future collaborations.The 11th Meeting of the European Forum on Antiphospholipid Antibodies was held in the monumental Lambertus Church in Maastricht, The Netherlands, from September 25 to 26, 2018.The Forum brought together approximately 125 participants from 16 different countries, including the USA, Argentina, and Russia (Fig. 1).Participants with various scientific/medical backgrounds presented an update of their current research in the APS field and reached out to the European Forum for collaboration in new/ongoing projects.Lectures were not only innovative, but also followed by interesting discussions with the audience.This report summarizes the different scientific sessions of the meeting.The abstract book, as well as some of the presentations are available for educational purpose through the website https:// apsmaastricht.com.The current general coordinator of the Europea</w:t>
      </w:r>
    </w:p>
    <w:p>
      <w:r>
        <w:t>POSSIBLE 2019: 28th European Vegetation Survey Meeting in Madrid: Vegetation Diversity and Global Change — https://doi.org/10.5209/mbot.65670</w:t>
      </w:r>
    </w:p>
    <w:p>
      <w:r>
        <w:t>Shared claim-specific concepts: organized, experts, each, other, three; EU scope visible. This is a provisional connection, not an outcome finding.</w:t>
      </w:r>
    </w:p>
    <w:p>
      <w:r>
        <w:t>Available abstract (not full text): The twenty-eighth annual meeting of the European Vegetation Survey has been held in Madrid from September 2 to 6 at the School of Pharmacy (Complutense University) with the title 'Vegetation Diversity and Global Change'.European Vegetation Survey is a working group of IAVS (International Association of Vegetation Science) born in 1992 as a new initiative related to the European Habitats Directive (Bulletin of the European Communities) which urged member countries to conserve their most significant natural spaces.That directive led the countries to work in the preparation of detailed cartographies of its vegetation and the creation of Natura 2000 Network, which included the most important "natural vegetation units" of each country and provided them with special protection.More than 160 experts from 25 countries has attended it.The Department of Pharmacology, Pharmacognosy and Botany has organized this event for the first time in Madrid.Traditionally Pharmacy has been considered as guarantor of environmental health and its relationships with the Official Professional Pharmaceutical College of Madrid has resulted in sponsoring the congress, and count on the presence of its president, Luis González Díaz in the Opening Ceremony, together with the vice-dean of the Faculty, Manuel Córdoba on behalf of the Dean Irene Iglesias, the general secretary of EVS (European Vegetation Survey) M</w:t>
      </w:r>
    </w:p>
    <w:p>
      <w:r>
        <w:t>POSSIBLE 2019: Final Report of the Fifth Meeting of Scientific Experts on Fish Stocks in the Central Arctic Ocean — https://openalex.org/W3138443630</w:t>
      </w:r>
    </w:p>
    <w:p>
      <w:r>
        <w:t>Shared claim-specific concepts: organized, experts, other, possible, four; EU scope visible. This is a provisional connection, not an outcome finding.</w:t>
      </w:r>
    </w:p>
    <w:p>
      <w:r>
        <w:t>Available abstract (not full text): This report provides a summary of the 5th meeting of scientific experts on Fish Stocks in the Central \nArctic Ocean (FiSCAO) on October 24‐26, 2017, in Ottawa, Canada. \nAt the request of the 10 parties negotiating on an agreement to prevent unregulated commercial fishing \nin the High Seas portion of the Central Arctic Ocean (CAO), participants of the 5th FiSCAO meeting were \ntasked with addressing four Terms of Reference, summarized below: \n ToR 1. Design a 1‐3 year long mapping program. \n ToR 2. Design a monitoring program. \n ToR 3. Identify human, financial, vessel/equipment resources needed for mapping and \nmonitoring. \n ToR 4. Develop data collection, sharing, and hosting protocols that outline the details of what \nand how data shall be collected, shared, and hosted for consideration by the Parties. \nThe 5th FiSCAO meeting included scientific representatives from seven states including Canada, the \nPeople's Republic of China, the European Union, Iceland, the Republic of Korea, the Kingdom of Norway \nand the United States of America. The meeting also included representatives from the International \nCouncil for the Exploration of the Sea (ICES), the North Pacific Marine Science Organization (PICES) and \nthe Arctic Council’s Protection of the Arctic Marine Environment (PAME) and Conservation of Arctic \nFlora and Fauna (CAFF) working groups. \nThe report sum</w:t>
      </w:r>
    </w:p>
    <w:p>
      <w:pPr>
        <w:pStyle w:val="Heading2"/>
      </w:pPr>
      <w:r>
        <w:t>The northern hemisphere circumglobal teleconnection in a seasonal forecast model and its relationship to European summer forecast skill</w:t>
      </w:r>
    </w:p>
    <w:p>
      <w:r>
        <w:t>Original source (2018): https://doi.org/10.1007/s00382-018-4371-4</w:t>
      </w:r>
    </w:p>
    <w:p>
      <w:r>
        <w:t>Original wording (abstract; indexed_source_text_not_full_document_verified): Third, the model jet is systematically shifted northwards by several degrees latitude over large parts of the northern hemisphere, which may affect the propagation characteristics of Rossby waves in the model.</w:t>
      </w:r>
    </w:p>
    <w:p>
      <w:r>
        <w:t>POSSIBLE 2023: Testing a prediction model for the H-mode density pedestal against JET-ILW pedestals — https://doi.org/10.1088/1741-4326/acc084</w:t>
      </w:r>
    </w:p>
    <w:p>
      <w:r>
        <w:t>Shared claim-specific concepts: jet, over; EU scope not established. This is a provisional connection, not an outcome finding.</w:t>
      </w:r>
    </w:p>
    <w:p>
      <w:r>
        <w:t>Available abstract (not full text): Abstract The neutral ionisation model proposed by Groebner et al (2002 Phys. Plasmas 9 2134) to determine the plasma density profile in the H-mode pedestal, is extended to include charge exchange processes in the pedestal stimulated by the ideas of Mahdavi et al (2003 Phys. Plasmas 10 3984). The model is then tested against JET H-mode pedestal data, both in a ‘standalone’ version using experimental temperature profiles and also by incorporating it in the Europed version of EPED. The model is able to predict the density pedestal over a wide range of conditions with good accuracy. It is also able to predict the experimentally observed isotope effect on the density pedestal that eludes simpler neutral ionization models.</w:t>
      </w:r>
    </w:p>
    <w:p>
      <w:r>
        <w:t>POSSIBLE 2021: Extreme windstorms and sting jets in convection-permitting climate simulations over Europe — https://doi.org/10.1007/s00382-021-06011-4</w:t>
      </w:r>
    </w:p>
    <w:p>
      <w:r>
        <w:t>Shared claim-specific concepts: over, large; EU scope visible. This is a provisional connection, not an outcome finding.</w:t>
      </w:r>
    </w:p>
    <w:p>
      <w:r>
        <w:t>Available abstract (not full text): Abstract Extra-tropical windstorms are one of the costliest natural hazards affecting Europe, and windstorms that develop a sting-jet are extremely damaging. A sting-jet is a mesoscale core of very high wind speeds that occurs in Shapiro-Keyser type cyclones, and high-resolution models are required to adequately model sting-jets. Here, we develop a low-cost methodology to automatically detect sting jets, using the characteristic warm seclusion of Shapiro-Keyser cyclones and the slantwise descent of high wind speeds, within pan-European 2.2km convection-permitting climate model (CPM) simulations over Europe. The representation of wind gusts is improved with respect to ERA-Interim reanalysis data compared to observations; this is linked to better representation of cold conveyor belts and sting-jets in the CPM. Our analysis indicates that Shapiro-Keyser cyclones, and those that develop sting-jets, are the most damaging windstorms in present and future climates. The frequency of extreme windstorms is projected to increase by 2100 and a large contribution comes from sting-jet storms. Furthermore, extreme wind speeds and their future changes are underestimated in the GCM compared to the CPM. We conclude that the CPM adds value in the representation of extreme winds and surface wind gusts and can provide improved input for impact models compared to coarser resolution models.</w:t>
      </w:r>
    </w:p>
    <w:p>
      <w:r>
        <w:t>POSSIBLE 2021: Experimental validation of an integrated modelling approach to neutron emission studies at JET — https://doi.org/10.1088/1741-4326/ac3021</w:t>
      </w:r>
    </w:p>
    <w:p>
      <w:r>
        <w:t>Shared claim-specific concepts: jet, several, characteristics; EU scope not established. This is a provisional connection, not an outcome finding.</w:t>
      </w:r>
    </w:p>
    <w:p>
      <w:r>
        <w:t>Available abstract (not full text): An integrated modelling methodology for the calculation of realistic plasma neutron sources for the JET tokamak has been developed. The computational chain comprises TRANSP plasma transport and DRESS neutron spectrum calculations, and their coupling to the MCNP neutron transport code, bridging plasma physics and neutronics. In the paper we apply the developed methodology to the analysis of neutron emission properties of deuterium and helium plasmas at JET, and validate individual modelling steps against neutron diagnostic measurements. Two types of JET discharges are modelled—baseline-like and three-ion radio-frequency scenarios—due to their diversity in plasma heating, characteristics of the induced fast ion population, and the imprint of these on neutron emission properties. The neutron emission modelling results are quantitatively compared to the total neutron yield from fission chambers, neutron emissivity profiles from the neutron camera, neutron spectra from the time-of-flight spectrometer, and neutron activation measurements. The agreement between measured and calculated quantities is found to be satisfactory for all four diagnostic systems within the estimated experimental and computational uncertainties. Additionally, the effect of neutrons not originating from the dominating D(D, n) 3 He reactions is studied through modelling of triton burnup DT neutrons, and, in mixe</w:t>
      </w:r>
    </w:p>
    <w:p>
      <w:r>
        <w:t>POSSIBLE 2020: Drivers of the Northern Extratropical Eddy‐Driven Jet Change in CMIP5 and CMIP6 Models — https://doi.org/10.1029/2019gl086695</w:t>
      </w:r>
    </w:p>
    <w:p>
      <w:r>
        <w:t>Shared claim-specific concepts: jet, over, northern; EU scope visible. This is a provisional connection, not an outcome finding.</w:t>
      </w:r>
    </w:p>
    <w:p>
      <w:r>
        <w:t>Available abstract (not full text): Abstract The wintertime midlatitude atmospheric circulation is evaluated in CMIP6 models. The biases have been reduced since CMIP5 although the low‐level flow is still too zonal. CMIP5 and CMIP6 projections of 850 hPa zonal wind are then analyzed and are consistent under the RCP8.5 and the SSP5–8.5 scenarios, respectively. A poleward shift is identified in the Pacific, while a tripole structure is found in the North Atlantic: The zonal wind strengthens over Western Europe and decreases north and south. A multiple linear regression allows us to quantify the contribution of different drivers to the intermodel spread in zonal wind projections. It supports the importance of projected tropical warming and changes in the stratospheric vortex but also suggests a contribution of the asymmetry in the projected surface warming of the equatorial Pacific and of the present‐day biases in the eddy‐driven jet position. The North Atlantic warming hole plays a weaker role.</w:t>
      </w:r>
    </w:p>
    <w:p>
      <w:r>
        <w:t>POSSIBLE 2019: Jet production in charged-current deep-inelastic scattering to third order in QCD — https://doi.org/10.1016/j.physletb.2019.03.003</w:t>
      </w:r>
    </w:p>
    <w:p>
      <w:r>
        <w:t>Shared claim-specific concepts: third, jet; EU scope not established. This is a provisional connection, not an outcome finding.</w:t>
      </w:r>
    </w:p>
    <w:p>
      <w:r>
        <w:t>Available abstract (not full text): The production of jets in charged-current deep-inelastic scattering (CC DIS) probes simultaneously the strong and the electroweak sectors of the Standard Model ; its measurement provides important information on the quark flavour structure of the proton. We compute third-order ( N 3 LO ) perturbative QCD corrections to this process, fully differential in the jet and lepton kinematics. We observe a substantial reduction in the theory uncertainty, to sub-percent level throughout the relevant kinematical range, thus enabling precision phenomenology with jet observables.</w:t>
      </w:r>
    </w:p>
    <w:p>
      <w:r>
        <w:t>POSSIBLE 2019: Erosion, screening, and migration of tungsten in the JET divertor — https://doi.org/10.1088/1741-4326/ab2aef</w:t>
      </w:r>
    </w:p>
    <w:p>
      <w:r>
        <w:t>Shared claim-specific concepts: jet, over, large; EU scope not established. This is a provisional connection, not an outcome finding.</w:t>
      </w:r>
    </w:p>
    <w:p>
      <w:r>
        <w:t>Available abstract (not full text): The erosion of tungsten (W), induced by the bombardment of plasma and impurity particles, determines the lifetime of plasma-facing components as well as impacting on plasma performance by the influx of W into the confined region. The screening of W by the divertor and the transport of W in the plasma determines largely the W content in the plasma core, but the W source strength itself has a vital impact on this process. The JET tokamak experiment provides access to a large set of W erosion-determining parameters and permits a detailed description of the W source in the divertor closest to the ITER one: (i) effective sputtering yields and fluxes as function of impact energy of intrinsic (Be, C) and extrinsic (Ne, N) impurities as well as hydrogenic isotopes (H, D) are determined and predictions for the tritium (T) isotope are made. This includes the quantification of intra- and inter-edge localised mode (ELM) contributions to the total W source in H-mode plasmas which vary owing to the complex flux compositions and energy distributions in the corresponding phases. The sputtering threshold behaviour and the spectroscopic composition analysis provides an insight in the dominating species and plasma phases causing W erosion. (ii) The interplay between the net and gross W erosion source is discussed considering (prompt) re-deposition, thus, the immediate return of W ions back to the</w:t>
      </w:r>
    </w:p>
    <w:p>
      <w:pPr>
        <w:pStyle w:val="Heading2"/>
      </w:pPr>
      <w:r>
        <w:t>Trends and forecast of obesity in Finland</w:t>
      </w:r>
    </w:p>
    <w:p>
      <w:r>
        <w:t>Original source (2018): https://doi.org/10.1093/eurpub/cky214.146</w:t>
      </w:r>
    </w:p>
    <w:p>
      <w:r>
        <w:t>Original wording (abstract; indexed_source_text_not_full_document_verified): The increase in the prevalence of obesity is projected to continue: every third adult is expected to be obese in 2028.</w:t>
      </w:r>
    </w:p>
    <w:p>
      <w:r>
        <w:t>POSSIBLE 2025: Global prevalence of obesity in the older adults: A meta-analysis — https://doi.org/10.1016/j.puhip.2025.100585</w:t>
      </w:r>
    </w:p>
    <w:p>
      <w:r>
        <w:t>Shared claim-specific concepts: increase, prevalence, obesity, adult; EU scope visible. This is a provisional connection, not an outcome finding.</w:t>
      </w:r>
    </w:p>
    <w:p>
      <w:r>
        <w:t>Available abstract (not full text): Objective: Obesity is a chronic and complex disease defined as the excessive accumulation of body fat and is one of the leading public health problems in developed and developing countries. Due to the importance of obesity, this study was conducted to investigate the prevalence of obesity in the older adults. Study design: meta-analysis. Methods: In this study, systematic review and meta-analysis of study data on the prevalence of obesity in the older adults in the world using keywords including: prevalence, outbreak, Body Mass Index, BMI, obesity, Elderly, aged, older adult, in Science Direct databases, Scopus, PubMed, Web of Science, Iran Doc, Mag Iran, SID and Google Scholar search engine were extracted without time limit until August 2020. The target population under study is the world's elderly, and obesity means a BMI≥30. The Random Effects Model was used to perform the analysis and, Comprehensive Meta-Analysis Software version 2.0 was used for data analysis. Results: In review 44 studies with a total sample size of 45,745,944 prevalence of obesity in the older adults of the world; In a meta-analysis of 25.3 % (95 % CI: 21.9-29). It was found that the highest prevalence of obesity in the older adults in South America with 40.4 % (95 % CI: 12.5-76.4). In addition, continental Europe with 33.6 % (95 % confidence interval: 24.1-44.5). The meta-regression results showed an in</w:t>
      </w:r>
    </w:p>
    <w:p>
      <w:r>
        <w:t>POSSIBLE 2023: Sarcopenia prevalence and functional outcomes in older men with obesity: Comparing the use of the EWGSOP2 sarcopenia versus ESPEN-EASO sarcopenic obesity consensus definitions — https://doi.org/10.1016/j.clnu.2023.07.014</w:t>
      </w:r>
    </w:p>
    <w:p>
      <w:r>
        <w:t>Shared claim-specific concepts: prevalence, obesity, obese; EU scope visible. This is a provisional connection, not an outcome finding.</w:t>
      </w:r>
    </w:p>
    <w:p>
      <w:r>
        <w:t>Available abstract (not full text): BACKGROUND &amp; AIMS: The potential for older adults with obesity to also have sarcopenia, and the health consequences of 'sarcopenic obesity', may be underappreciated by health professionals. The primary aim of this secondary analysis of a prospective cohort study of older men was to explore the prevalence and functional outcomes of sarcopenic obesity based on different consensus definitions. METHODS: 1416 community-dwelling men aged ≥70 years were classified into sarcopenia categories according to the European Working Group on Sarcopenia in Older People (EWGSOP2) definition, and sarcopenic obesity categories according to the European Society for Clinical Nutrition and Metabolism and the European Association for the Study of Obesity (ESPEN-EASO) definition. Descriptive analyses determined prevalence of sarcopenia in obese and non-obese older men. Multivariable analyses compared associations with functional outcomes including activity of daily living (ADL) and instrumental activity of daily living (IADL) disability and 12-month incident falls. RESULTS: had low muscle strength. Due to low numbers (N = 4) of obese older men with EWGSOP2-confirmed sarcopenia, associations with functional outcomes were not assessed. Men with sarcopenic obesity according to the ESPEN-EASO definition had significantly lower hand grip strength, higher chair-stands time and slower gait speed (all P &lt; 0.05</w:t>
      </w:r>
    </w:p>
    <w:p>
      <w:r>
        <w:t>POSSIBLE 2022: Prevalence and Correlates of Overweight and Obesity in 12 European Countries in 2017–2018 — https://doi.org/10.1159/000525792</w:t>
      </w:r>
    </w:p>
    <w:p>
      <w:r>
        <w:t>Shared claim-specific concepts: prevalence, obesity, adult, obese; EU scope visible. This is a provisional connection, not an outcome finding.</w:t>
      </w:r>
    </w:p>
    <w:p>
      <w:r>
        <w:t>Available abstract (not full text):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CO</w:t>
      </w:r>
    </w:p>
    <w:p>
      <w:r>
        <w:t>POSSIBLE 2022: A 2022 update on the epidemiology of obesity and a call to action: as its twin COVID-19 pandemic appears to be receding, the obesity and dysmetabolism pandemic continues to rage on — https://doi.org/10.1016/j.metabol.2022.155217</w:t>
      </w:r>
    </w:p>
    <w:p>
      <w:r>
        <w:t>Shared claim-specific concepts: increase, prevalence, obesity, obese; EU scope visible. This is a provisional connection, not an outcome finding.</w:t>
      </w:r>
    </w:p>
    <w:p>
      <w:r>
        <w:t xml:space="preserve">Available abstract (not full text): The WHO just released in May 2022 a report on the state of the obesity pandemic in Europe, stating that 60% of citizens in the area of Europe are either overweight or obese, and highlighting the implications of the obesity pandemic, especially as it interacts with the COVID pandemic to create a twin pandemic, to increase morbidity and mortality. Obesity is a complex disease which has reached pandemic dimensions. The worldwide prevalence of obesity has nearly tripled since 1975, mainly due to the adoption of a progressively more sedentary lifestyle and the consumption of less healthy diets. We first report herein updated prevalence rates of overweight and obesity by sex, age, and region first in Europe, per the WHO report, and then worldwide between 1980 and 2019, as we analyze and present herein the data provided by the Global Burden of Disease Study. The prevalence of obesity is higher in women than in men of any age and the prevalence of both overweight and obesity increases with age and has reached their highest point between the ages of 50 to 65 years showing a slight downward trend afterwards. The age-standardized prevalence of obesity has increased from 4.6% in 1980 to 14.0% in 2019. The American and European region have the highest obesity prevalence and the USA and Russia are the countries with the most obese residents. Given dire implications in terms of comorbidities </w:t>
      </w:r>
    </w:p>
    <w:p>
      <w:r>
        <w:t>POSSIBLE 2022: Prevalence and Socioeconomic Correlates of Adult Obesity in Europe: The Feel4Diabetes Study — https://doi.org/10.3390/ijerph191912572</w:t>
      </w:r>
    </w:p>
    <w:p>
      <w:r>
        <w:t>Shared claim-specific concepts: increase, prevalence, obesity, adult, obese; EU scope visible. This is a provisional connection, not an outcome finding.</w:t>
      </w:r>
    </w:p>
    <w:p>
      <w:r>
        <w:t>Available abstract (not full text): To effectively tackle obesity, it is necessary to identify all specific socioeconomic factors which contribute to its development. We aimed to highlight the prevalence of adult overweight/obesity in European countries and investigate the association of various socioeconomic factors and their accumulative effect on overweight/obesity status. Cross-sectional data from the Feel4Diabetes study for 24,562 adults residing in low socioeconomic areas were collected, representing Belgium, Finland, Greece, Spain, Bulgaria, and Hungary. Socioeconomic Burden Score (SEBS) was created, accounting for unemployment, financial insecurity, and education ≤ 12 years. Data were analyzed using analysis of variance and logistic regression. In total, 19,063 adults with complete data were included (34.5% overweight and 15.8% obese). The highest overweight/obesity rates occurred in Greece (37.5%/17.8%) and Hungary (35.4%/19.7%). After adjusting for confounders, age of &lt;45 years and female sex were inversely associated with overweight/obesity, while low educational level (≤12 years), unemployment, and financial insecurity were positively associated. The increase in SEBS (clustering of socioeconomic disadvantages) was associated with increased overweight/obesity likelihood. This association of SEBS scores with overweight/obesity was evident for males and females across all examined countries, excluding ma</w:t>
      </w:r>
    </w:p>
    <w:p>
      <w:r>
        <w:t>POSSIBLE 2022: Supplementary Material for: Prevalence and correlates of overweight and obesity in 12 European Countries in 2017-2018 — https://doi.org/10.6084/m9.figshare.20417997</w:t>
      </w:r>
    </w:p>
    <w:p>
      <w:r>
        <w:t>Shared claim-specific concepts: prevalence, obesity, adult, obese; EU scope visible. This is a provisional connection, not an outcome finding.</w:t>
      </w:r>
    </w:p>
    <w:p>
      <w:r>
        <w:t xml:space="preserve">Available abstract (not full text): Introduction: Using data from the TackSHS survey, we aim to provide updated estimates on the prevalence and determinants of overweight and obesity in Europe. Methods: A face-to-face survey was conducted in 2017-2018 in 12 European countries (Bulgaria, England, France, Germany, Greece, Ireland, Italy, Latvia, Poland, Portugal, Romania, and Spain). Overall, 10,810 participants, representative in each country of the general adult population, provided information on self-reported height and weight. Results: Almost half of participants (48.1%; 95% confidence interval, CI: 47.2-49.1) reported to be overweight or obese (54.1% in men and 42.5% in women), and 12.6% (95% CI: 12.0-13.2) obese (11.3% in men and 13.8% in women). Obesity prevalence was lowest in Italy (7.5%) and France (8.8%), and highest in Greece (19.7%) and Romania (21.1%). Multilevel logistic random-effects analyses showed that prevalence of obesity was related with higher age and lower level of education and socioeconomic status. As compared to northern European countries, Western and Southern European ones showed a significantly lower obesity prevalence. When compared to a companion study conducted in 2010, Eastern and Northern European countries showed an increased trend in obesity prevalence. Conversely, countries with the lowest obesity prevalence (less than 10%), such as Italy and France, showed a decreased trend. </w:t>
      </w:r>
    </w:p>
    <w:p>
      <w:r>
        <w:t>POSSIBLE 2021: Childhood overweight and obesity in Europe: Changes from 2007 to 2017 — https://doi.org/10.1111/obr.13226</w:t>
      </w:r>
    </w:p>
    <w:p>
      <w:r>
        <w:t>Shared claim-specific concepts: increase, prevalence, obesity; EU scope visible. This is a provisional connection, not an outcome finding.</w:t>
      </w:r>
    </w:p>
    <w:p>
      <w:r>
        <w:t>Available abstract (not full text): The Childhood Obesity Surveillance Initiative (COSI) routinely measures height and weight of primary school children aged 6-9 years and calculates overweight and obesity prevalence within the World Health Organization (WHO) European Region using a standard methodology. This study examines the trends in the prevalence of overweight and obesity from the first round of COSI carried out in 2007/2008 to the latest of 2015/2017 in 11 European countries in which data were collected for at least three rounds. In total 303,155 children were measured. In general, the prevalence of overweight and obesity among boys and girls decreased in countries with high prevalence (Southern Europe) and remained stable or slightly increased in Northern European and Eastern European countries included in the analysis. Among boys, the highest decrease in overweight (including obesity) was observed in Portugal (from 40.5% in 2007/2008 to 28.4 in 2015/2017) and in Greece for obesity (from 30.5% in 2009/2010 to 21.7% in 2015/2017). Lithuania recorded the strongest increase in the proportion of boys with overweight (from 24.8% to 28.5%) and obesity (from 9.4% to 12.2%). The trends were similar for boys and girls in most countries. Several countries in Europe have successfully implemented policies and interventions to counteract the increase of overweight and obesity, but there is still much to be done.</w:t>
      </w:r>
    </w:p>
    <w:p>
      <w:r>
        <w:t>POSSIBLE 2020: Obesity Prevalence in the Long-Term Future in 18 European Countries and in the USA — https://doi.org/10.1159/000511023</w:t>
      </w:r>
    </w:p>
    <w:p>
      <w:r>
        <w:t>Shared claim-specific concepts: prevalence, obesity, expected; EU scope visible. This is a provisional connection, not an outcome finding.</w:t>
      </w:r>
    </w:p>
    <w:p>
      <w:r>
        <w:t>Available abstract (not full text): INTRODUCTION: Obesity constitutes a major public health problem in Europe, but how the obesity epidemic in European countries will evolve remains unknown. Most previous obesity projections considered the short-term future only, focused on single non-European countries, and projected ongoing increases foremost. We comparatively project obesity prevalence into the long-term future for 18 European countries and the USA. DATA: We used national age-specific (20-84 years) and sex-specific obesity prevalence estimates (1975-2016) from the NCD Risk Factor Collaboration (NCD-RisC) 2017 study, which are based on available measured height and weight data, supplemented with estimates from a Bayesian hierarchical model. METHODS: We projected age- and sex-specific obesity prevalence up to the year 2100 by integrating the notion of a wave-shaped obesity epidemic into conventional age-period projections. RESULTS: In 1990-2016, the increasing trends in obesity prevalence were decelerating. Obesity is expected to reach maximum levels between 2030 and 2052 among men, and between 2026 and 2054 among women. The maximum levels will likely be reached first in The Netherlands, USA, and UK, and last in Switzerland; and are expected to be highest in the USA and UK, and lowest in The Netherlands for men and Denmark for women. In 2060, obesity prevalence is expected to be lowest among Dutch men and highes</w:t>
      </w:r>
    </w:p>
    <w:p>
      <w:r>
        <w:t>POSSIBLE 2020: Obesity ‑ a risk factor for increased COVID‑19 prevalence, severity and lethality (Review) — https://doi.org/10.3892/mmr.2020.11127</w:t>
      </w:r>
    </w:p>
    <w:p>
      <w:r>
        <w:t>Shared claim-specific concepts: prevalence, obesity, obese; EU scope not established. This is a provisional connection, not an outcome finding.</w:t>
      </w:r>
    </w:p>
    <w:p>
      <w:r>
        <w:t>Available abstract (not full text): Coronaviruses (CoVs), enveloped positive-sense RNA viruses, are a group of viruses that cause infections in the human respiratory tract, which can be characterized clinically from mild to fatal. The severe acute respiratory syndrome coronavirus 2 (SARS‑CoV‑2) is the virus responsible. The global spread of COVID‑19 can be described as the worst pandemic in humanity in the last century. To date, COVID‑19 has infected more than 3,000,000 people worldwide and killed more than 200,000 people. All age groups can be infected from the virus, but more serious symptoms that can possibly result in death are observed in older people and those with underlying medical conditions such as cardiovascular and pulmonary disease. Novel data report more severe symptoms and even a negative prognosis for the obese patients. A growing body of evidence connects obesity with COVID‑19 and a number of mechanisms from immune system activity attenuation to chronic inflammation are implicated. Lipid peroxidation creates reactive lipid aldehydes which in a patient with metabolic disorder and COVID‑19 will affect its prognosis. Finally, pregnancy‑associated obesity needs to be studied further in connection to COVID‑19 as this infection could pose high risk both to pregnant women and the fetus.</w:t>
      </w:r>
    </w:p>
    <w:p>
      <w:r>
        <w:t>POSSIBLE 2020: The combined impact of smoking, obesity and alcohol on life-expectancy trends in Europe — https://doi.org/10.1093/ije/dyaa273</w:t>
      </w:r>
    </w:p>
    <w:p>
      <w:r>
        <w:t>Shared claim-specific concepts: increase, prevalence, obesity; EU scope visible. This is a provisional connection, not an outcome finding.</w:t>
      </w:r>
    </w:p>
    <w:p>
      <w:r>
        <w:t>Available abstract (not full text): BACKGROUND: Smoking, obesity and alcohol abuse greatly affect mortality and exhibit a distinct time dynamic, with their prevalence and associated mortality rates increasing and (eventually) declining over time. Their combined impact on secular trends in life expectancy is unknown but is relevant for understanding these trends. We therefore estimate the combined impact of smoking, obesity and alcohol on life-expectancy trends in Europe. METHODS: We used estimated national age-specific smoking-, obesity- and alcohol-attributable mortality fractions for 30 European countries by sex, 1990-2014, which we aggregated multiplicatively to obtain lifestyle-attributable mortality. We estimated potential gains in life expectancy by eliminating lifestyle-attributable mortality and compared past trends in life expectancy at birth (e0) with and without lifestyle-attributable mortality. We examined all countries combined, by region and individually. RESULTS: Among men, the combined impact of smoking, obesity and alcohol on e0 declined from 6.6 years in 1990 to 5.8 years in 2014, mainly due to declining smoking-attributable mortality. Among women, the combined impact increased from 1.9 to 2.3 years due to mortality increases in all three lifestyle-related factors. The observed increase in e0 over the 1990-2014 period was 5.0 years for men and 4.0 years for women. After excluding lifestyle-attri</w:t>
      </w:r>
    </w:p>
    <w:p>
      <w:r>
        <w:t>POSSIBLE 2019: Prevalence of prediabetes and type 2 diabetes in children with obesity and increased transaminases in European German‐speaking countries. Analysis of the APV initiative — https://doi.org/10.1111/ijpo.12601</w:t>
      </w:r>
    </w:p>
    <w:p>
      <w:r>
        <w:t>Shared claim-specific concepts: increase, prevalence, obesity; EU scope visible. This is a provisional connection, not an outcome finding.</w:t>
      </w:r>
    </w:p>
    <w:p>
      <w:r>
        <w:t>Available abstract (not full text): BACKGROUND: Non-alcoholic fatty liver disease (NAFLD), prediabetes and type 2 diabetes mellitus are known to be closely linked with obesity as early as during childhood. OBJECTIVES: The study aimed to determine the prevalence of prediabetes and T2DM in children with obesity with or without increased transaminases. METHODS: Data from the observational multicentre (n = 51), cross-sectional Adipositas Patienten Verlaufsbeobachtung registry were analyzed. Mild increase (mild group) was defined by alanine transaminase (ALT) &gt;24 to ≤50 U/L and moderate to severe increase (advanced group) by ALT &gt; 50 U/L. Prediabetes and T2DM were defined according to recent IDF/ISPAD guidelines. RESULTS: The prevalence of prediabetes and T2DM was 11.9% (95% CI: 11.0-12.8) and 1.4% (95% CI: 1.1-1.7) among all participants (n = 4932; male = 2481; mean age 12.9 ± 2.7 years; BMI-SDS 2.1 ± 0.5; Tanner stage 3.2 ± 1.5). The prevalence of impaired glucose metabolism (prediabetes and T2DM) was 13.8% (95% CI: 12.1-15.4) in the mild, 21.9% (95% CI: 18.8-25.1) in the advanced group, 10.7% (95% CI: 9.4-11.9) in the control group. Mild and advanced groups had greater odds ratios for prediabetes [1.42; 95% CI: 1.17-1.72, 2.26-fold; (1.78-2.86), respectively], the advanced group also for T2DM [2.39 (1.36-4.21)] compared to controls. While an increase in transaminases predominantly affected boys, girls within the ad</w:t>
      </w:r>
    </w:p>
    <w:p>
      <w:r>
        <w:t>POSSIBLE 2019: Prevalence and Trends of Overweight and Obesity in European Children From 1999 to 2016 — https://doi.org/10.1001/jamapediatrics.2019.2430</w:t>
      </w:r>
    </w:p>
    <w:p>
      <w:r>
        <w:t>Shared claim-specific concepts: increase, prevalence, obesity; EU scope visible. This is a provisional connection, not an outcome finding.</w:t>
      </w:r>
    </w:p>
    <w:p>
      <w:r>
        <w:t xml:space="preserve">Available abstract (not full text): IMPORTANCE: Studies of trends in excess weight among European children throughout the last few decades have rendered mixed results. Additionally, some studies were outdated, were based on self-reported weight and height, or included only a few European countries. OBJECTIVE: To assess prevalence trends in measured overweight and obesity among children across Europe from 1999 to 2016 using a systematic methodology. DATA SOURCES: MEDLINE, Embase, CINAHL, and Web of Science were searched from their inception until May 2018. Moreover, searches were conducted on health institutions' websites to identify studies not published in scientific journals. STUDY SELECTION: The inclusion criteria were: (1) studies reporting the population-based prevalence of excess weight (overweight plus obesity) or obesity according to body mass index cutoffs proposed by the International Obesity Task Force; (2) cross-sectional or follow-up studies; and (3) studies including populations aged 2 to 13 years. DATA EXTRACTION AND SYNTHESIS: Literature review and data extraction followed established guidelines. The Mantel-Haenszel method was used to compute the pooled prevalence estimates and their 95% CI whenever there was no evidence of heterogeneity (I2 &lt; 50%); otherwise, the DerSimonian and Laird random-effects method was used. Subgroup analyses by study year, country, or European region (Atlantic, Iberian, </w:t>
      </w:r>
    </w:p>
    <w:p>
      <w:pPr>
        <w:pStyle w:val="Heading2"/>
      </w:pPr>
      <w:r>
        <w:t>UK-EU RELATIONSHIP AFTER BREXIT: AN EXERCISE IN SCENARIO-BUILDING</w:t>
      </w:r>
    </w:p>
    <w:p>
      <w:r>
        <w:t>Original source (2018): https://doi.org/10.9770/jssi.2018.8.1(3)</w:t>
      </w:r>
    </w:p>
    <w:p>
      <w:r>
        <w:t>Original wording (abstract; indexed_source_text_not_full_document_verified): In 2010s, the mainstream academic debate slowly but surely shifted towards European Union's internal crisis and the possibility of its disintegration.United Kingdom applying to exit the Union in 2017 is the most recent and arguably the strongest indicator of such possibility."Brexit" (as this process was dubbed) provides an interesting testing ground for latent European disintegration theories proposed by some political scientists.As the withdrawal negotiations have just started, one can only raise causal arguments for the future (if..., then); therefore this article employs scenario-building methodology recently established in political science with an aim to develop a set of scenarios of possible UK-EU relationship after Brexit.Four driving forces are cross-combined: (1) U.S. involvement in European security matters and bilateral relations with UK, (2) German leadership of the integrationist projects within the EU, (3) activism of the European Commission and the European Court of Justice, and (4) the stability of current minority cabinet in UK under Prime Minister May.The three scenarios that logically follow are: (1) UK as member of a nascent European security and defence union, (2) UK's return to the EU, and (3) UK as an independent power in an "anglobal" world.Rarely, however, do any scenarios composed by political scientists ever materialize in full and a mix of all three scenarios is most likely to come to pass over the course of the next five years or so.</w:t>
      </w:r>
    </w:p>
    <w:p>
      <w:r>
        <w:t>POSSIBLE 2024: Unsettling mainstream academic debates on community-based energy governance: Exploring the Japanese experience — https://doi.org/10.1016/j.rser.2024.114994</w:t>
      </w:r>
    </w:p>
    <w:p>
      <w:r>
        <w:t>Shared claim-specific concepts: mainstream, academic, provides; EU scope visible. This is a provisional connection, not an outcome finding.</w:t>
      </w:r>
    </w:p>
    <w:p>
      <w:r>
        <w:t>Available abstract (not full text): Community-based energy governance (CEG), in which citizens or communities play a central role, has attracted sufficient attention in the context of efforts to achieve a democratic and just energy transition. Despite this surge of interest, however, a crucial limitation of the CEG literature is that its conceptualisation relies mainly on the analyses of case studies and literature from North Western Europe. To address this geographic bias, this paper conducts a rigorous review of Japanese debates on CEG, shedding new light on how the first-hand experience of the Fukushima nuclear power plant accident in 2011 has led to new dialogues, based on its domestic interdisciplinary traditions to tackle environmental pollution in Japan. The analysis shows that the challenges addressed by CEG can vary across geographical contexts. CEG in Japan has, first and foremost, been understood as an alternative to the “exogenous” or “colonial” regional development underlying the Japanese energy system. Here, community has been approached as a starting point to address the geographical economic disparity that exists in the existing energy system, by attaining “endogenous development” and “energy autonomy”. The analysis, therefore, provides an alternative perspective for the critical scrutiny of dominant approaches towards CEG in “Western” tradition, while pointing to the need for further in-depth inq</w:t>
      </w:r>
    </w:p>
    <w:p>
      <w:r>
        <w:t>POSSIBLE 2022: Policy mixes for mainstreaming urban nature-based solutions: An analysis of six European countries and the European Union — https://doi.org/10.1016/j.envsci.2022.10.011</w:t>
      </w:r>
    </w:p>
    <w:p>
      <w:r>
        <w:t>Shared claim-specific concepts: mainstream, but, union; EU scope visible. This is a provisional connection, not an outcome finding.</w:t>
      </w:r>
    </w:p>
    <w:p>
      <w:r>
        <w:t>Available abstract (not full text): Nature-based solutions (NBS) are multifunctional and cost-effective innovations delivering urban sustainability, but they are not yet mainstream in urban development. This can be explained by persistent structural conditions in the urban infrastructure regime, resulting in barriers such as lack of collaborative governance, inadequate knowledge and limited funding availability. In this paper we argue that (supra)national governments could play an important role in breaking down these barriers by employing policy instruments and strategically combining these into policy mixes targeting multiple regime structures. By means of an empirical analysis across six European countries and the European Union (EU), we provide an overview of regulatory, financial and soft (supra)national policy instruments supporting urban NBS mainstreaming and how these are combined in policy mixes across cases. In addition, we investigate policy mix comprehensiveness by mapping the extent to which these target each of the relevant urban infrastructure regime structures underpinning barriers to urban NBS mainstreaming. We demonstrate that, with the exception of the EU, none of the studied cases employs a fully comprehensive policy mix. We conclude that by strategically adopting policy instruments with the aim of crafting a comprehensive policy mix, obstacles in pathways to urban NBS mainstreaming could be o</w:t>
      </w:r>
    </w:p>
    <w:p>
      <w:r>
        <w:t>POSSIBLE 2022: Sustainable development in the European Union — https://doi.org/10.4324/9780429262081-25</w:t>
      </w:r>
    </w:p>
    <w:p>
      <w:r>
        <w:t>Shared claim-specific concepts: academic, debate, union, process; EU scope visible. This is a provisional connection, not an outcome finding.</w:t>
      </w:r>
    </w:p>
    <w:p>
      <w:r>
        <w:t>Available abstract (not full text): For many, the definition of sustainable development provided in the Brundtland Report marked the beginning of the era of sustainability. This chapter that there remains much rhetoric, not action, in the sustainability debate in the European Union (EU), undermining the credibility of the brand and the opportunity for sustainability to become ‘the vision’ for the future of the EU. Notions of sustainability transition are prominent in academic literature and influence EU policy frameworks. The Sustainable Development Goals will be at the heart of EU’s policymaking and action. The EU and the Member States share the competence for action on sustainability. The EU is proposing strategies, including measures to be put into operation at the national and sub-national levels. The objective of sustainability has been mainstreamed into EU domestic and external policies. Within the EU, the increased commitment to sustainability resulted in a deepening of the process of European integration from the late 1980s.</w:t>
      </w:r>
    </w:p>
    <w:p>
      <w:r>
        <w:t>POSSIBLE 2022: European politics : Crises, fears, and debates — https://doi.org/10.56037/978-2-14-026532-7</w:t>
      </w:r>
    </w:p>
    <w:p>
      <w:r>
        <w:t>Shared claim-specific concepts: but, union, disintegration; EU scope visible. This is a provisional connection, not an outcome finding.</w:t>
      </w:r>
    </w:p>
    <w:p>
      <w:r>
        <w:t>Available abstract (not full text): The European Union has been struggling with a multilevel poly-crisis, weakening popular support for European integration, over the past more than a decade. Political leaders aim to reverse these dynamics through democratising and politicising the Union in order to bring it closer to citizens. However, this runs counter to a trend of increasing political alienation among the same citizens at the national level. This is a book about troubled and troubling transformations in contemporary European societies and politics, which generate fears across the continent. Fears of disintegration at the European level, fears of disorder and instability at the national level, fears of disorientation at the individual level, fears of becoming irrelevant at the global level, and fears of the future that seems to be full of dangers and risks. The authors give an overview of public debates about key challenges – regarding social inequalities, demography, migration, the ecological debt, sustainable development, democracy, communication, populism, or strategic sovereignty – behind these fears, and explain alternative responses offered to them. They address university students in the first place, but also hope to shape awareness in a broader public. Today’s fears, if ignored or left unanswered, have a dangerous potential to evolve into a new political era of anxiety in Europe, with a presumably deva</w:t>
      </w:r>
    </w:p>
    <w:p>
      <w:pPr>
        <w:pStyle w:val="Heading2"/>
      </w:pPr>
      <w:r>
        <w:t>Using urban foresight techniques in city visioning: Lessons from the Reading 2050 vision</w:t>
      </w:r>
    </w:p>
    <w:p>
      <w:r>
        <w:t>Original source (2018): https://doi.org/10.1177/0269094218800677</w:t>
      </w:r>
    </w:p>
    <w:p>
      <w:r>
        <w:t>Original wording (abstract; indexed_source_text_not_full_document_verified): The emergence of urban (or city) foresight techniques focuses on the need to create coherent city visions to plan and manage for future long-term change and create opportunities for new investment into the local urban economy. The paper critically reviews the development of the vision for a small city (the ‘Reading 2050’ project, linked to the UK Future of Cities Foresight Programme), and the lessons it holds for visioning, foresight and planning, using the ‘quadruple helix’ framework as a conceptual lens for analysis.</w:t>
      </w:r>
    </w:p>
    <w:p>
      <w:r>
        <w:t>POSSIBLE 2026: Between Planning and Informality: The Emergence of Hybrid Urbanism in Lebanese Cities — https://doi.org/10.51584/ijrias.2026.11013sp0015</w:t>
      </w:r>
    </w:p>
    <w:p>
      <w:r>
        <w:t>Shared claim-specific concepts: emergence, urban; EU scope not established. This is a provisional connection, not an outcome finding.</w:t>
      </w:r>
    </w:p>
    <w:p>
      <w:r>
        <w:t>Available abstract (not full text): Urban development in Lebanon presents a complex case where formal planning frameworks coexist with widespread informal urban practices. This paper examines the emergence of hybrid urbanism in Lebanese cities by analyzing the interaction between planning institutions, market forces, and informal urban development. The study adopts a qualitative analytical approach based on urban planning literature, institutional analysis, and the examination of urban development patterns in Lebanon. The findings indicate that urban growth in Lebanon is shaped by multiple structural factors, including conflict-induced migration, real estate dynamics, institutional fragmentation, and limited regulatory enforcement. These factors contribute to the formation of hybrid urban systems in which formal planning regulations operate alongside negotiated development practices and informal construction processes. The spatial consequences of this hybrid condition are visible in the fragmented urban morphology of Lebanese cities, characterized by mixed land uses, peri-urban expansion, and coastal urbanization. The study argues that conventional planning models based on strict regulatory control are insufficient to address the realities of urban development in Lebanon. Instead, more adaptive and context-sensitive planning strategies are required to respond to the hybrid nature of urban governance and spatial t</w:t>
      </w:r>
    </w:p>
    <w:p>
      <w:r>
        <w:t>POSSIBLE 2026: Exploring the emergence of innovation districts as volumetric urban projects in Taipei City — https://doi.org/10.1080/12265934.2026.2637658</w:t>
      </w:r>
    </w:p>
    <w:p>
      <w:r>
        <w:t>Shared claim-specific concepts: emergence, urban, city; EU scope not established. This is a provisional connection, not an outcome finding.</w:t>
      </w:r>
    </w:p>
    <w:p>
      <w:r>
        <w:t>Available abstract (not full text): Recent studies have often overemphasized the planning of innovation districts (IDs) as an area-based territorial extension that supports localized innovation and entrepreneurship. However, this approach obviously neglects to explore the three-dimensional growth of the volumetric properties that are produced and extracted through spatial governance practices in an ID. This paper addresses that gap with a qualitative case study of Nangang District in Taipei City to investigate how spatial governance practices contribute to the institutionalization of volumetric growth in an ID. While place-based urban development has been strategically referred to as innovation-led economic development, this paper argues that the emergence and evolution of IDs are driven by three urban volumetric strategies for securing volumetric properties: engineering, anchoring, and financialization strategies. These strategies reveal that state-led spatial governance simultaneously pursues the political-economic objectives of achieving urban–industrial upgrading while also generating governance tensions and potential conflicts associated with the vertical expansion of the innovation district. Furthermore, this research suggests that a deeper understanding of the volumetric properties of innovation districts is essential for shaping urban planning and policymaking that are capable of fostering dynamic and res</w:t>
      </w:r>
    </w:p>
    <w:p>
      <w:r>
        <w:t>POSSIBLE 2026: Cities As Interfaces of Zoonotic Hazard Emergence: Development of the New York City Tick and Wildlife Urban Surveillance System — https://doi.org/10.3791/69755</w:t>
      </w:r>
    </w:p>
    <w:p>
      <w:r>
        <w:t>Shared claim-specific concepts: emergence, urban, city, long-term; EU scope not established. This is a provisional connection, not an outcome finding.</w:t>
      </w:r>
    </w:p>
    <w:p>
      <w:r>
        <w:t>Available abstract (not full text): Tick-borne hazards in urban landscapes are increasing, yet critical gaps remain in understanding human tick-borne disease risk across urbanization gradients. With the loss of natural habitat globally, urban greenspaces can provide a critical habitat for wildlife with varying consequences for tick-borne disease emergence. The New York City metropolitan area has the highest human population density and geographic footprint of any city in the United States, while containing a vast network of greenspaces. These urban greenspaces vary in surrounding land cover and connectivity, providing important refugia and habitat for hundreds of urban wildlife species, which have been historically understudied. To the best of the authors' knowledge, there are no urban tick surveillance systems in place to monitor how ticks and their wildlife hosts respond to and emerge in urban environments. To address this gap, a long-term urban tick and wildlife surveillance system was developed across an urbanization gradient from New York City through Long Island, NY. Here, we describe the process of working with a diverse group of partners to design, implement, and maintain a paired wildlife camera trapping and tick surveillance system. The process began by the formation of an advisory committee of tick-borne disease experts and wildlife management partners who provided insights and feedback to collaborativ</w:t>
      </w:r>
    </w:p>
    <w:p>
      <w:r>
        <w:t>POSSIBLE 2025: Urban Complexity + Emergence: Procedural Modeling of City Activity and Form — https://doi.org/10.31219/osf.io/uk4ve_v1</w:t>
      </w:r>
    </w:p>
    <w:p>
      <w:r>
        <w:t>Shared claim-specific concepts: emergence, urban, city, techniques; EU scope not established. This is a provisional connection, not an outcome finding.</w:t>
      </w:r>
    </w:p>
    <w:p>
      <w:r>
        <w:t>Available abstract (not full text): Cities are immense and extremely difficult to conceptualize, let alone model, and previousdigitally based efforts have often failed to capture the complexity and indeterminacy of urbanorganizations. Architects and designers have had trouble conceiving of techniques for examiningthese systems due to their large number of interacting micro-parts that evolve over time. We’vealso had difficulty finding workable planning strategies that operate in a more decentralizedmanner to accommodate the multiplicity of (often autonomous) urban decision makers. To thisend, an interdisciplinary team composed of an architect and urban designer, a computer scientist,and a mathematician, educator and learning technologist are researching and formulatingmethods of examining cities using the agent-based digital modeling program NetLogo.</w:t>
      </w:r>
    </w:p>
    <w:p>
      <w:r>
        <w:t>POSSIBLE 2024: The City of Medan: the Emergence of an Urban Centre — https://doi.org/10.1163/9789004716186_004</w:t>
      </w:r>
    </w:p>
    <w:p>
      <w:r>
        <w:t>Shared claim-specific concepts: emergence, urban, city; EU scope not established. This is a provisional connection, not an outcome finding.</w:t>
      </w:r>
    </w:p>
    <w:p>
      <w:r>
        <w:t>Available abstract (not full text): Unavailable</w:t>
      </w:r>
    </w:p>
    <w:p>
      <w:r>
        <w:t>POSSIBLE 2024: The emergence of urban heat traps and human mobility in 20 US cities — https://doi.org/10.1038/s42949-024-00142-3</w:t>
      </w:r>
    </w:p>
    <w:p>
      <w:r>
        <w:t>Shared claim-specific concepts: emergence, urban, small; EU scope not established. This is a provisional connection, not an outcome finding.</w:t>
      </w:r>
    </w:p>
    <w:p>
      <w:r>
        <w:t>Available abstract (not full text): Abstract Understanding the relationship between spatial structures of cities and environmental hazard exposures is essential for urban health and sustainability planning. However, a critical knowledge gap exists in terms of the extent to which socio-spatial networks shaped by human mobility exacerbate or alleviate urban heat exposures of populations in cities. In this study, we utilize location-based data to construct human mobility networks in twenty metropolitan areas in the U.S. The human mobility networks are analyzed in conjunction with the urban heat characteristics of spatial areas. We identify areas with high and low urban heat exposure and evaluate visitation patterns of populations residing in high and low urban heat areas to other spatial areas with similar and dissimilar urban heat exposure. The results reveal the presence of urban heat traps in the majority of the studied metropolitan areas, wherein populations residing in high-heat exposure areas primarily visited other high-heat exposure zones. Specifically, cities such as Los Angeles, Boston, and Chicago were particularly pronounced as urban heat traps. The results also show a small percentage of human mobility to produce urban heat escalation and heat escapes. The findings from this study provide a better understanding of urban heat exposure in cities based on patterns of human mobility. These findings contribu</w:t>
      </w:r>
    </w:p>
    <w:p>
      <w:r>
        <w:t>POSSIBLE 2024: SOCIAL INNOVATION EMERGENCE IN A CONGOLESE URBAN TERRITORY WITH A PEASANT LIFESTYLETO A SMART CITY — https://doi.org/10.33564/ijeast.2024.v09i04.022</w:t>
      </w:r>
    </w:p>
    <w:p>
      <w:r>
        <w:t>Shared claim-specific concepts: emergence, urban, city, local; EU scope not established. This is a provisional connection, not an outcome finding.</w:t>
      </w:r>
    </w:p>
    <w:p>
      <w:r>
        <w:t>Available abstract (not full text): The study deals with the local governance of an African city with a peasant lifestyle, likely to transition towards a smart, truly urban city. To resolve the problem of managing the still latent emergence of social innovation in southern countries, the study hypothesizes that these urban agglomerations will only be able to see their development come through social innovations, in the extent that the knowledge of the populations concerned is at the service of public power through participatory democracy. The study proposes the revision of the place reserved for the resident in the management of the city and a model of participatory democracy in a co-creation approach.</w:t>
      </w:r>
    </w:p>
    <w:p>
      <w:r>
        <w:t>POSSIBLE 2024: THE EMERGENCE OF SECONDARY URBAN CENTERS OR THE WITHDRAWAL OF URBAN CENTRALITY TO THE SUBURBS: A CASE STUDY OF THE CITY OF TÉBESSA IN THE FAR EAST OF ALGERIA — https://doi.org/10.31435/ijitss.4(44).2024.3041</w:t>
      </w:r>
    </w:p>
    <w:p>
      <w:r>
        <w:t>Shared claim-specific concepts: emergence, urban, city; EU scope not established. This is a provisional connection, not an outcome finding.</w:t>
      </w:r>
    </w:p>
    <w:p>
      <w:r>
        <w:t>Available abstract (not full text): Major Algerian cities have witnessed significant dynamics, causing radical functional transformations that impacted city centers and their suburbs, leading to changes in the traditional image of cities. This resulted in a new distribution of urban functions and a redefinition of the concept of "space." Consequently, the current expansion and extension of cities' urban structure has encouraged a new relationship between the center and suburb, where new points of attraction have emerged on the "margins and suburbs," resulting in "**new centralities**" that caused major transformations affecting urban communities, spaces, and functions. The city of Tébessa, like other cities and being a border city and transit area to the Tunisian border, has experienced a new form of urban spaces. It previously had a traditional urban centrality around the Byzantine wall, one of the city's landmarks, which dominated for a long time as a central point over the rest of the urban space (the center). However, in recent years, it has undergone major transformations, characterized by strong attraction of functions, activities, and services, especially commercial activity in some city neighborhoods such as Skanska district, Constantine Road district, and Annaba Road district, in addition to “La Rocade” district, which plays a fundamental role in drawing a new image of centralities within Tébessa city at</w:t>
      </w:r>
    </w:p>
    <w:p>
      <w:r>
        <w:t>POSSIBLE 2022: The emergence of a new urban proximity-based morphology: the 15-minute city and the smart city — https://doi.org/10.4337/9781803926803.00012</w:t>
      </w:r>
    </w:p>
    <w:p>
      <w:r>
        <w:t>Shared claim-specific concepts: emergence, urban, city, need; EU scope not established. This is a provisional connection, not an outcome finding.</w:t>
      </w:r>
    </w:p>
    <w:p>
      <w:r>
        <w:t>Available abstract (not full text): The COVID-19 pandemic exposed the numerous socioeconomic challenges and disparities that exists globally, and more so in the cities, prompting a need to re-think the existing urban models, and the regeneration approaches that could be initiated to mitigate or correct the underlying problems. In the height of those dilemma, the '15-Minute City' concept has emerged as a potential planning pathway that could be adopted in cities to address the gaps on the social, economic and urban health issues that have been exposed, and which have led to the widespread of this pandemic. While this concept majorly advocates for a change in urban morphology, it could have massive potential especially if anchored on the Smart Cities networks and strongholds. This chapter seek to explore how this concept can become a success especially by incorporating some of the aspects of the Smart City networks and technologies, in reinforcing the social dimension which this model inherently advocate.</w:t>
      </w:r>
    </w:p>
    <w:p>
      <w:r>
        <w:t>POSSIBLE 2021: Digital transformation of urban governance in China: The emergence and evolution of smart cities — https://doi.org/10.38044/2686-9136-2021-2-1-29-47</w:t>
      </w:r>
    </w:p>
    <w:p>
      <w:r>
        <w:t>Shared claim-specific concepts: emergence, urban, city, need, reviews; EU scope not established. This is a provisional connection, not an outcome finding.</w:t>
      </w:r>
    </w:p>
    <w:p>
      <w:r>
        <w:t>Available abstract (not full text): This research article contributes to the field of digital governance as it reviews the conceptual definition and practical application of “smart cities” in the context of urban development in China. By analyzing both firsthand interview data and secondary statistical and policy reports during the period between 2009 to 2019, we contend that the emergence of smart cities in China has evolved from a disorderly process to a more standardized one. During this process, cities made efforts to use digital technology — such as 5G, cloud computing, and the Internet of Things — in social governance, infrastructure, and industrial development. However, such rapid development also spawned a series of emerging legal issues, which had a huge impact on China’s legal system. The article seeks to holistically examine the discourse surrounding the concept of a “smart city” and its practical implementation by drawing attention to its promises as well as criticisms. The article also touches upon the challenges — such as “information islands” in construction, technology, and management — that confront the emerging smart cities, and emphasizes China’s need to further improve laws and regulations, build an integrated legal system, explore new regulation methods, shape a highly autonomous and refined governance order, and provide legal protection for the development of smart cities. The paper conclude</w:t>
      </w:r>
    </w:p>
    <w:p>
      <w:r>
        <w:t>POSSIBLE 2021: The emergence of city food networks: Rescaling the impact of urban food policies — https://doi.org/10.1016/j.foodpol.2021.102107</w:t>
      </w:r>
    </w:p>
    <w:p>
      <w:r>
        <w:t>Shared claim-specific concepts: emergence, urban, city, need; EU scope not established. This is a provisional connection, not an outcome finding.</w:t>
      </w:r>
    </w:p>
    <w:p>
      <w:r>
        <w:t>Available abstract (not full text): Hundreds of cities across the globe are mobilising the convening power of food to deliver food security and sustainability outcomes supported by an increasing number of national and international city food networks devoted to scale-up and out this urban food revolution. This paper presents the first comparative analysis of this increasingly networked urban foodscape based on data from 13 national and international initiatives which together represent more than 500 cities across the globe. By applying a translocal governance framework, the paper explores the different aims, structures and mechanisms activated by this complex landscape of networks and how these intrinsic characteristics endow them with diverse strengths and limitations. To examine further the role of networks in rescaling the impact urban food policies, I analyse the metagovernance of these initiatives exploring discourses around coordination of these networks and identifying potential convergence points. Results from this study are translated into policy recommendations aimed at unfolding further the transformative capacity of translocal networks and elevate their role in unfolding a more integrated and equitable new urban food agenda; mainly by proposing to reinforce the cross-scalar alignment of food policies, making the case to invest in connective infrastructure such as network and backbone organisations, wo</w:t>
      </w:r>
    </w:p>
    <w:p>
      <w:r>
        <w:t>POSSIBLE 2020: Emergence and Structure of Urban Centralities in a Medium-Sized Historic City — https://doi.org/10.1177/2158244020930002</w:t>
      </w:r>
    </w:p>
    <w:p>
      <w:r>
        <w:t>Shared claim-specific concepts: emergence, urban, city; EU scope visible. This is a provisional connection, not an outcome finding.</w:t>
      </w:r>
    </w:p>
    <w:p>
      <w:r>
        <w:t>Available abstract (not full text): Within the last 20 years, medium-sized cities in Portugal’s interior have been subject to a process of “desertification.” They have progressively lost in terms of economic activity, value and vitality, with the corresponding erosion of their heritage value. One exception to this general trend is the town of Évora. Of particular note is the vitality of its historic center (designated as a World Heritage Site in 1986) and the balance achieved between the center and a number of subcenters outside the walls. Here, urban centralities have proven to be an essential component of the urban structure in the fight against urban failure. This research project analyzes the relationship between town planning and the emergence of urban centralities. Historic towns are a very particular case, with subcenters emerging as a town grows and the historic center co-evolving with the entire urban area and surrounding urban centralities. The rise of centralities testifies to the vitality of the town. This article seeks to understand what factors have led to the balance of urban centralities in Évora by examining their structure and how they have emerged in the context of planning policies and urban growth. The methodology adopted crosses the results of three different approaches to highlight the emergence of urban centralities: identification and assessment of urban centralities, analysis of urban ar</w:t>
      </w:r>
    </w:p>
    <w:p>
      <w:pPr>
        <w:pStyle w:val="Heading2"/>
      </w:pPr>
      <w:r>
        <w:t>Varying soil moisture–atmosphere feedbacks explain divergent temperature extremes and precipitation projections in central Europe</w:t>
      </w:r>
    </w:p>
    <w:p>
      <w:r>
        <w:t>Original source (2018): https://doi.org/10.5194/esd-9-1107-2018</w:t>
      </w:r>
    </w:p>
    <w:p>
      <w:r>
        <w:t>Original wording (abstract; indexed_source_text_not_full_document_verified): Our results suggest that long-term temperature changes in TXx in central Europe are about 20 % lower than those projected by the multi-model median of the full ensemble. We find a divergent behavior in long-term projections of summer precipitation until the end of the 21st century, resulting in a trimodal distribution of precipitation (wet, dry and very dry).</w:t>
      </w:r>
    </w:p>
    <w:p>
      <w:r>
        <w:t>POSSIBLE 2026: Civilizational Temperature: A CRTI-Based Heuristic Exploration of Long-Term System Dynamics (1000 BCE–2025 CE) — https://doi.org/10.5281/zenodo.19058865</w:t>
      </w:r>
    </w:p>
    <w:p>
      <w:r>
        <w:t>Shared claim-specific concepts: long-term, temperature, divergent; EU scope visible. This is a provisional connection, not an outcome finding.</w:t>
      </w:r>
    </w:p>
    <w:p>
      <w:r>
        <w:t>Available abstract (not full text): This paper introduces a heuristic application of the Compression-Reorganization Thermodynamic Index (CRTI), defined as T = R / Φ, to long-term civilizational dynamics across four macro-regions: Persia/Iran, China, the Mediterranean Core, and Europe, spanning 1000 BCE to 2025 CE.T (systemic temperature) is operationalized as the ratio between adaptive reorganization capacity (R) and structural compression (Φ). All values are ordinal structural estimates derived from comparative historical scholarship; they are not empirical measurements. T does not measure moral worth, civilizational superiority, or geopolitical power.The analysis suggests recurring compression-reorganization cycles, divergent plateau dynamics, and a sustained high-T anomaly in post-1500 Europe plausibly associated with inter-state pluralism. A formal exploratory hypothesis on civilizational lifecycle dynamics is proposed (H1: integration → expansion → compression → overcompression → reorganization or collapse), along with proxy variables for future quantitative reconstruction.The framework is compatible with panarchy theory (Holling), critical transitions theory (Scheffer, Dakos), stability theory (May), and cliodynamics (Turchin). This manuscript is explicitly pre-formal and hypothesis-generative in character. complexity sciencecivilizational dynamicssystemic temperaturestructural compressionadaptive capacityC</w:t>
      </w:r>
    </w:p>
    <w:p>
      <w:r>
        <w:t>POSSIBLE 2024: Long-term daily water temperatures unveil escalating water warming and intensifying heatwaves in the Odra river Basin, Central Europe — https://doi.org/10.1016/j.gsf.2024.101916</w:t>
      </w:r>
    </w:p>
    <w:p>
      <w:r>
        <w:t>Shared claim-specific concepts: long-term, temperature, central, ensemble, summer; EU scope visible. This is a provisional connection, not an outcome finding.</w:t>
      </w:r>
    </w:p>
    <w:p>
      <w:r>
        <w:t>Available abstract (not full text): Water temperature is a critical indicator and weathervane of aquatic ecosystems. However, the vast majority of rivers lack long-term continuous and complete water temperature datasets. In this study, ensemble models by combining NARX (nonlinear autoregressive network with exogenous inputs) and air2stream were used to reconstruct daily river water temperatures for 27 hydrological stations in the Odra River Basin, one of the largest river systems in Europe. For each hydrological station, both the NARX and air2stream models were calibrated and validated, and the better-performed model was selected to reconstruct daily river water temperatures from 1985 to 2022. The results showed that hybrid modeling by combining NARX and air2stream is promising for reconstructing daily river water temperatures. Based on the reconstructed dataset, annual and seasonal trends of water temperature and characteristics of river heatwaves were evaluated. The results indicated that annual river water temperatures showed a consistent warming trend over the past 40 years with an average warming rate of 0.315 °C/decade. Seasonal river water temperatures indicated that summer warms faster, followed by autumn and spring, and winter river water temperatures showed an insignificant warming trend. River heatwaves are increased in frequency, duration, and intensity in the Odra River Basin, and 6 out of 27 hydrolo</w:t>
      </w:r>
    </w:p>
    <w:p>
      <w:r>
        <w:t>POSSIBLE 2024: Examining the Eastern European extreme summer temperatures of 2023 from a long-term perspective: the role of natural variability vs. anthropogenic factors — https://doi.org/10.5194/nhess-24-4683-2024</w:t>
      </w:r>
    </w:p>
    <w:p>
      <w:r>
        <w:t>Shared claim-specific concepts: long-term, those, find, behavior, summer; EU scope visible. This is a provisional connection, not an outcome finding.</w:t>
      </w:r>
    </w:p>
    <w:p>
      <w:r>
        <w:t>Available abstract (not full text): Abstract. Amidst unprecedent rising global temperatures, this study investigates the historical context of heatwave (HW) events in Eastern Europe. The record-breaking 2023 summer, featuring a heatwave lasting for 19 days in the south-eastern part of Romania, extending up to Ukraine, necessitates a deeper understanding of past extreme events. Utilizing statistical methods on long-term station data spanning from 1885 to 2023, we aim to detect and analyze historical heatwaves, particularly focusing on events predating 1960. This extended timeframe allows for a more comprehensive assessment of noteworthy extremes compared to recent decades. Our analysis identifies two critical periods with increased heatwave frequency and intensity: 1920–1965 and 1980–2023, respectively, highlighting the most extreme events in August 1946, August 1952, July 2012, June 2019, and August 2023. Furthermore, reanalysis data shows that historical heatwaves, similar to the 2023 event, were associated with large-scale European heat extremes linked to high-pressure systems and they were accompanied by extreme drought, thus leading to compound extreme events. We find that while a clear trend emerges towards more frequent HWs from the 1980s onward, the analysis also uncovers substantial heatwave activity on daily timescales throughout the 1885–1960 period. Moreover, we highlight the intertwined impacts of cli</w:t>
      </w:r>
    </w:p>
    <w:p>
      <w:r>
        <w:t>POSSIBLE 2023: Mixtures of long-term exposure to ambient air pollution, built environment and temperature and stroke incidence across Europe — https://doi.org/10.1016/j.envint.2023.108136</w:t>
      </w:r>
    </w:p>
    <w:p>
      <w:r>
        <w:t>Shared claim-specific concepts: long-term, temperature, lower, until, end; EU scope visible. This is a provisional connection, not an outcome finding.</w:t>
      </w:r>
    </w:p>
    <w:p>
      <w:r>
        <w:t>Available abstract (not full text): The complex interplay of multiple environmental factors and cardiovascular has scarcely been studied. Within the EXPANSE project, we evaluated the association between long-term exposure to multiple environmental indices and stroke incidence across Europe. Participants from three traditional adult cohorts (Germany, Netherlands and Sweden) and four administrative cohorts (Catalonia [region Spain], Rome [city-wide], Greece and Sweden [nationwide]) were followed until incident stroke, death, migration, loss of follow-up or study end. We estimated exposures at residential addresses from different exposure domains: air pollution (nitrogen dioxide (NO2), particulate matter &lt;2.5μm (PM2.5), black carbon (BC), ozone), built environment (green/blue spaces, impervious surfaces) and meteorology (seasonal mean and standard deviation of temperatures). Associations between environmental exposures and stroke were estimated in single and multiple-exposure Cox proportional hazard models, and Principal Component (PC) Analyses derived prototypes for specific exposures domains. We carried out random effects meta-analyses by cohort type. In over 15 million participants, increased levels of NO2 and BC were associated with increased higher stroke incidence in both cohort types. Increased Normalized Difference Vegetation Index (NDVI) was associated with a lower stroke incidence in both cohort types, whe</w:t>
      </w:r>
    </w:p>
    <w:p>
      <w:r>
        <w:t>POSSIBLE 2022: Trends in intraseasonal temperature variability in Europe, 1961–2018 — https://doi.org/10.1002/joc.7645</w:t>
      </w:r>
    </w:p>
    <w:p>
      <w:r>
        <w:t>Shared claim-specific concepts: suggest, temperature, central, summer; EU scope visible. This is a provisional connection, not an outcome finding.</w:t>
      </w:r>
    </w:p>
    <w:p>
      <w:r>
        <w:t>Available abstract (not full text): Abstract While long‐term changes in measures of central tendency of climate elements, that is, mean temperature, are well acknowledged, studies of trends in measures of their variability are much less common. This is despite the fact that trends in variability can have higher effect on climate extremes than trends in mean. Here, four measures of intraseasonal variability are examined: (a) standard deviation of mean daily temperature, (b) the range between the 90th and 10th quantile of mean daily temperature, (c) mean absolute value of day‐to‐day temperature change, and (d) one‐day lagged temporal autocorrelation. ECA&amp;D daily data from 168 stations and linear regression method are utilized to calculate trends of these characteristics in period from 1961 to 2018. Significant trends (positive and negative) are revealed with substantial differences between seasons, regions and measures. The most considerable decreases in temperature variability were recorded in winter, for temporal autocorrelation in eastern Europe and for variance‐based measures in northern Europe. For example, the standard deviation has decreased by more than 10% in the Arctic Ocean. This can indicate a decrease in the frequency of cold extremes in Scandinavia. On the contrary, increasing persistence may suggest a greater likelihood of cold extremes in the East European Plain. Increases in variability prevail onl</w:t>
      </w:r>
    </w:p>
    <w:p>
      <w:r>
        <w:t>POSSIBLE 2022: Warming temperatures drive at least half of the magnitude of long-term trait changes in European birds — https://doi.org/10.1073/pnas.2105416119</w:t>
      </w:r>
    </w:p>
    <w:p>
      <w:r>
        <w:t>Shared claim-specific concepts: long-term, temperature; EU scope visible. This is a provisional connection, not an outcome finding.</w:t>
      </w:r>
    </w:p>
    <w:p>
      <w:r>
        <w:t>Available abstract (not full text): SignificanceClimate change is impacting wild populations, but its relative importance compared to other causes of change is still unclear. Many studies assume that changes in traits primarily reflect effects of climate change, but this assumption is rarely tested. We show that in European birds global warming was likely the single most important contributor to temporal trends in laying date, body condition, and offspring number. However, nontemperature factors were also important and acted in the same direction, implying that attributing temporal trends solely to rising temperatures overestimates the impact of climate warming. Differences among species in the amount of trait change were predominantly determined by these nontemperature effects, suggesting that species differences are not due to variation in sensitivity to temperature.</w:t>
      </w:r>
    </w:p>
    <w:p>
      <w:r>
        <w:t>POSSIBLE 2022: Long-term drought intensification over Europe driven by the weakening trend of the Atlantic Meridional Overturning Circulation — https://doi.org/10.1016/j.ejrh.2022.101176</w:t>
      </w:r>
    </w:p>
    <w:p>
      <w:r>
        <w:t>Shared claim-specific concepts: suggest, long-term, temperature, central, projections, precipitation; EU scope visible. This is a provisional connection, not an outcome finding.</w:t>
      </w:r>
    </w:p>
    <w:p>
      <w:r>
        <w:t>Available abstract (not full text): Europe, with a particular focus on the Czech Republic, Poland, Spain, and Norway. Long-lasting droughts have become a semi-permanent feature of the European climate, especially over the last two decades. These prolonged droughts are usually driven by persistent sea surface temperature anomalies over the Pacific and Atlantic basins. By employing complex statistical methods (i.e., Canonical Correlation Analysis and Convergent Cross-Mapping) in this study we make a comprehensive assessment of the observed drying trend over the central and southern parts of Europe and its underlying drivers. Building upon the potential relationship between drought variability and large-scale oceanic and atmospheric circulation, we show that the observed drying trend in the central and southern parts of Europe has been driven by a long-term slowdown of the Atlantic Meridional Overturning Circulation (AMOC), via changes in the large-scale atmospheric circulation. A weakening of AMOC leads to an increase in the frequency of atmospheric-blocking like circulation over the central part of Europe, which in turn inhibits precipitation and favors long-term drying. Since climate projections indicate a slowdown of the AMOC in the future, we suggest that this will potentially lead to an increase in the frequency of dry years, especially over the central and southern parts of Europe (e.g., the eastern part of G</w:t>
      </w:r>
    </w:p>
    <w:p>
      <w:r>
        <w:t>POSSIBLE 2022: Trends in intraseasonal temperature variability in Europe, 1961 - 2018 — https://doi.org/10.5194/ems2022-539</w:t>
      </w:r>
    </w:p>
    <w:p>
      <w:r>
        <w:t>Shared claim-specific concepts: suggest, long-term, temperature, central, summer; EU scope visible. This is a provisional connection, not an outcome finding.</w:t>
      </w:r>
    </w:p>
    <w:p>
      <w:r>
        <w:t xml:space="preserve">Available abstract (not full text): While long-term changes in measures of central tendency of climate elements, that is, mean temperature, are well acknowledged, studies of trends in measures of their variability are much less common. This is despite the fact that trends in variability can have higher effect on climate extremes than trends in mean. Four measures of intraseasonal variability are examined: (a) standard deviation of mean daily temperature, (b) the range between the 90th and 10th quantile of mean daily temperature, (c) mean absolute value of day-to-day temperature change, and (d) one-day lagged temporal autocorrelation. ECA&amp;D daily data from 168 stations and linear regression method are utilized to calculate trends of these characteristics in period from 1961 to 2018. Significant trends (positive and negative) are revealed with substantial differences between seasons, regions and measures. The most considerable decreases in temperature variability were recorded in winter, for temporal autocorrelation in eastern Europe and for variance-based measures in northern Europe. For example, the standard deviation has decreased by more than 10% in the Arctic Ocean. This can indicate a decrease in the frequency of cold extremes in Scandinavia. On the contrary, increasing persistence may suggest a greater likelihood of cold extremes in the East European Plain in winter. Increases in variability prevail only in </w:t>
      </w:r>
    </w:p>
    <w:p>
      <w:r>
        <w:t>POSSIBLE 2021: Microbial temperature adaptation across a European gradient — https://doi.org/10.5194/egusphere-egu21-4867</w:t>
      </w:r>
    </w:p>
    <w:p>
      <w:r>
        <w:t>Shared claim-specific concepts: suggest, long-term, temperature; EU scope visible. This is a provisional connection, not an outcome finding.</w:t>
      </w:r>
    </w:p>
    <w:p>
      <w:r>
        <w:t>Available abstract (not full text): Temperature is one of the most important environmental factors controlling both microbial growth and respiration. Warmer temperatures accelerate the rate at which microorganisms respire. Therefore, it is expected that climate warming will induce losses of carbon to the atmosphere through soil microbial respiration, representing a positive feedback to climate warming. However, there are multiple gaps in our understanding on responses of microorganisms to warming. For instance, long-term experiments have shown that the increase in soil respiration found in warming experiments diminishes with time, recovering to ambient values. This suggests that soil C losses might not be as extensive as previously suggested. This can be due to substrate depletion or shifts in the microbial community composition that led to thermal adaptation. To test thermal adaptation of soil microbial communities to their climate, variation along latitudinal gradients is a useful context. Such geographical gradients have long-term and large temperature differences thus patterns in thermal adaptation should have had sufficient time for ecological and evolutionary processes to act, allowing us to test if soil microbial communities have adapted to thermal regimes. We investigated a latitudinal gradient across Europe with 76 sites that spanned a gradient of decadal mean annual temperature (MAT) from -3.1 to 18.3°C</w:t>
      </w:r>
    </w:p>
    <w:p>
      <w:r>
        <w:t>POSSIBLE 2020: Middle Miocene long-term continental temperature change in and out of pace with marine climate records — https://doi.org/10.1038/s41598-020-64743-5</w:t>
      </w:r>
    </w:p>
    <w:p>
      <w:r>
        <w:t>Shared claim-specific concepts: suggest, long-term, temperature, central; EU scope visible. This is a provisional connection, not an outcome finding.</w:t>
      </w:r>
    </w:p>
    <w:p>
      <w:r>
        <w:t>Available abstract (not full text): Abstract Reconstructing long-term continental temperature change provides the required counterpart to age equivalent marine records and can reveal how terrestrial and marine temperatures were related during times of extreme climate change such as the Miocene Climatic Optimum (MCO) and the following Middle Miocene Climatic Transition (MMCT). Carbonate clumped isotope temperatures (T(Δ 47 )) from 17.5 to 14.0 Ma Central European paleosols (Molasse Basin, Switzerland) display a temperature pattern during the MCO that is similar to coeval marine temperature records. Maximum temperatures in the long-term soil T(Δ 47 ) record (at 16.5 and 14.9 Ma) lag maximum ocean bottom water temperatures, lead global ice volume, and mark the initiation of minimum global ice volume phases. The suggested onset of the MMCT, deduced by a marked and rapid decline in Molasse Basin soil temperatures is coeval with cooling reported in high-latitudinal marine records. This is best explained by a change in the seasonal timing of soil carbonate formation that was likely driven by a modification of rainfall seasonality and thus by a major reorganization of mid-latitude atmospheric circulation across Central Europe. In particular, our data suggest a strong climate coupling between the North Atlantic and Central Europe already in the middle Miocene.</w:t>
      </w:r>
    </w:p>
    <w:p>
      <w:r>
        <w:t>POSSIBLE 2020: Rates of increase of antibiotic resistance and ambient temperature in Europe: a cross-national analysis of 28 countries between 2000 and 2016 — https://doi.org/10.2807/1560-7917.es.2020.25.45.1900414</w:t>
      </w:r>
    </w:p>
    <w:p>
      <w:r>
        <w:t>Shared claim-specific concepts: suggest, long-term, temperature; EU scope visible. This is a provisional connection, not an outcome finding.</w:t>
      </w:r>
    </w:p>
    <w:p>
      <w:r>
        <w:t>Available abstract (not full text): Abstract Background Widely recognized as a major public health threat globally, the rapid increase of antibiotic resistance in bacteria could soon render our most effective method to combat infections obsolete. Factors influencing the burden of resistance in human populations remain poorly described, though temperature is known to play an important role in mechanisms at the bacterial level. Methods We performed an ecologic analysis of country level antibiotic resistance prevalence in 3 common bacterial pathogens across 28 countries in Europe, and used multivariable models to evaluate associations with minimum temperature and other predictors over a 17-year period (2000-2016). We quantified the effects of minimum temperature, population density, and antibiotic consumption on the rate of change of antibiotic resistance across geographies. Findings For three common bacterial pathogens and four classes of antibiotics, we found evidence of a long-term effect of ambient minimum temperature on rates of increase of antibiotic resistance across 28 countries in Europe between 2000-2016. Specifically, we show that across all antibiotic classes for the pathogens E. coli and K. pneumoniae , European countries with 10°C warmer ambient temperatures have experienced more rapid increases in antibiotic resistance over the 17-year period, ranging between 0.33%/year (95% CI 0.2, 0.5) and 1.2%/year</w:t>
      </w:r>
    </w:p>
    <w:p>
      <w:r>
        <w:t>POSSIBLE 2019: The Effect of Temperature on the Physiological Condition and Immune-Capacity of European Lobsters (Homarus gammarus) During Long-Term Starvation — https://doi.org/10.3389/fmars.2019.00281</w:t>
      </w:r>
    </w:p>
    <w:p>
      <w:r>
        <w:t>Shared claim-specific concepts: long-term, temperature, those; EU scope visible. This is a provisional connection, not an outcome finding.</w:t>
      </w:r>
    </w:p>
    <w:p>
      <w:r>
        <w:t>Available abstract (not full text): Decapod crustaceans, such as those from the Homarus genus, are key benthic representatives supporting very valuable fishing and aquaculture industries. Those commercially caught, such as the European lobster (H. gammarus) can be stored in live facilities for short (few days) to long periods (up to 6 months) before being traded. Conditions in captivity are not standardized, including holding temperatures or feeding regimes. Herein, the physiological condition during long-term starvation (24 weeks) in H. gammarus was assessed at three temperatures (4, 8 and 12°C). Our results indicate that, H. gammarus have the capacity to endure long-term starvation. Principal component analysis (PCA) of measured parameters showed two main components (Eigen value&gt;1). Fasted animals kept at 12°C separated from all others experimental groups due to higher total phenoloxidase (PO) activity in the hemolymph and water content in the muscle, suggesting that keeping H. gammarus un-fed at this higher temperature is physiologically more demanding and detrimental. This was later confirmed by significant changes particularly in this group in histology and lipid class composition of the hepatopancreas. These data call into question the suitability of current accepted in-vivo condition markers (e.g. hemolymph protein concentration) for determining the physiological condition and welfare of decapods such as H</w:t>
      </w:r>
    </w:p>
    <w:p>
      <w:pPr>
        <w:pStyle w:val="Heading2"/>
      </w:pPr>
      <w:r>
        <w:t>A road map for explorative scenario creation on Belgian rail freight transport development</w:t>
      </w:r>
    </w:p>
    <w:p>
      <w:r>
        <w:t>Original source (2017): https://doi.org/10.1177/1783591717734792</w:t>
      </w:r>
    </w:p>
    <w:p>
      <w:r>
        <w:t>Original wording (abstract; indexed_source_text_not_full_document_verified): This interdisciplinary research develops a road map for the creation of three integrated scenarios: a best case, medium case and worst case scenario for rail freight development, based on a detailed SWOT (strength, weakness, opportunities, threats) analysis. The obtained scenarios allow future research to quantify and measure the impact of future developments and decisions towards the Belgian rail freight market.</w:t>
      </w:r>
    </w:p>
    <w:p>
      <w:r>
        <w:t>POSSIBLE 2025: Interdisciplinary perspectives on the intersections of roads, sustainable development, and disaster resilience — https://doi.org/10.1016/j.ijdrr.2025.105691</w:t>
      </w:r>
    </w:p>
    <w:p>
      <w:r>
        <w:t>Shared claim-specific concepts: interdisciplinary, road; EU scope not established. This is a provisional connection, not an outcome finding.</w:t>
      </w:r>
    </w:p>
    <w:p>
      <w:r>
        <w:t>Available abstract (not full text): Natural hazard-influenced disasters, sustainable development, and roads are closely intertwined. Governments and funding agencies worldwide are increasingly focused on delivering disaster-resilient road infrastructure. However, the multifaceted, ubiquitous, and contested nature of road networks means that making them resilient to disasters is a complex task. Efforts to build resilient roads generate trade-offs against other policy goals like climate resilience and sustainable development, and always carry political implications. In this paper, we synthesise discussions that took place during a one-day hybrid workshop on the intersections between roads, development and disaster resilience with 50 practitioners, policymakers, and physical and social scientists from around the world with expertise in relevant fields. Two key themes emerged: (i) the political ecology of the resilience of road networks and (ii) the key players and politics surrounding road construction and maintenance. Through synthesising workshop discussions with contemporary literature, we present working definitions of disaster resilience for these two themes to help shape future interdisciplinary research on road disaster resilience.When thinking through the theme of political ecology, road disaster resilience is understood within the context of uneven power dynamics and the political work done by applying a re</w:t>
      </w:r>
    </w:p>
    <w:p>
      <w:r>
        <w:t>POSSIBLE 2025: Educational Innovation for Sustainability: An Interdisciplinary Model of Road Decarbonization in Higher Education — https://doi.org/10.20944/preprints202502.0760.v1</w:t>
      </w:r>
    </w:p>
    <w:p>
      <w:r>
        <w:t>Shared claim-specific concepts: interdisciplinary, develops, road; EU scope not established. This is a provisional connection, not an outcome finding.</w:t>
      </w:r>
    </w:p>
    <w:p>
      <w:r>
        <w:t>Available abstract (not full text): This study develops an interdisciplinary pedagogical model for the decarbonization of road infrastructure, integrating teaching, research, and community engagement at the Universidad Estatal del Sur de Manabí. Project-based learning (PBL) was implemented with 120 Civil, Environmental, and Forestry Engineering students to design green corridors along the Jipijapa-Puerto Cayo road. A quasi-experimental design was employed, incorporating a control group and an experimental group, with specific rubrics and statistical analysis used to assess technical and transversal competencies. The results indicated significant improvements (p &lt; 0.05) in skills related to GIS, drones, and life cycle analysis, with an average increase of 40% in the experimental group. Additionally, eight sustainable projects were developed, projecting a 25% reduction in carbon footprint compared to conventional approaches. At the community level, a 30% increase in vegetation cover was observed, along with a positive impact on ecotourism. These findings support the model as an effective strategy for sustainability education, aligning with Sustainable Development Goals (SDGs) 4 and 13, and providing a replicable framework for similar educational and environmental contexts.</w:t>
      </w:r>
    </w:p>
    <w:p>
      <w:r>
        <w:t>POSSIBLE 2024: Explainable Artificial Intelligence (XAI) 2.0: A manifesto of open challenges and interdisciplinary research directions — https://doi.org/10.1016/j.inffus.2024.102301</w:t>
      </w:r>
    </w:p>
    <w:p>
      <w:r>
        <w:t>Shared claim-specific concepts: interdisciplinary, road, map, based; EU scope not established. This is a provisional connection, not an outcome finding.</w:t>
      </w:r>
    </w:p>
    <w:p>
      <w:r>
        <w:t>Available abstract (not full text): Understanding black box models has become paramount as systems based on opaque Artificial Intelligence (AI) continue to flourish in diverse real-world applications. In response, Explainable AI (XAI) has emerged as a field of research with practical and ethical benefits across various domains. This paper highlights the advancements in XAI and its application in real-world scenarios and addresses the ongoing challenges within XAI, emphasizing the need for broader perspectives and collaborative efforts. We bring together experts from diverse fields to identify open problems, striving to synchronize research agendas and accelerate XAI in practical applications. By fostering collaborative discussion and interdisciplinary cooperation, we aim to propel XAI forward, contributing to its continued success. We aim to develop a comprehensive proposal for advancing XAI. To achieve this goal, we present a manifesto of 28 open problems categorized into nine categories. These challenges encapsulate the complexities and nuances of XAI and offer a road map for future research. For each problem, we provide promising research directions in the hope of harnessing the collective intelligence of interested stakeholders.</w:t>
      </w:r>
    </w:p>
    <w:p>
      <w:r>
        <w:t>POSSIBLE 2024: Strategic flood impact mitigation in developing countries’ urban road networks: Application to Hanoi — https://doi.org/10.1016/j.ejor.2024.06.035</w:t>
      </w:r>
    </w:p>
    <w:p>
      <w:r>
        <w:t>Shared claim-specific concepts: interdisciplinary, road, case; EU scope not established. This is a provisional connection, not an outcome finding.</w:t>
      </w:r>
    </w:p>
    <w:p>
      <w:r>
        <w:t>Available abstract (not full text): Due to climate change, the frequency and scale of flood events worldwide are increasing dramatically. Flood impacts are especially acute in developing countries, where they often revert years of progress in sustainable development and poverty reduction. This paper introduces an optimization-based decision support tool for selecting cost-efficient flood mitigation investments in developing countries’ urban areas. The core of the tool is a scenario-based, multi-period, bi-objective Mixed Integer Linear Programming model which minimizes infrastructure damage and traffic congestion in urban road networks. The tool was developed in collaboration with Vietnamese stakeholders (e.g., local communities and government authorities), and integrates data and inputs from other disciplines, including social science, transport economics, climatology and hydrology. A metaheuristic, combining a Greedy Randomized Adaptive Search Procedure with a Variable Neighborhood Descent algorithm, is developed to solve large scale problem instances. An extensive computational campaign on randomly generated instances demonstrates the efficiency of the metaheuristic in solving realistic problems with hundreds of interdependent flood mitigation interventions. Finally, the applicability of the interdisciplinary approach is demonstrated on a real case study to generate a 20-year plan of mitigation investments for</w:t>
      </w:r>
    </w:p>
    <w:p>
      <w:r>
        <w:t>POSSIBLE 2023: The Belt and Road Initiative: An Integrative Subject for Interdisciplinary Studies about China — https://doi.org/10.65959/eaa.1810</w:t>
      </w:r>
    </w:p>
    <w:p>
      <w:r>
        <w:t>Shared claim-specific concepts: interdisciplinary, road, allow; EU scope not established. This is a provisional connection, not an outcome finding.</w:t>
      </w:r>
    </w:p>
    <w:p>
      <w:r>
        <w:t>Available abstract (not full text): hina's economic transformation altered the global economy in unexpected ways.In 2000 when Bill Clinton encouraged Congress to support China's ascension to the World Trade Organization (WTO), his argument centered on the belief that once Chinese society saw the power and the benefits of capitalism, it would demand political and economic freedom, and the power of free markets would propel China to economic prosperity.Twenty-plus years later, China has discovered its own path to economic wellness, one that continues to support the Chinese Communist Party (CCP) with political power largely unquestioned.The economy is the second largest in the world and the largest under standards of purchasing power parity (the exchange rate that would translate renminbi to dollars and allow someone to buy the same basket of goods in either country).1 China's investment in its own infrastructure and the development of industry in technology, finance, and artificial intelligence make the country a daunting global competitor.Given China's rise and its explicit resolution to follow its own path, an understanding of China's economic transformation and global strategy is imperative for American students preparing for careers.The vast differences in culture and worldview of Chinese society suggest that simply applying the standard business transaction and replacing US dollars with Chinese renminbi is not</w:t>
      </w:r>
    </w:p>
    <w:p>
      <w:r>
        <w:t>POSSIBLE 2022: Arctic roads and railways: social and environmental consequences of transport infrastructure in the circumpolar North — https://doi.org/10.1139/as-2021-0033</w:t>
      </w:r>
    </w:p>
    <w:p>
      <w:r>
        <w:t>Shared claim-specific concepts: integrated, case; EU scope not established. This is a provisional connection, not an outcome finding.</w:t>
      </w:r>
    </w:p>
    <w:p>
      <w:r>
        <w:t xml:space="preserve">Available abstract (not full text): Land-based transport corridors and related infrastructure are increasingly extending into and across the Arctic in support of resource development and population growth, causing large-scale cumulative changes to northern socio-ecological systems. These changes include the increased mobility of people, goods and resources, and environmental impacts on landscapes and ecosystems as the human footprint reaches remote, unindustrialized regions. Arctic climate change is also generating new challenges for the construction and maintenance of these transport systems, requiring adaptive engineering solutions as well as community resilience. In this review article, we consider the complex entanglements between humans, the environment, and land transportation infrastructure in the North and illustrate these interrelations by way of seven case studies: the Baikal–Amur Mainline, Bovanenkovo Railway, Alaska–Canada Highway, Inuvik–Tuktoyatuk Highway, Alaska Railroad, Hudson Bay Railway, and proposed railways on Baffin Island, Canada. As new infrastructure is built and anticipated across the circumpolar North, there is an urgent need for an integrated socio-ecological approach to impact assessment. This would include full consideration of Indigenous knowledge and concerns, collaboration with local communities and user groups in assessment, planning and monitoring, and evaluation of alternative </w:t>
      </w:r>
    </w:p>
    <w:p>
      <w:r>
        <w:t>POSSIBLE 2022: Coexistence research requires more interdisciplinary communication — https://doi.org/10.1002/ece3.8914</w:t>
      </w:r>
    </w:p>
    <w:p>
      <w:r>
        <w:t>Shared claim-specific concepts: interdisciplinary, road, map; EU scope not established. This is a provisional connection, not an outcome finding.</w:t>
      </w:r>
    </w:p>
    <w:p>
      <w:r>
        <w:t>Available abstract (not full text): Coexistence theories develop rapidly at the ecology forefront, outpacing their experimental testing. I discuss the reasons for this gap, call on interdisciplinary researchers to construct a road map for coexistence research, and recommend the actions that should be implemented therein.</w:t>
      </w:r>
    </w:p>
    <w:p>
      <w:r>
        <w:t>POSSIBLE 2022: Developing computable sustainable urbanization science: interdisciplinary perspective — https://doi.org/10.1007/s43762-022-00048-9</w:t>
      </w:r>
    </w:p>
    <w:p>
      <w:r>
        <w:t>Shared claim-specific concepts: interdisciplinary, based; EU scope not established. This is a provisional connection, not an outcome finding.</w:t>
      </w:r>
    </w:p>
    <w:p>
      <w:r>
        <w:t>Available abstract (not full text): In this era of drastic global change, the Anthropocene, carbon neutrality and sustainable development have become common twenty-first century human challenges and goals. Large-scale urbanization is indicative of human activities and provides an important impetus for environmental changes; therefore, cities have become an important stage in which to promote a more sustainable future development of human society. However, current researchers study urbanization issues based on the perspectives and tools of their respective disciplines; therefore, a holistic and comprehensive understanding of urbanization is lacking due to the insufficient integration of multidisciplinary study perspectives. We explored the construction of interdisciplinary computable sustainable urbanization and introduces a conceptual framework for interdisciplinary urbanization, as scientific computing supports and integrates the natural sciences and humanities to simulate urban evolution and further observe, explain, and optimize human and environment interactions in urban areas. We advocated for the establishment of major international research programs and organizations in the field of sustainable urbanization, and the cultivation of talented young professionals with broad-ranging interdisciplinary interests. Expectantly, we hope a livable planet in the Anthropocene era could be created by developing sustaina</w:t>
      </w:r>
    </w:p>
    <w:p>
      <w:r>
        <w:t>POSSIBLE 2021: FBG‐Based Sensing for Structural Health Monitoring of Road Infrastructure — https://doi.org/10.1155/2021/8850368</w:t>
      </w:r>
    </w:p>
    <w:p>
      <w:r>
        <w:t>Shared claim-specific concepts: interdisciplinary, road, based; EU scope not established. This is a provisional connection, not an outcome finding.</w:t>
      </w:r>
    </w:p>
    <w:p>
      <w:r>
        <w:t>Available abstract (not full text): Public road infrastructure is developed all around the world. To save resources, ensure public safety, and provide longer‐lasting road infrastructure, structural health monitoring (SHM) applications for roads have to be researched and developed. Asphalt is one of the largest used surface materials for the road building industry. This material also provides relatively easy fiber optical sensor technology installment, which can be effectively used for SHM applications—road infrastructure monitoring as well as for resource optimization when road building or their repairs are planned. This article focuses on the research of the fiber Bragg grating (FBG) optical temperature and strain sensor applications in road SHM, which is part of the greater interdisciplinary research project started at the Riga Technical University in the year 2017. Experimental work described in this article was realized in one of the largest Latvian road sites where the FBG strain and temperature sensors were installed into asphalt pavement, and experiments were carried out in two main scenarios. Firstly, in a controlled environment with a calibrated falling weight deflectometer (FWD) to test the installed FBG sensors. Secondly, by evaluating the real‐time traffic impact on the measured strain and temperature, where different types of vehicles passed the asphalt span in which the sensors were embedded. The fi</w:t>
      </w:r>
    </w:p>
    <w:p>
      <w:r>
        <w:t>POSSIBLE 2020: Interdisciplinary Approaches to Road Safety Improvement — https://doi.org/10.67228/30715636/ijetmr-2020pii7j5e</w:t>
      </w:r>
    </w:p>
    <w:p>
      <w:r>
        <w:t>Shared claim-specific concepts: interdisciplinary, road, integrated, best, based; EU scope not established. This is a provisional connection, not an outcome finding.</w:t>
      </w:r>
    </w:p>
    <w:p>
      <w:r>
        <w:t>Available abstract (not full text): Road traffic injuries are one of the most important socio-economic and public health issues on the global level. Road crashes based on reports made by the World Health Organization cause a death of more than 1.19 million people every year and this is highly disfavored to the low- and middle-income countries. Traditional methods of safety on the road, which have focused mainly on engineering and enforcement, have proved inadequate in the regard of the multifactorial and intricate nature of the traffic accidents. The paper provides a theoretical explanation of an interdisciplinary approach that incorporates engineering, data science, behavior psychology, and the social policy, urban planning, and healthcare to improve road safety scores. The paper includes an overview of the contemporary paradigms of road safety and outlines the need to have systematic and interdisciplinary interventions. The proposed model will integrate the knowledge of transportation engineering, artificial intelligence, social health, and social science to deliver the best infrastructure design, driver behavior, emergency response, and inform the evidence-based policymaking. High-tech means of data analytics and machine learning are used to forecast areas vulnerable to accidents and risky behaviors, and the behavioral interventions are aimed at human error, which is the most common cause of accidents. The res</w:t>
      </w:r>
    </w:p>
    <w:p>
      <w:r>
        <w:t>POSSIBLE 2020: Road To Nano Technology Education In Engineering Technology: An Area Of Interdisciplinary Studies — https://doi.org/10.18260/1-2--2088</w:t>
      </w:r>
    </w:p>
    <w:p>
      <w:r>
        <w:t>Shared claim-specific concepts: interdisciplinary, road; EU scope not established. This is a provisional connection, not an outcome finding.</w:t>
      </w:r>
    </w:p>
    <w:p>
      <w:r>
        <w:t>Available abstract (not full text): Abstract NOTE: The first page of text has been automatically extracted and included below in lieu of an abstract Road to Nano-Technology Education in Engineering Technology: An Area of Interdisciplinary Studies Abstract “Nano-scale science and engineering most likely will produce the strategic technology breakthroughs of tomorrow,” says David Swain, Senior Vice President of Engineering and Technology at Boeing. The development of micro-scale engineering in the area of electronics and computer technology demonstrates low cost and high efficiency technology advancements in miniaturization. These efforts have led to the emergence of nanotechnology dealing with a wide range of engineering applications at the nano scale. Nanotechnology has future impacts in the application markets such as medicine, healthcare, biotechnology, communications, and electronics. Due to rapid development and broad impact of nanotechnology, education and training of a new generation of workforce skilled in this field will play an important role in the development and applications of nanotechnology. It is a challenge for educators, especially for engineering technology educators, to provide an appropriate curriculum and effective learning environment including state-of-the-art laboratories for students who want to enter the nano field after their graduation. This paper will discuss the objectives of nano-te</w:t>
      </w:r>
    </w:p>
    <w:p>
      <w:r>
        <w:t>POSSIBLE 2020: Interdisciplinary and Transdisciplinary Perspectives: On the Road to a Holistic Approach to Dementia Prevention and Care — https://doi.org/10.3233/adr-180070</w:t>
      </w:r>
    </w:p>
    <w:p>
      <w:r>
        <w:t>Shared claim-specific concepts: interdisciplinary, road, opportunities; EU scope not established. This is a provisional connection, not an outcome finding.</w:t>
      </w:r>
    </w:p>
    <w:p>
      <w:r>
        <w:t>Available abstract (not full text): Dementia, of which the most frequent form is Alzheimer's disease, is a chronic and terminal condition with multi-factorial causes and numerous consequences on a patient's life. Combining perspectives from different disciplines seems necessary for unraveling dementia's entangled issues. Current dementia management is a multidisciplinary effort; however, integrating different disciplines as a holistic treatment process is often hindered due to different responsibilities, various conceptual approaches, and distinctive research methods. With this paper, we raise some of the challenges that need to be addressed in order to initiate an interdisciplinary or even transdisciplinary research agenda. We also outline recommendations on how to integrate multiple disciplinary perspectives in dementia care and research. We see opportunities for young investigators to draw from different fields of research in dementia as their research focus is still developing. By establishing common objectives with investigators from other fields, we can pursue the goal of improving treatment and care as a team-meaning accomplishing different tasks but sharing a common purpose. It is necessary to address the communication between fields that limits the understanding of connections between cognitive symptoms, biological processes, treatment, lifestyle, and care giving in order to reach the aim of developing a</w:t>
      </w:r>
    </w:p>
    <w:p>
      <w:pPr>
        <w:pStyle w:val="Heading2"/>
      </w:pPr>
      <w:r>
        <w:t>Animal Health Surveillance in Scotland in 2030: Using Scenario Planning to Develop Strategies in the Context of “Brexit”</w:t>
      </w:r>
    </w:p>
    <w:p>
      <w:r>
        <w:t>Original source (2017): https://doi.org/10.3389/fvets.2017.00201</w:t>
      </w:r>
    </w:p>
    <w:p>
      <w:r>
        <w:t>Original wording (abstract; indexed_source_text_not_full_document_verified): In this paper, we describe the use of scenario planning as an effective tool for the creation and exploration of five plausible long-term futures; we describe prioritization of critical drivers of change (i.e., international trade policy, data-sharing philosophies, and public versus private resourcing of surveillance capacity) that will unpredictably influence the future implementation of animal health surveillance activities. We present 10 participant-developed strategies to support 3 long-term visions to improve future resilience of animal health surveillance and contingency planning for animal and zoonotic disease outbreaks in Scotland.</w:t>
      </w:r>
    </w:p>
    <w:p>
      <w:r>
        <w:t>POSSIBLE 2026: What we do in the shadows: Methodologists use a range of synthesis methods when meta-analysis of all results is not possible but describe challenges in planning and selecting methods — https://doi.org/10.64898/2026.07.15.26358140</w:t>
      </w:r>
    </w:p>
    <w:p>
      <w:r>
        <w:t>Shared claim-specific concepts: describe, use, planning; EU scope not established. This is a provisional connection, not an outcome finding.</w:t>
      </w:r>
    </w:p>
    <w:p>
      <w:r>
        <w:t>Available abstract (not full text): Abstract Introduction Systematic review authors commonly encounter situations where the data required for meta-analysis are incompletely reported (e.g. when effect estimates are reported without a measure of precision). In this circumstance, many systematic review authors use a method other than meta-analysis (e.g. vote counting), but rarely describe those methods or the rationale for selecting them. We aimed to investigate what methods authors consider when meta-analysis of all study results is not possible, and what factors influence their decisions. Methods We interviewed 12 experienced systematic review authors, editors and methodologists, presenting four scenarios in which it was not possible to combine all results using meta-analysis. Scenarios varied in the number and size of included studies, available data, and risk of bias. Participants discussed the methods they considered to summarise, synthesise and present the results; whether they would synthesise available results; and how they would draw overall conclusions. Results Factors that informed decisions included participants’ overall purpose in conducting synthesis, existing beliefs about study results and synthesis methods, trust in the available data, and the decision-making needs of end users. Participants differed in which synthesis methods to use, whether they would use multiple synthesis methods, and which stud</w:t>
      </w:r>
    </w:p>
    <w:p>
      <w:r>
        <w:t>POSSIBLE 2021: Using the Systems Engineering Initiative for Patient Safety (SEIPS) model to describe the planning and management of the COVID-19 pandemic in Hong Kong — https://doi.org/10.1093/intqhc/mzab042</w:t>
      </w:r>
    </w:p>
    <w:p>
      <w:r>
        <w:t>Shared claim-specific concepts: describe, use, planning, tool, five, private; EU scope not established. This is a provisional connection, not an outcome finding.</w:t>
      </w:r>
    </w:p>
    <w:p>
      <w:r>
        <w:t>Available abstract (not full text): The COVID-19 pandemic has had massive impact on healthcare systems highlighting that the relatively deficient medical facilities to cater the high patient load and the shortage of personal protective equipment (PPE) to ensure staff safety are the major problems to tackle [1, 2]. Hong Kong public hospitals faced the same challenges. It is crucial for the hospital management to formulate decisive strategies through a systems approach and take swift actions to handle these situations. The Systems Engineering Initiative for Patient Safety (SEIPS) model, consisted of five main domains namely organization, person, tasks, technologies and tools, and environment, is a renowned tool which adopts human factors principles and offers a comprehensive conceptual framework in facilitating hospital management to understand its own system [3, 4]. Evidence showed that this model had been successfully applied in handling the COVID-19 pandemic [5]. The aims of this article are to apply the SEIPS model to systematically describe the strategies and actions taken by the five public hospitals in the New Territories West Cluster (NTWC) of Hong Kong Hospital Authority and examine if the SEIPS model could support organizations in planning for and managing a pandemic. The strategies and actions taken in the NTWC since the COVID-19 pandemic in February 2020 are summarized in Table 1, and the key actions of</w:t>
      </w:r>
    </w:p>
    <w:p>
      <w:r>
        <w:t>POSSIBLE 2020: Reasoning versus Planning — https://doi.org/10.1002/9781119720348.ch5</w:t>
      </w:r>
    </w:p>
    <w:p>
      <w:r>
        <w:t>Shared claim-specific concepts: use, planning, tool, versus; EU scope not established. This is a provisional connection, not an outcome finding.</w:t>
      </w:r>
    </w:p>
    <w:p>
      <w:r>
        <w:t>Available abstract (not full text): In this chapter, the author defends the theory that the ability to use and make tools and build constructions is based on technical-reasoning skills, useful for solving physical problems that humans generate themselves. He proposes a revised version of some of the theses supported by cognitive archaeologists, according to which the development of executive functions during our evolution would be the key to explaining complex Tool behaviors. The author describes three key processes concerning executive functions, namely flexibility, inhibition and updating. He also proposes a theoretical development on the contribution of technical reasoning and the potential role of executive functions. The theoretical development provides an alternative scenario where these schemas are not stored, but rather generated either totally (i.e. total planning) or partially (i.e. partial planning).</w:t>
      </w:r>
    </w:p>
    <w:p>
      <w:r>
        <w:t>POSSIBLE 2019: The Planning in Life and Adapting to Novel Situations (PLANS): An Ecologically Valid Measure of Every-day Planning — https://openalex.org/W3034860865</w:t>
      </w:r>
    </w:p>
    <w:p>
      <w:r>
        <w:t>Shared claim-specific concepts: use, planning, effective, capacity; EU scope not established. This is a provisional connection, not an outcome finding.</w:t>
      </w:r>
    </w:p>
    <w:p>
      <w:r>
        <w:t>Available abstract (not full text): Individuals with brain injuries often experience impairment in executive functioning, including the ability to plan. Planning dysfunction limits the capacity to complete functional planning tasks required for effective independent living and community functioning and is a frequent target of community rehabilitation intervention. Current planning measurement tools have limitations in their ecological validity, and are not sensitive to every-day planning. Research has shown that naturalistic simulated instruments have higher degrees of ecological validity than traditional testing options, and are more predictive of executive functioning limitations observed in real-world contexts. This dissertation project describes three research studies involved with the development and feasibility of a new naturalistic instrument: The Planning in Life and Adapting to Novel Situations (PLANS). The first study conducted a scoping literature review (n=22) and semi-structured interviews (n=8) with community rehabilitation clinicians to inform the context, tasks, and scoring of the PLANS. Second, an analysis of clinical data from the Community Multiple Errands Test (CoMET), by individuals with cognitive disabilities (n=55) was conducted to assess planning performance errors in community functioning. CoMET performance was significantly related to measures of logical reasoning, planning and verbal fl</w:t>
      </w:r>
    </w:p>
    <w:p>
      <w:r>
        <w:t>POSSIBLE 2019: Acting and Planning Using Operational Models — https://doi.org/10.1609/aaai.v33i01.33017691</w:t>
      </w:r>
    </w:p>
    <w:p>
      <w:r>
        <w:t>Shared claim-specific concepts: describe, use, planning; EU scope not established. This is a provisional connection, not an outcome finding.</w:t>
      </w:r>
    </w:p>
    <w:p>
      <w:r>
        <w:t>Available abstract (not full text): The most common representation formalisms for planning are descriptive models. They abstractly describe what the actions do and are tailored for efficiently computing the next state(s) in a state transition system. But acting requires operational models that describe how to do things, with rich control structures for closed-loop online decision-making. Using descriptive representations for planning and operational representations for acting can lead to problems with developing and verifying consistency of the different models.We define and implement an integrated acting-and-planning system in which both planning and acting use the same operational models, which are written in a general-purpose hierarchical task-oriented language offering rich control structures. The acting component is inspired by the well-known PRS system, except that instead of being purely reactive, it can get advice from the planner. Our planning algorithm, RAEplan, plans by doing Monte Carlo rollout simulations of the actor’s operational models. Our experiments show significant benefits in the efficiency of the acting and planning system.</w:t>
      </w:r>
    </w:p>
    <w:p>
      <w:r>
        <w:t>POSSIBLE 2018: Planning and navigation as active inference — https://doi.org/10.1007/s00422-018-0753-2</w:t>
      </w:r>
    </w:p>
    <w:p>
      <w:r>
        <w:t>Shared claim-specific concepts: use, planning, exploration; EU scope not established. This is a provisional connection, not an outcome finding.</w:t>
      </w:r>
    </w:p>
    <w:p>
      <w:r>
        <w:t>Available abstract (not full text): This paper introduces an active inference formulation of planning and navigation. It illustrates how the exploitation-exploration dilemma is dissolved by acting to minimise uncertainty (i.e. expected surprise or free energy). We use simulations of a maze problem to illustrate how agents can solve quite complicated problems using context sensitive prior preferences to form subgoals. Our focus is on how epistemic behaviour-driven by novelty and the imperative to reduce uncertainty about the world-contextualises pragmatic or goal-directed behaviour. Using simulations, we illustrate the underlying process theory with synthetic behavioural and electrophysiological responses during exploration of a maze and subsequent navigation to a target location. An interesting phenomenon that emerged from the simulations was a putative distinction between 'place cells'-that fire when a subgoal is reached-and 'path cells'-that fire until a subgoal is reached.</w:t>
      </w:r>
    </w:p>
    <w:p>
      <w:r>
        <w:t>POSSIBLE 2018: Using public participatory mapping to inform general land use planning and zoning — https://doi.org/10.1016/j.landurbplan.2018.04.011</w:t>
      </w:r>
    </w:p>
    <w:p>
      <w:r>
        <w:t>Shared claim-specific concepts: use, planning; EU scope not established. This is a provisional connection, not an outcome finding.</w:t>
      </w:r>
    </w:p>
    <w:p>
      <w:r>
        <w:t>Available abstract (not full text): Unavailable</w:t>
      </w:r>
    </w:p>
    <w:p>
      <w:r>
        <w:t>POSSIBLE 2018: Search Reduction in Planning with Primary Effects — https://doi.org/10.1184/r1/6609317</w:t>
      </w:r>
    </w:p>
    <w:p>
      <w:r>
        <w:t>Shared claim-specific concepts: describe, use, planning, effective; EU scope not established. This is a provisional connection, not an outcome finding.</w:t>
      </w:r>
    </w:p>
    <w:p>
      <w:r>
        <w:t>Available abstract (not full text): The use of primary effects in planning is an effective approach for reducing search costs, closely related to abstraction planning. However, there has been little analysis of planning with primary effects and few experimental results. In this paper we demonstrate the connection between primary effects and abstraction hierarchies and provide analytical and empirical results on the efficiency of planning with primary effects. First, we show how the relationship between primary effects and abstraction can be used for automatically selecting primary effects and generating good abstraction hierarchies. Then we analytically demonstrate that the use of primary effects may lead to an exponential reduction of the running time and identify factors that influence the efficiency of planning with primary effects. Finally, we describe experiments that confirm our analysis and demonstrate the practical efficiency of using primary effects.</w:t>
      </w:r>
    </w:p>
    <w:p>
      <w:pPr>
        <w:pStyle w:val="Heading2"/>
      </w:pPr>
      <w:r>
        <w:t>Brexit adds to gloom over long‐term growth prospects</w:t>
      </w:r>
    </w:p>
    <w:p>
      <w:r>
        <w:t>Original source (2017): https://doi.org/10.1111/1468-0319.12257</w:t>
      </w:r>
    </w:p>
    <w:p>
      <w:r>
        <w:t>Original wording (abstract; indexed_source_text_not_full_document_verified): Our forecasts show potential output growth of just 1.6% a year from 2017–2030.</w:t>
      </w:r>
    </w:p>
    <w:p>
      <w:r>
        <w:t>POSSIBLE 2023: Accurate medium-range global weather forecasting with 3D neural networks — https://doi.org/10.1038/s41586-023-06185-3</w:t>
      </w:r>
    </w:p>
    <w:p>
      <w:r>
        <w:t>Shared claim-specific concepts: forecasts, show, potential; EU scope visible. This is a provisional connection, not an outcome finding.</w:t>
      </w:r>
    </w:p>
    <w:p>
      <w:r>
        <w:t>Available abstract (not full text): Abstract Weather forecasting is important for science and society. At present, the most accurate forecast system is the numerical weather prediction (NWP) method, which represents atmospheric states as discretized grids and numerically solves partial differential equations that describe the transition between those states 1 . However, this procedure is computationally expensive. Recently, artificial-intelligence-based methods 2 have shown potential in accelerating weather forecasting by orders of magnitude, but the forecast accuracy is still significantly lower than that of NWP methods. Here we introduce an artificial-intelligence-based method for accurate, medium-range global weather forecasting. We show that three-dimensional deep networks equipped with Earth-specific priors are effective at dealing with complex patterns in weather data, and that a hierarchical temporal aggregation strategy reduces accumulation errors in medium-range forecasting. Trained on 39 years of global data, our program, Pangu-Weather, obtains stronger deterministic forecast results on reanalysis data in all tested variables when compared with the world’s best NWP system, the operational integrated forecasting system of the European Centre for Medium-Range Weather Forecasts (ECMWF) 3 . Our method also works well with extreme weather forecasts and ensemble forecasts. When initialized with reanalysis dat</w:t>
      </w:r>
    </w:p>
    <w:p>
      <w:r>
        <w:t>POSSIBLE 2022: Global seasonal forecasts of marine heatwaves — https://doi.org/10.1038/s41586-022-04573-9</w:t>
      </w:r>
    </w:p>
    <w:p>
      <w:r>
        <w:t>Shared claim-specific concepts: forecasts, show, potential; EU scope not established. This is a provisional connection, not an outcome finding.</w:t>
      </w:r>
    </w:p>
    <w:p>
      <w:r>
        <w:t>Available abstract (not full text): Abstract Marine heatwaves (MHWs)—periods of exceptionally warm ocean temperature lasting weeks to years—are now widely recognized for their capacity to disrupt marine ecosystems1–3. The substantial ecological and socioeconomic impacts of these extreme events present significant challenges to marine resource managers4–7, who would benefit from forewarning of MHWs to facilitate proactive decision-making8–11. However, despite extensive research into the physical drivers of MHWs11,12, there has been no comprehensive global assessment of our ability to predict these events. Here we use a large multimodel ensemble of global climate forecasts13,14 to develop and assess MHW forecasts that cover the world’s oceans with lead times of up to a year. Using 30 years of retrospective forecasts, we show that the onset, intensity and duration of MHWs are often predictable, with skilful forecasts possible from 1 to 12 months in advance depending on region, season and the state of large-scale climate modes, such as the El Niño/Southern Oscillation. We discuss considerations for setting decision thresholds based on the probability that a MHW will occur, empowering stakeholders to take appropriate actions based on their risk profile. These results highlight the potential for operational MHW forecasts, analogous to forecasts of extreme weather phenomena, to promote climate resilience in global marin</w:t>
      </w:r>
    </w:p>
    <w:p>
      <w:r>
        <w:t>POSSIBLE 2021: Lightning forecasting in Bangladesh based on the lightning potential index and the electric potential — https://doi.org/10.1016/j.atmosres.2021.105973</w:t>
      </w:r>
    </w:p>
    <w:p>
      <w:r>
        <w:t>Shared claim-specific concepts: forecasts, show, potential; EU scope not established. This is a provisional connection, not an outcome finding.</w:t>
      </w:r>
    </w:p>
    <w:p>
      <w:r>
        <w:t>Available abstract (not full text): This work documents the performances of diagnostic and explicit lightning forecasts for selected high impact weather events over Bangladesh. The lightning flashes are calculated by three methods: (1) a diagnostic lightning parameterization that bases its algorithm on the level of neutral buoyancy from a convective parameterization scheme, (2) lightning potential index (LPI) using local graupel and ice contents, and (3) explicit prediction of electric fields and lightning initiation from WRF-ELEC. Five lightning events that occurred on 02 April 2019, 17 May 2019, 20 April 2020, 26 May 2020, and 20 May 2021 were examined to evaluate the forecasting capability of each scheme for the lightning over a 24-h forecast period. Prior to diagnosing lightning activity, the composite radar reflectivity and the neighborhood score metrics (ETS, FSS) for hourly rainfall were analyzed to determine if the simulated precipitation structure is consistent with the observations. Analyses based on performance diagrams were also included for a better illustration of how simulations perform on predicting precipitation. The spatial distribution of LPI and lightning flashes is compared against the NASA Lightning Imaging Sensor (LIS) dataset. The qualitative results show that in most of the studied cases, there is a good agreement between the observations and the WRF-ELEC-based simulations in terms of det</w:t>
      </w:r>
    </w:p>
    <w:p>
      <w:r>
        <w:t>POSSIBLE 2020: Load probability density forecasting by transforming and combining quantile forecasts — https://doi.org/10.1016/j.apenergy.2020.115600</w:t>
      </w:r>
    </w:p>
    <w:p>
      <w:r>
        <w:t>Shared claim-specific concepts: forecasts, show, potential; EU scope not established. This is a provisional connection, not an outcome finding.</w:t>
      </w:r>
    </w:p>
    <w:p>
      <w:r>
        <w:t>Available abstract (not full text): Compared with traditional deterministic load forecasting, probabilistic load forecasting (PLF) help us understand the potential risks in the power system operation by providing more information about future uncertainties of the loads. Quantile forecasting, as a kind of non-parametric probabilistic forecasting method, has been well developed and widely used in PLF. However, the results of quantile forecasts are discrete, which contain fewer details than density forecasts which provide the most comprehensive information. This paper proposes a novel day-ahead load probability density forecasting method by transforming and combining multiple quantile forecasts. The proposed method includes two main steps: transformation and combination. In the first step, the kernel density estimation method is used to transform the individual quantile forecast into the probability density curve; in the second step, an optimization problem is established to obtain the weighted combination of different probability density forecasts. The perturbation search method is applied to determine the optimal weight of each individual forecast. We demonstrate the effectiveness and superiority of our proposed method using comprehensive case studies on the real-world load data from Guangdong province in China, ISO New England (ISO-NE) in the US and Irish smart meter data. Case studies show that the combined mode</w:t>
      </w:r>
    </w:p>
    <w:p>
      <w:r>
        <w:t>POSSIBLE 2020: Forecasting cycles of seizure likelihood — https://doi.org/10.1111/epi.16485</w:t>
      </w:r>
    </w:p>
    <w:p>
      <w:r>
        <w:t>Shared claim-specific concepts: forecasts, show, potential; EU scope not established. This is a provisional connection, not an outcome finding.</w:t>
      </w:r>
    </w:p>
    <w:p>
      <w:r>
        <w:t>Available abstract (not full text): OBJECTIVE: Seizure unpredictability is rated as one of the most challenging aspects of living with epilepsy. Seizure likelihood can be influenced by a range of environmental and physiological factors that are difficult to measure and quantify. However, some generalizable patterns have been demonstrated in seizure onset. A majority of people with epilepsy exhibit circadian rhythms in their seizure times, and many also show slower, multiday patterns. Seizure cycles can be measured using a range of recording modalities, including self-reported electronic seizure diaries. This study aimed to develop personalized forecasts from a mobile seizure diary app. METHODS: Forecasts based on circadian and multiday seizure cycles were tested pseudoprospectively using data from 50 app users (mean of 109 seizures per subject). Individuals' strongest cycles were estimated from their reported seizure times and used to derive the likelihood of future seizures. The forecasting approach was validated using self-reported events and electrographic seizures from the Neurovista dataset, an existing database of long-term electroencephalography that has been widely used to develop forecasting algorithms. RESULTS: The validation dataset showed that forecasts of seizure likelihood based on self-reported cycles were predictive of electrographic seizures for approximately half the cohort. Forecasts using only</w:t>
      </w:r>
    </w:p>
    <w:p>
      <w:r>
        <w:t>POSSIBLE 2020: Potential for Early Forecast of Moroccan Wheat Yields Based on Climatic Drivers — https://doi.org/10.1029/2020gl087516</w:t>
      </w:r>
    </w:p>
    <w:p>
      <w:r>
        <w:t>Shared claim-specific concepts: forecasts, show, potential; EU scope not established. This is a provisional connection, not an outcome finding.</w:t>
      </w:r>
    </w:p>
    <w:p>
      <w:r>
        <w:t>Available abstract (not full text): Abstract Wheat production plays an important role in Morocco. Current wheat forecast systems use weather and vegetation data during the crop growing phase, thus limiting the earliest possible release date to early spring. However, Morocco ' s wheat production is mostly rainfed and thus strongly tied to fluctuations in rainfall, which in turn depend on slowly evolving climate dynamics. This offers a source of predictability at longer time scales. Using physically guided causal discovery algorithms , we extract climate precursors for wheat yield variability from gridded fields of geopotential height and sea surface temperatures which show potential for accurate yield forecasts already in December, with around 50% explained variance in an out‐of‐sample cross validation. The detected interactions are physically meaningful and consistent with documented ocean‐atmosphere feedbacks. Reliable yield forecasts at such long lead times could provide farmers and policy makers with necessary information for early action and strategic adaptation measurements to support food security.</w:t>
      </w:r>
    </w:p>
    <w:p>
      <w:r>
        <w:t>POSSIBLE 2019: Current and potential use of ensemble forecasts in operational TC forecasting: results from a global forecaster survey — https://doi.org/10.1016/j.tcrr.2019.10.005</w:t>
      </w:r>
    </w:p>
    <w:p>
      <w:r>
        <w:t>Shared claim-specific concepts: forecasts, show, potential; EU scope not established. This is a provisional connection, not an outcome finding.</w:t>
      </w:r>
    </w:p>
    <w:p>
      <w:r>
        <w:t>Available abstract (not full text): In order to understand the current and potential use of ensemble forecasts in operational tropical cyclone (TC) forecasting, a questionnaire on the use of dynamic ensembles was conducted at operational TC forecast centers across the world, in association with the World Meteorological Organisation (WMO) High-Impact Weather Project (HIWeather). The results of the survey are presented, and show that ensemble forecasts are used by nearly all respondents, particularly in TC track and genesis forecasting, with several examples of where ensemble forecasts have been pulled through successfully into the operational TC forecasting process. There is still, however, a notable difference between the high proportion of operational TC forecasters who use and value ensemble forecast information, and the slower pull-through into operational forecast warnings and products of the probabilistic guidance and uncertainty information that ensembles can provide. Those areas of research and development that would help TC forecasters to make increased use of ensemble forecast information in the future include improved access to ensemble forecast data, verification and visualizations, the development of hazard and impact-based products, an improvement in the skill of the ensembles (particularly for intensity and structure), and improved guidance on how to use ensembles and optimally combine forecasts fro</w:t>
      </w:r>
    </w:p>
    <w:p>
      <w:r>
        <w:t>POSSIBLE 2019: The future of forecasting for renewable energy — https://doi.org/10.1002/wene.365</w:t>
      </w:r>
    </w:p>
    <w:p>
      <w:r>
        <w:t>Shared claim-specific concepts: forecasts, show, potential; EU scope not established. This is a provisional connection, not an outcome finding.</w:t>
      </w:r>
    </w:p>
    <w:p>
      <w:r>
        <w:t>Available abstract (not full text): Abstract Forecasting for wind and solar renewable energy is becoming more important as the amount of energy generated from these sources increases. Forecast skill is improving, but so too is the way forecasts are being used. In this paper, we present a brief overview of the state‐of‐the‐art of forecasting wind and solar energy. We describe approaches in statistical and physical modeling for time scales from minutes to days ahead, for both deterministic and probabilistic forecasting. Our focus changes then to consider the future of forecasting for renewable energy. We discuss recent advances which show potential for great improvement in forecast skill. Beyond the forecast itself, we consider new products which will be required to aid decision making subject to risk constraints. Future forecast products will need to include probabilistic information, but deliver it in a way tailored to the end user and their specific decision making problems. Businesses operating in this sector may see a change in business models as more people compete in this space, with different combinations of skills, data and modeling being required for different products. The transaction of data itself may change with the adoption of blockchain technology, which could allow providers and end users to interact in a trusted, yet decentralized way. Finally, we discuss new industry requirements and challenges f</w:t>
      </w:r>
    </w:p>
    <w:p>
      <w:r>
        <w:t>POSSIBLE 2019: The intrinsic predictability of ecological time series and its potential to guide forecasting — https://doi.org/10.1002/ecm.1359</w:t>
      </w:r>
    </w:p>
    <w:p>
      <w:r>
        <w:t>Shared claim-specific concepts: forecasts, show, potential; EU scope not established. This is a provisional connection, not an outcome finding.</w:t>
      </w:r>
    </w:p>
    <w:p>
      <w:r>
        <w:t>Available abstract (not full text): Abstract Successfully predicting the future states of systems that are complex, stochastic and potentially chaotic is a major challenge. Model forecasting error (FE) is the usual measure of success; however model predictions provide no insights into the potential for improvement. In short, the realized predictability of a specific model is uninformative about whether the system is inherently predictable or whether the chosen model is a poor match for the system and our observations thereof. Ideally, model proficiency would be judged with respect to the systems’ intrinsic predictability – the highest achievable predictability given the degree to which system dynamics are the result of deterministic v. stochastic processes. Intrinsic predictability may be quantified with permutation entropy (PE), a model-free, information-theoretic measure of the complexity of a time series. By means of simulations we show that a correlation exists between estimated PE and FE and show how stochasticity, process error, and chaotic dynamics affect the relationship. This relationship is verified for a dataset of 461 empirical ecological time series. We show how deviations from the expected PE-FE relationship are related to covariates of data quality and the nonlinearity of ecological dynamics. These results demonstrate a theoretically-grounded basis for a model-free evaluation of a system’s intrinsi</w:t>
      </w:r>
    </w:p>
    <w:p>
      <w:pPr>
        <w:pStyle w:val="Heading2"/>
      </w:pPr>
      <w:r>
        <w:t>By 2050 the Mitigation Effects of EU Forests Could Nearly Double through Climate Smart Forestry</w:t>
      </w:r>
    </w:p>
    <w:p>
      <w:r>
        <w:t>Original source (2017): https://doi.org/10.3390/f8120484</w:t>
      </w:r>
    </w:p>
    <w:p>
      <w:r>
        <w:t>Original wording (abstract; indexed_source_text_not_full_document_verified): With the right set of incentives in place at EU and Member States levels, we find the current literature supports the view that the EU has the potential to achieve an additional combined mitigation impact through CSF of 441 Mt CO2/year by 2050. In July 2016, the European Commission (EC) published a legislative proposal for incorporating greenhouse gas emissions and removals due to Land Use, Land Use Change and Forestry (LULUCF) into its 2030 Climate and Energy Framework.</w:t>
      </w:r>
    </w:p>
    <w:p>
      <w:r>
        <w:t>POSSIBLE 2024: Harmonisation of Corporate Income Tax Incentives in SADC: Addressing the Challenges Posed by the Sovereign Right of SADC Member States to Set Their Own Economic and Tax Policies — https://doi.org/10.25159/2522-3062/15912</w:t>
      </w:r>
    </w:p>
    <w:p>
      <w:r>
        <w:t>Shared claim-specific concepts: right, set, incentives, member, states, find; EU scope visible. This is a provisional connection, not an outcome finding.</w:t>
      </w:r>
    </w:p>
    <w:p>
      <w:r>
        <w:t>Available abstract (not full text): This article examines the challenges to harmonising corporate income tax (CIT) incentives in the Southern African Development Community (SADC). It is a state’s sovereign right to grant CIT incentives, which are often indispensable to encourage foreign direct investment. If the granting of CIT incentives in a regional body is unregulated and unharmonised, it can lead to harmful tax competition. To limit this and to ensure the coordination of CIT incentives in SADC, this article presents the notion of tax harmonisation. However, tax harmonisation could be hindered by SADC member states exercising their sovereign right to set their own economic and tax policies. It is not disputed that SADC member states have the prerogative to do this, but some economic policy-setting decisions can have a direct impact on the harmonisation of CIT incentives. In the quest to find solutions to these challenges, this article carries out a comparative analysis of best practices for enhancing tax harmonisation from two other regional bodies, the East African Community and the European Union. Ultimately, this article provides recommendations to address the challenges to harmonising CIT incentives in the SADC region.</w:t>
      </w:r>
    </w:p>
    <w:p>
      <w:r>
        <w:t>POSSIBLE 2022: Making Sure That Orphan Incentives Tip the Right Way in Europe — https://doi.org/10.3390/healthcare10091600</w:t>
      </w:r>
    </w:p>
    <w:p>
      <w:r>
        <w:t>Shared claim-specific concepts: right, incentives, current; EU scope visible. This is a provisional connection, not an outcome finding.</w:t>
      </w:r>
    </w:p>
    <w:p>
      <w:r>
        <w:t>Available abstract (not full text): The delicate balance of funding research and development of treatments for rare disease is only imperfectly achieved in Europe, and even the current provisional equilibrium is under a new threat from well-intentioned policy changes now in prospect that could-in addition to the intrinsic complexities of research-reduce the incentives on which commercial activity in this area is dependent. The European Union review of its pharmaceutical legislation, for which proposals are scheduled to appear before the end of 2022, envisages adjusting the decade-old incentives to meet objectives that are more precisely targeted. However, researchers, physicians, patients and industry have expressed concerns that ill-considered modifications could have unintended consequences in disrupting the current balance and could reduce rather than increase the flow of innovative treatments for rare diseases.</w:t>
      </w:r>
    </w:p>
    <w:p>
      <w:r>
        <w:t>POSSIBLE 2022: Incentives and constraints: a configurational account of European involvement in the anti-Daesh coalition — https://doi.org/10.1017/s1755773921000333</w:t>
      </w:r>
    </w:p>
    <w:p>
      <w:r>
        <w:t>Shared claim-specific concepts: incentives, member, states, literature, legislative; EU scope visible. This is a provisional connection, not an outcome finding.</w:t>
      </w:r>
    </w:p>
    <w:p>
      <w:r>
        <w:t>Available abstract (not full text): Abstract In 2014, the USA initiated the formation of a multilateral military operation against Daesh in Syria and Iraq. Eventually, more than 70 states joined the anti-Daesh coalition. However, contributions to the military effort have been characterized by great variance, especially among EU member states. While some states took leading roles in the airstrikes, others provided training for Iraqi and Kurdish forces, and still others did not get involved beyond voicing their support for the policy. Against this backdrop, this article makes a two-fold contribution to the literature on military coalitions and security policy. Empirically, the article provides a mapping of the then 28 EU member states’ military engagement in the fight against Daesh in Syria and Iraq. Analytically, fuzzy-set Qualitative Comparative Analysis (fsQCA) is applied to account for the observed pattern of military involvement, using an integrative framework that combines international and domestic factors. The results demonstrate that multiple paths led towards EU military involvement in the anti-Daesh coalition. At the same time, international-level incentives, such as external threat and/or alliance value feature prominently in all three identified paths. The analysis further underscores the value of a configurational perspective, because neither an external threat nor alliance value are sufficient on the</w:t>
      </w:r>
    </w:p>
    <w:p>
      <w:r>
        <w:t>POSSIBLE 2021: OPTIMAL INCENTIVES FOR ECONOMIC GROWTH IN CENTRAL EUROPEAN COUNTRIES: A MICRO APPROACH — https://doi.org/10.12775/cjfa.2021.009</w:t>
      </w:r>
    </w:p>
    <w:p>
      <w:r>
        <w:t>Shared claim-specific concepts: incentives, view; EU scope visible. This is a provisional connection, not an outcome finding.</w:t>
      </w:r>
    </w:p>
    <w:p>
      <w:r>
        <w:t>Available abstract (not full text): Financial crisis of 2008 and the ongoing pandemic are continuing to have a negative impact on the economies of all countries even tough interest rates have been decreased significantly. This paper attempted to view the problem from a micro point of view to suggest more effective incentives for growth. The specific objective of the study is to determine and examine the effects of these incentives on economic growth in Central European countries.</w:t>
      </w:r>
    </w:p>
    <w:p>
      <w:r>
        <w:t>POSSIBLE 2021: Encouraging the Development of New Antibiotics: Are Financial Incentives the Right Way Forward? A Systematic Review and Case Study — https://doi.org/10.2147/idr.s287792</w:t>
      </w:r>
    </w:p>
    <w:p>
      <w:r>
        <w:t>Shared claim-specific concepts: right, incentives, literature; EU scope not established. This is a provisional connection, not an outcome finding.</w:t>
      </w:r>
    </w:p>
    <w:p>
      <w:r>
        <w:t>Available abstract (not full text): Antibiotic resistance is an urgent public health threat that has received substantial attention from the world's leading health agencies and national governmental bodies alike. However, despite increasing rates of antibiotic resistance, pharmaceutical companies are reluctant to develop new antibiotics due to scientific, regulatory, and financial barriers. Nonetheless, only a handful of countries have addressed this by implementing or proposing financial incentive models to promote antibiotic innovation. This study is comprised of a systematic review that aimed to understand which antibiotic incentive strategies are most recommended within the literature and subsequently analyzed these incentives to determine which are most likely to sustainably revitalize the antibiotic pipeline. Through a case study of Canada, we apply our incentive analysis to the Canadian landscape to provide decision-makers with a possible path forward. Based on our findings, we propose that Canada support the ongoing efforts of other countries by implementing a fully delinked subscription-based market entry reward. This paper seeks to spark action in Canada by shifting the national paradigm to one where antibiotic research and development is prioritized as a key element to addressing antibiotic resistance.</w:t>
      </w:r>
    </w:p>
    <w:p>
      <w:r>
        <w:t>POSSIBLE 2021: Openness to Industry 4.0 and performance: The impact of barriers and incentives — https://doi.org/10.1016/j.techfore.2021.120756</w:t>
      </w:r>
    </w:p>
    <w:p>
      <w:r>
        <w:t>Shared claim-specific concepts: incentives, literature; EU scope visible. This is a provisional connection, not an outcome finding.</w:t>
      </w:r>
    </w:p>
    <w:p>
      <w:r>
        <w:t>Available abstract (not full text): The impact of barriers and incentives on the relationship between openness to Industry 4.0 and performance have so far received little scholarly attention. As a result, this paper explores this relationship by employing a mixed methods approach. A qualitative analysis using in-depth interviews and multiple case studies identifies prominent barriers and incentives, whilst a quantitative analysis on a representative sample of 500 local manufacturing units in Piedmont (a region of Northern Italy) is undertaken via an OLS regression-based path analysis. The results of the parallel-serial multiple mediation model show that: (1) greater openness to Industry 4.0 is related to better performance; (2) greater openness to Industry 4.0 leads to a higher perception of barriers; (3) greater knowledge-related and economic and financial barriers improve performance, abstracting from the adoption of incentives; and (4) greater openness to Industry 4.0 drives the adoption of incentives. However, perceived economic and financial barriers are found not to drive firms to adopt more incentives. The study contributes to the Industry 4.0 literature by identifying previously unidentified strengths and weaknesses to barriers and incentives, and highlights the necessity of policies that reflect real firms’ needs.</w:t>
      </w:r>
    </w:p>
    <w:p>
      <w:r>
        <w:t>POSSIBLE 2019: Issue Competition without Electoral Incentives? A Study of Issue Emphasis in the European Parliament — https://doi.org/10.1086/704224</w:t>
      </w:r>
    </w:p>
    <w:p>
      <w:r>
        <w:t>Shared claim-specific concepts: right, set, incentives, find, literature; EU scope visible. This is a provisional connection, not an outcome finding.</w:t>
      </w:r>
    </w:p>
    <w:p>
      <w:r>
        <w:t>Available abstract (not full text): Niche party leverage over mainstream party policy agendas is a central theme in the issue competition literature. The literature has underlined that the electoral threat associated with niche party issue mobilization guides mainstream party responses to such niche parties. Yet how do political parties react to issue mobilization in an institutional setting not primarily steered by electoral considerations? We argue that the European Parliament constitutes such a case and study issue competition on the radical right’s core issue: immigration. To establish the leverage of radical right members of the European Parliament (MEPs), we use an original data set of parliamentary questions and motions between 2004 and 2016. Using time-series regression analysis, we find that mainstream party groups do not increase their emphasis of immigration issues in response to radical right MEPs’ issue emphasis. These findings indicate that the institutional context and the perceived electoral threat are crucial for issue competition dynamics.</w:t>
      </w:r>
    </w:p>
    <w:p>
      <w:r>
        <w:t>POSSIBLE 2019: Constrained Waiver of Trial Rights? Incentives to Plead Guilty and the Right to a Fair Trial — https://doi.org/10.1111/jols.12169</w:t>
      </w:r>
    </w:p>
    <w:p>
      <w:r>
        <w:t>Shared claim-specific concepts: right, incentives, literature; EU scope visible. This is a provisional connection, not an outcome finding.</w:t>
      </w:r>
    </w:p>
    <w:p>
      <w:r>
        <w:t>Available abstract (not full text): This article develops an interpretative framework to examine when incentives to plead guilty should be found to constrain defendant choice to waive fair trial rights under the European Convention on Human Rights. This framework is informed by existing jurisprudence, specifically the judgments of the European Court of Human Rights in Natsvlishvili and Togonidze v. Georgia and Deweer v. Belgium , and socio‐legal literature. According to the framework, an incentive to plead guilty should be found to violate fair trial rights where it makes it unreasonable to expect defendants to exercise their right to a full trial, is independent of the projected outcome at trial, and causes the defendant to plead guilty. An empirical analysis of guilty‐plea practice in England and Wales informed by this new framework identifies problematic incentives and suggests such incentives may disproportionately influence vulnerable defendants.</w:t>
      </w:r>
    </w:p>
    <w:p>
      <w:r>
        <w:t>POSSIBLE 2018: Did Europe Move in the Right Direction on E‐waste Legislation? — https://doi.org/10.1111/poms.12894</w:t>
      </w:r>
    </w:p>
    <w:p>
      <w:r>
        <w:t>Shared claim-specific concepts: right, set, incentives, levels, find, additional; EU scope visible. This is a provisional connection, not an outcome finding.</w:t>
      </w:r>
    </w:p>
    <w:p>
      <w:r>
        <w:t>Available abstract (not full text): This study presents an analytical framework of the product take back legislation in the context of product reuse. We characterize existing and proposed forms of E‐waste legislation and compare their environmental and economic performance. Using stylized models, we analyze an OEM's decision about new and remanufactured product quantity in response to the legislative mechanism. We focus on the 2012 waste electrical and electronic equipment directive in Europe, where the policy makers intended to create additional incentives for the product reuse. Through a comparison to the Original 2002 version of the directive, we find that these incentives translate into improved environmental outcomes only for a limited set of products. We also study a proposed policy that advocates a separate target for the product reuse. Our analysis reveals that from an environmental standpoint, the Recast version is always dominated either by the Original policy or by the one that advocates a separate target for product reuse. We show that the benefits of a separate reuse target scheme can be fully replicated with the aid of fiscal levers. Our main message is that there cannot be a single best environmental policy that is suitable for all products. Therefore, the consideration of product attributes is essential in identification of the most appropriate policy tool. This can be done either by the implement</w:t>
      </w:r>
    </w:p>
    <w:p>
      <w:pPr>
        <w:pStyle w:val="Heading2"/>
      </w:pPr>
      <w:r>
        <w:t>Clean Disruption for Abundant Futures - Neo-Carbon Energy Futures Clinique III</w:t>
      </w:r>
    </w:p>
    <w:p>
      <w:r>
        <w:t>Original source (2017): https://doi.org/10.13140/rg.2.2.25471.87200</w:t>
      </w:r>
    </w:p>
    <w:p>
      <w:r>
        <w:t>Original wording (abstract; indexed_source_text_not_full_document_verified): The four transformational scenarios of the Neo-Carbon Energy project were used as material for the groups’ foresight work.</w:t>
      </w:r>
    </w:p>
    <w:p>
      <w:r>
        <w:t>POSSIBLE 2023: Impacts of Carbon Emission Trading Markets on Energy Transformation: A Review of the Existing Literature — https://doi.org/10.56397/jwe.2023.06.04</w:t>
      </w:r>
    </w:p>
    <w:p>
      <w:r>
        <w:t>Shared claim-specific concepts: energy; EU scope not established. This is a provisional connection, not an outcome finding.</w:t>
      </w:r>
    </w:p>
    <w:p>
      <w:r>
        <w:t>Available abstract (not full text): In the current era, carbon emission trading markets seem to be a booster when the global society vigorously advocates energy transformation. Different scholars mainly focus on analyzing the transmission mechanism of carbon emission trading markets on energy transition, the role of carbon emission trading markets on renewable energy, and the impact of carbon emission trading markets with other policies on energy mix. However, the conclusions on whether carbon emission trading markets can indeed contribute to energy transformation vary. Therefore, this article presents research papers on the impact of carbon emission trading markets on energy structure transformation in recent years through literature review and summarizes hot topics to facilitate future scholars to fill the research gap in this field.</w:t>
      </w:r>
    </w:p>
    <w:p>
      <w:r>
        <w:t>POSSIBLE 2021: Why radical transformation is necessary for gender equality and a zero carbon European construction sector — https://doi.org/10.4324/9781003052821-12</w:t>
      </w:r>
    </w:p>
    <w:p>
      <w:r>
        <w:t>Shared claim-specific concepts: energy; EU scope visible. This is a provisional connection, not an outcome finding.</w:t>
      </w:r>
    </w:p>
    <w:p>
      <w:r>
        <w:t>Available abstract (not full text): This chapter is set in the context of European Union (EU) policy to reduce environment carbon emissions through the European Performance of Buildings Directive (EPBD), which – despite EU equality objectives – remains gender-blind and in accordance with ecological modernisation, technology-driven, and oriented to innovation. Difficulties in implementing the EPBD relate to vocational education and training (VET) and the labour process requirements for nearly zero energy building (NZEB). The reasons for the failure of VET and labour market policies and practices to improve the participation of women and what is needed to overcome barriers to their inclusion are highlighted. Combined, the requirements for the inclusion of women and a sustainable construction process, provide the pillars on which a transformed industry can be constructed. In examining local and organisational examples of where women have been successfully included and/or NZEB has been achieved, the ingredients are identified for developing an eco-equitable and socially useful construction sector and the coalition of actors involved – above all the public authorities, VET institutions, unions, women in construction, and environmental organisations.</w:t>
      </w:r>
    </w:p>
    <w:p>
      <w:r>
        <w:t>POSSIBLE 2019: Continuous Transformation and Neo-Carbon Energy Scenarios — https://openalex.org/W2946377064</w:t>
      </w:r>
    </w:p>
    <w:p>
      <w:r>
        <w:t>Shared claim-specific concepts: four, neo-carbon, energy, project, groups; EU scope not established. This is a provisional connection, not an outcome finding.</w:t>
      </w:r>
    </w:p>
    <w:p>
      <w:r>
        <w:t>Available abstract (not full text): This report describes the process and results of Futures Clinique held 22nd May 2015 at Aalto University. At the Futures Clinique − titled Creatively Sustainable Built Environment in Neo-Carbon Energy Worlds − students of Continuous Transformation Course elaborated four tentative scenarios of an on-going Tekes-funded project called Neo-Carbon Energy. The goal of the research project is to explore futures based on renewable energy system. The report begins by describing the method, project, and the theoretical framework. This is followed by the description of the process and results of the Futures Clinique. The nature of change and transformation is also discussed. Working in four groups, the participants focused on a chosen scenario through a multi-staged process. As the report is given to the participants for feedback as well as for further discussion and development, comments on the results are also presented. The conclusive chapter presents observations on transformation and futures learning.</w:t>
      </w:r>
    </w:p>
    <w:p>
      <w:r>
        <w:t>POSSIBLE 2019: TRANSFORMATIONAL ENERGY FUTURES : Neo-Carbon Energy Societal Scenarios — https://openalex.org/W2953412228</w:t>
      </w:r>
    </w:p>
    <w:p>
      <w:r>
        <w:t>Shared claim-specific concepts: four, transformational, neo-carbon, energy, project, used; EU scope visible. This is a provisional connection, not an outcome finding.</w:t>
      </w:r>
    </w:p>
    <w:p>
      <w:r>
        <w:t>Available abstract (not full text): This report presents a set of transformative Neo-Carbon Energy scenarios within a societal context. The scenarios describe how society – social relations, culture, values, economy etc. – may change in a renewable energy system. They depict four different avenues and vistas to the world in 2050 where the energy system is decentralised, based almost 100% on renewable energy and prosumeristic citizens play a central role in a peer-to-peer fashion. The scenarios have been constructed within a Tekes-funded research project Neo-Carbon Energy in co-operation with VTT Technical Research Centre of Finland, Lappeenranta University of Technology (LUT), and Finland Futures Research Centre (FFRC) at University of Turku. The foresight part of the research project explores the futures of an economy based on a new energy system and peer-to-peer society in 2050. The project is one of the strategic research openings of Tekes – the Finnish Funding Agency for Innovation. The report also provides a list of 10 key recommendations, as a reflection to the scenarios, for various stakeholders in order to prepare for the emerging renewable energy transformation – to proactively surf on the winning side in this futures turbulence. They can be used to support and test strategies and decision-making for the transition towards renewable energy world, as well as to identify game changers – transformative lead</w:t>
      </w:r>
    </w:p>
    <w:p>
      <w:r>
        <w:t>POSSIBLE 2019: CLA GAME REPORT : Causal Layered Analysis Game on Neo-Carbon Energy Scenarios — https://openalex.org/W2981863467</w:t>
      </w:r>
    </w:p>
    <w:p>
      <w:r>
        <w:t>Shared claim-specific concepts: four, transformational, neo-carbon, energy, project, used; EU scope visible. This is a provisional connection, not an outcome finding.</w:t>
      </w:r>
    </w:p>
    <w:p>
      <w:r>
        <w:t>Available abstract (not full text): This report describes the process and results of Causal Layered Analysis (CLA) game session held on 11 June 2015 in the International Conference of “Futures Studies Tackling Wicked Problems”, organized by Finland Futures Research Centre in Turku. CLA is a qualitative method developed by Sohail Inayatullah. It enables a deeper investigation of alternative futures through an analysis done through four different layers; litany, system, worldview and myth/metaphor. The method functioned as the theoretical framework for the experimental game session conducted during the conference. The aim of the CLA game was to elaborate on and experiment with four transformational scenarios being developed by Finland Futures Research Centre for an ongoing Neo-Carbon Energy project. The tentative scenarios were constructed in the futures-orientated part of the project “Neo-Carbon Enabling Neo-Growth Society – Transformative Scenarios 2050”. The research project proposes a new emission-free energy solution based on renewables, mainly solar and wind. In the Neo-Carbon Energy system, solar and wind technologies produce energy that is stored in synthetic methane or other synthetic hydrocarbons. Carbon dioxide and hydrogen can also be used as feedstock for chemicals and materials. The society as a whole is expected to be affected by this new mainly distributed production of energy and materials. The for</w:t>
      </w:r>
    </w:p>
    <w:p>
      <w:r>
        <w:t>POSSIBLE 2019: The Fuzzy Futures of Neo-Carbon Work : Neo-Carbon Futures Clinique II — https://openalex.org/W3004377575</w:t>
      </w:r>
    </w:p>
    <w:p>
      <w:r>
        <w:t>Shared claim-specific concepts: four, neo-carbon, energy, project, groups, foresight; EU scope not established. This is a provisional connection, not an outcome finding.</w:t>
      </w:r>
    </w:p>
    <w:p>
      <w:r>
        <w:t>Available abstract (not full text): This report documents and analyses the results of a Neo-Carbon Futures Clinique held at Hotel President in Helsinki 13 April 2016. At the Futures Clinique workshop groups anticipated possible futures of peer-to-peer work that is self-organised by the workers. The Futures Clinique is part of the Neo-Carbon Energy research project. The foresight part of the project is concerned with studying the futures of peer-to-peer societies enabled by the proposed Neo-Carbon energy system. Such a system would be a distributed, renewable energy system that empowers citizens by providing them with cheap, clean and abundant energy and materials. In this project, possible futures of a peer-to-peer society are studied through four scenarios (Heinonen et al. 2016), which provided the framework also for this Futures Clinique. The results of the Futures Clinique were summarised and refined into seven categories, each illuminating different aspects of the possible futures of peer-to-peer work. Common to the categories is the strengthening of values other than economic as the main drivers in economy and society.</w:t>
      </w:r>
    </w:p>
    <w:p>
      <w:r>
        <w:t>POSSIBLE 2019: SURPRISING ENERGY FUTURES : Neo-Carbon Energy Futures Clinique V — https://openalex.org/W2944828902</w:t>
      </w:r>
    </w:p>
    <w:p>
      <w:r>
        <w:t>Shared claim-specific concepts: four, neo-carbon, energy, project, groups, foresight; EU scope visible. This is a provisional connection, not an outcome finding.</w:t>
      </w:r>
    </w:p>
    <w:p>
      <w:r>
        <w:t>Available abstract (not full text): This report describes the process and results of futures clinique Surprising Energy Futures: Anticipating Discontinuities and Testing Resilience of Renewable Energy World with Black Swans, held on 17 May 2017 at Sitra, Helsinki.The event was the fifth futures clinique within the foresight part of the research project Neo-Carbon Enabling Neo-Growth Society -Transformative Scenarios 2050, conducted by Finland Futures Research Centre.The aim of the event was to contribute to the four transformative societal scenarios of Neo-Carbon Energy project.The event consisted of presentations and intermittent working sessions.Dr. Karlheinz Steinmüller discussed the topic of Black Swans and VUCA World, with comments by Prof. Jarno Limnéll.During the working sessions seven groups co-creatively identified discontinuities and their impacts by utilising different foresight methods.Black swans and wild cards -unexpected events with dramatic impacts -were utilised to test the resilience of the renewable energy world.Each group concentrated on a specific topic, through which the uncertain and discontinuous aspects of societal development were observed.The topics were: 1) Politics: nation-states, governments, geopolitics, new ideologies, 2) Corporations and economy, 3) Civil society &amp; peer-to-peer practices, 4) Robotisation &amp; artificial 7. FEN workshop at session 6 -The future of work: An interactive</w:t>
      </w:r>
    </w:p>
    <w:p>
      <w:r>
        <w:t>POSSIBLE 2019: Towards the third industrial revolution : NEO-CARBON ENERGY project Future Clinique I ”Creating the Third Industrial Revolution” 6.5.2015 — https://openalex.org/W2996065642</w:t>
      </w:r>
    </w:p>
    <w:p>
      <w:r>
        <w:t>Shared claim-specific concepts: four, neo-carbon, energy, project; EU scope visible. This is a provisional connection, not an outcome finding.</w:t>
      </w:r>
    </w:p>
    <w:p>
      <w:r>
        <w:t>Available abstract (not full text): This report presents the results of ”Creating the Third Industrial Revolution”, a Futures Clinique organised in Ruoholahti, Helsinki May 6, 2015 at Sitra. Futures Clinique is a distinct futures workshop method. The futures clinique was conducted within a research project NEO-CARBON ENERGY and its futures research part “Neo-Carbon Enabling Neo-Growth Society – Transformative Energy Futures 2050”, funded by Tekes. Around 70 experts participated in the Futures Clinique. The participants included project members, government, business and third sector representatives as well as students. They worked around four tentative scenario sketches until the year 2050 called Radical Startups, Value-driven Techemoths, Green DIY En-gineers and New Consciousness. All of the scenarios are transformative i.e. implying fundamental change and differ more or less radically from the present. The scenario sketches were analysed on a general level and especially with regard to implications for Finland.</w:t>
      </w:r>
    </w:p>
    <w:p>
      <w:r>
        <w:t>POSSIBLE 2019: Hidden carbon costs of the “everywhere war”: Logistics, geopolitical ecology, and the carbon boot‐print of the US military — https://doi.org/10.1111/tran.12319</w:t>
      </w:r>
    </w:p>
    <w:p>
      <w:r>
        <w:t>Shared claim-specific concepts: energy, material; EU scope not established. This is a provisional connection, not an outcome finding.</w:t>
      </w:r>
    </w:p>
    <w:p>
      <w:r>
        <w:t>Available abstract (not full text): This paper examines the US military's impact on climate by analysing the geopolitical ecology of its global logistical supply chains. Our geopolitical ecology framework interrogates the material‐ecological metabolic flows (hydrocarbon‐based fuels, water, sand, concrete) that shape geopolitical and geoeconomic power relations. We argue that to account for the US military as a major climate actor, one must understand the logistical supply chain that makes its acquisition and consumption of hydrocarbon‐based fuels possible. Our paper focuses on the US Defense Logistics Agency – Energy (DLA‐E), a large yet virtually unresearched sub‐agency within the US Department of Defense. The DLA‐E is the primary purchase‐point for hydrocarbon‐based fuels for the US military, as well as a powerful actor in the global oil market. After outlining our geopolitical ecology approach, we detail the scope of the DLA‐E's operations, its supply chain, bureaucratic practices, and the physical infrastructure that facilitates the US military's consumption of hydro‐based carbons on a global scale. We show several “path dependencies” – warfighting paradigms, weapons systems, bureaucratic requirements, and waste – that are put in place by military supply chains and undergird a heavy reliance on carbon‐based fuels by the US military for years to come. The paper, based on comprehensive records of bulk fuel purc</w:t>
      </w:r>
    </w:p>
    <w:p>
      <w:r>
        <w:t>POSSIBLE 2018: Final Neo-Carbon Energy Countdown – Ready for Renewables — https://doi.org/10.13140/rg.2.2.14147.25129</w:t>
      </w:r>
    </w:p>
    <w:p>
      <w:r>
        <w:t>Shared claim-specific concepts: four, neo-carbon, energy, project; EU scope not established. This is a provisional connection, not an outcome finding.</w:t>
      </w:r>
    </w:p>
    <w:p>
      <w:r>
        <w:t>Available abstract (not full text): Renewables-based Neo-Carbon Vision of the world in 2050 portrays an electrified, resilient and secure society with empowered, prosumeristic citizens who upload their surplus energy into smart grids as well as download energy when needed. The following overview on key insights of the Neo-Carbon Energy project on energy futures helps to frame the academic and societal discourse in the years to come. Four scenarios assume a social perspective to open up very different avenues as transformative manifestations of this vision. The vision shows the pre-ferred goal – a renewables-based society – while the scenarios outline alternative expressions and pathways towards the desired vision. Finally, the actors that can make this change happen have to be identified and supported, especially in policy-making, and the role of energy markets re-thought.</w:t>
      </w:r>
    </w:p>
    <w:p>
      <w:pPr>
        <w:pStyle w:val="Heading2"/>
      </w:pPr>
      <w:r>
        <w:t>Decarbonizing Sweden’s energy and transportation system by 2050</w:t>
      </w:r>
    </w:p>
    <w:p>
      <w:r>
        <w:t>Original source (2017): https://doi.org/10.5278/ijsepm.2017.14.2</w:t>
      </w:r>
    </w:p>
    <w:p>
      <w:r>
        <w:t>Original wording (abstract; indexed_source_text_not_full_document_verified): Decarbonizing Sweden’s transportation sector is necessary to realize its long-term vision of eliminating net greenhouse gas (GHG) emissions from the energy system by 2050. Within this context, this study develops two scenarios for the transportation sector: one with high electrification (EVS) and the other with high biofuel and biomethane utilization (BIOS).</w:t>
      </w:r>
    </w:p>
    <w:p>
      <w:r>
        <w:t>POSSIBLE 2026: Decarbonizing transportation with intelligent transportation systems: a systematic review of mechanisms, constraints and deployment pathways — https://doi.org/10.1016/j.apenergy.2026.128493</w:t>
      </w:r>
    </w:p>
    <w:p>
      <w:r>
        <w:t>Shared claim-specific concepts: decarbonizing, transportation, net, emissions, energy, system; EU scope not established. This is a provisional connection, not an outcome finding.</w:t>
      </w:r>
    </w:p>
    <w:p>
      <w:r>
        <w:t>Available abstract (not full text): Transportation decarbonization is increasingly constrained by the diminishing returns of conventional technological measures, prompting growing interest in Intelligent Transportation Systems (ITS) as a means of improving transport efficiency and sustainability. However, prior studies and reviews have largely focused on individual technologies, localized efficiency gains, or specific application scenarios, without adequately explaining whether and through what mechanisms such gains translate into net transportation decarbonization at the system level. This omission is consequential because ITS may simultaneously reduce operational emissions, reshape travel demand, shift emissions across sectors, and generate additional energy consumption through digital infrastructure. To address this gap, this paper systematically reviews the mechanisms through which ITS influences net transportation decarbonization, the constraints on its deployment, and cross-practice variation in its low-carbon effects. Drawing on a core set of 206 English-language publications identified through database searches covering 1990–2025 in the Web of Science Core Collection and IEEE Xplore and reviewed through a PRISMA-informed process, the study identifies three pathways through which ITS contributes to decarbonization: direct technological effects, structural reconfiguration effects, and adjustment and correct</w:t>
      </w:r>
    </w:p>
    <w:p>
      <w:r>
        <w:t>POSSIBLE 2026: A Review of Pricing Strategies for Decarbonizing Transportation — https://doi.org/10.7922/g2wm1bsd</w:t>
      </w:r>
    </w:p>
    <w:p>
      <w:r>
        <w:t>Shared claim-specific concepts: decarbonizing, transportation, system; EU scope not established. This is a provisional connection, not an outcome finding.</w:t>
      </w:r>
    </w:p>
    <w:p>
      <w:r>
        <w:t>Available abstract (not full text): California’s ability to achieve its climate and mobility goals depends on addressing the growing gap between transportation infrastructure needs and the declining effectiveness of traditional fuel tax revenues. As electric vehicle adoption rises, fuel efficiency improves, and demands for resilient, multimodal systems expand, new approaches to transportation funding and demand management are required. This paper examines a range of mobility pricing strategies—including tolling, managed lanes, congestion charges, vehicle-based fees and feebates, distance-based user charges, and parking pricing—to evaluate their potential for enhancing financial sustainability, reducing congestion, and internalizing the environmental and social costs of driving. Particular attention is given to dynamic pricing, which can flexibly manage demand for both road and parking space, and to distance-based charges that offer a more equitable and efficient alternative to fuel taxes. The analysis highlights the importance of revenue allocation to ensure that pricingstrategies not only generate funds but also support equitable investments in sustainable mobility options. While some approaches are well established, others require pilot testing and policy innovation. Given its policy leadership and commitment to climate action, California is well positioned to advance and integrate these strategies, shaping a c</w:t>
      </w:r>
    </w:p>
    <w:p>
      <w:r>
        <w:t>POSSIBLE 2025: Decarbonizing road transportation: Barriers and drivers in an emerging economy context — https://doi.org/10.1016/j.trd.2025.104723</w:t>
      </w:r>
    </w:p>
    <w:p>
      <w:r>
        <w:t>Shared claim-specific concepts: decarbonizing, transportation, sector, greenhouse, gas, emissions; EU scope not established. This is a provisional connection, not an outcome finding.</w:t>
      </w:r>
    </w:p>
    <w:p>
      <w:r>
        <w:t>Available abstract (not full text): The transportation sector ranks as the second-largest contributor to global greenhouse gas emissions , primarily owing to its heavy reliance on fossil fuels . Consequently, the imperative to decarbonize transportation is paramount in the pursuit of sustainable development goals . However, despite its critical importance, research on decarbonization in transportation remains significantly limited. This gap in research is particularly glaring in developing countries, where there is a notable absence of studies addressing the decarbonization challenges within the transport sector. Addressing this research gap, this study aims to investigate the barriers and drivers influencing the decarbonization of the passenger transport sector in an emerging economy context, particularly for Bangladesh. The top three barriers identified include the ’Lack of concrete transportation policy’, ’Lack of decarbonization strategy/policy’, and ’Lack of biofuel refueling station/EV charging station’. These barriers are comprehensively analyzed based on various stakeholder perspectives. In terms of categorical barriers, policy barriers and technical barriers are predominant over other barriers. Despite these challenges, there is a growing interest in decarbonizing the transportation sector, albeit with some limitations. The primary drivers to decarbonize the transport sector include ‘Profitable return on</w:t>
      </w:r>
    </w:p>
    <w:p>
      <w:r>
        <w:t>POSSIBLE 2025: Decarbonizing road freight transportation: recent advances and future trends — https://doi.org/10.1080/01605682.2024.2446655</w:t>
      </w:r>
    </w:p>
    <w:p>
      <w:r>
        <w:t>Shared claim-specific concepts: decarbonizing, transportation, energy; EU scope not established. This is a provisional connection, not an outcome finding.</w:t>
      </w:r>
    </w:p>
    <w:p>
      <w:r>
        <w:t>Available abstract (not full text): This is a survey of decarbonization for road freight transportation. It offers a focused overview of planning models and presents a narrative that contextualizes the journey and evolution of decarbonization efforts. It first reports on recent advances in the field under the classification of operational tactical and strategic planning. It then identifies future trends in the areas of technology, infrastructure, market, behaviour, energy and regulations. The paper closes with a discussion on emerging models and presents a methodological outlook.</w:t>
      </w:r>
    </w:p>
    <w:p>
      <w:r>
        <w:t>POSSIBLE 2024: DECARBONIZING FREIGHT TRANSPORTATION IN BRAZIL: METHODOLOGIES, RESULTS AND PRACTICAL IMPLICATIONS — https://doi.org/10.26668/businessreview/2024.v9i10.4667</w:t>
      </w:r>
    </w:p>
    <w:p>
      <w:r>
        <w:t>Shared claim-specific concepts: decarbonizing, transportation, ghg, emissions, two; EU scope not established. This is a provisional connection, not an outcome finding.</w:t>
      </w:r>
    </w:p>
    <w:p>
      <w:r>
        <w:t>Available abstract (not full text): Objective: The objective of this technological article is to present a practical tool for calculating CO2 emissions based on fuel consumption applied in a small road freight transport company. Theoretical Framework: There are 4 methods available in the literature for calculating CO2 emissions produced during cargo transport, which stand out for their applicability: (1) GHG Procol; (2) MNT; (3) DEFRA; and (4) GLEC. The authors (Leonardi &amp; Baumgartner, 2004; Lewis et al., 2016) have methodologies for calculating emissions from freight transport, which currently present significant variability in the approaches and databases recommended. The main methodologies in this area are based on two main foundations: (1) fuel-based methodologies; (2) activity-based methodologies. Method: The calculation methodology used is based on fuel consumption (bottom-up), which considered the characteristics of the target fleet, the number of vehicles and their technological phase, the actual intensity of fleet use in operation, and real fuel consumption. Results and Discussion: From this initial information, it was possible to obtain the volume of CO2 emissions specific to the fleet, considering vehicles using regular diesel and biodiesel (S10). The results indicated a fleet CO2 emission of 1,643 tons per year with the use of biodiesel (S10), representing a 10.5% reduction compared to the total CO2 e</w:t>
      </w:r>
    </w:p>
    <w:p>
      <w:r>
        <w:t>POSSIBLE 2024: Decarbonization with induced technical change: Exploring the niche potential of hydrogen in heavy transportation — https://doi.org/10.1016/j.jclepro.2024.140743</w:t>
      </w:r>
    </w:p>
    <w:p>
      <w:r>
        <w:t>Shared claim-specific concepts: transportation, sector, energy, one; EU scope visible. This is a provisional connection, not an outcome finding.</w:t>
      </w:r>
    </w:p>
    <w:p>
      <w:r>
        <w:t>Available abstract (not full text): Fuel cells and electric batteries are competing technologies for the energy transition in heavy transportation. We explore the conditions for the survival of a unique technology in the long term. Learning by doing suggests focusing on a single technology while differentiation and decreasing return to scale (cost convexity) favor diversification. Exogenous technical change also plays a role. The interaction between these factors is analyzed in a general model. It is proved that in absence of convexity and exogenous technical change, only one technology is used for the whole transition. We then apply this framework to analyze the competition between fuel-cell electric buses (FCEBs) and battery electric buses (BEB) in the European bus sector, considering both learning by doing and exogenous technical change. The model is calibrated and solved. It is shown that the existence of a niche for FCEBs critically depends on the speed at which cost reductions are achieved. The speed depends both on the size of the niche and the rate of learning by doing for FCEBs. Public policies to decentralize the socially optimal trajectory in terms of carbon tax and subsidies to learning by doing are derived.</w:t>
      </w:r>
    </w:p>
    <w:p>
      <w:r>
        <w:t>POSSIBLE 2024: The Significance of Economic Complexity and Renewable Energy for Decarbonization in Eastern European Countries — https://doi.org/10.3390/en17215271</w:t>
      </w:r>
    </w:p>
    <w:p>
      <w:r>
        <w:t>Shared claim-specific concepts: emissions, energy; EU scope visible. This is a provisional connection, not an outcome finding.</w:t>
      </w:r>
    </w:p>
    <w:p>
      <w:r>
        <w:t>Available abstract (not full text): Emerging states’ path to enhancing the welfare of their citizens has been strongly accompanied by environmental degradation; climate change effects often abrogate their economic results. This zero-sum game must change, and environmental concerns should be considered when the development of a country is discussed and assessed. In this sense, this study’s objective is to analyze the impact of economic complexity and renewable energy consumption in the presence of economic growth and urbanization in selected emerging European countries from 1995 to 2021. We used a multiple-methodologic approach to highlight the supportive effects of economic complexity and renewable energy consumption in mitigating carbon emissions. Furthermore, the effects of economic growth and urbanization were emphasized by applying the cointegration regression (CCR), fully modified OLS, and dynamic OLS (FMOLS–DOLS) approaches. Additionally, we used Driscoll–Kraay estimation regression to test the robustness of our results. The results reveal the beneficial role of renewable energy consumption and economic complexity in the decarbonization process of selected countries. Furthermore, the study highlighted the detrimental influence of urbanization and economic growth, which were feasible considering the emerging status of the countries included in the panel.</w:t>
      </w:r>
    </w:p>
    <w:p>
      <w:r>
        <w:t>POSSIBLE 2024: The Impact of Deep Decarbonization Policy on the Level of Greenhouse Gas Emissions in the European Union — https://doi.org/10.3390/en17051245</w:t>
      </w:r>
    </w:p>
    <w:p>
      <w:r>
        <w:t>Shared claim-specific concepts: greenhouse, gas, emissions, energy, within; EU scope visible. This is a provisional connection, not an outcome finding.</w:t>
      </w:r>
    </w:p>
    <w:p>
      <w:r>
        <w:t>Available abstract (not full text): The Green Deal, a cornerstone of the European Union’s climate goals, sets out to achieve a substantial 55% reduction in greenhouse gas emissions by 2030 compared to 1990 levels. The EU’s decarbonization strategies revolve around three pivotal avenues. First, there is a focus on enhancing energy efficiency and decreasing the energy intensity of economies. Second, concerted efforts are made to diminish the reliance on fossil fuels, particularly within industrial sectors. Lastly, there is a deliberate push to augment the share of renewable energy sources in the final energy consumption mix. These measures collectively aim to propel the decarbonization of EU economies, establishing EU member countries as global leaders in implementing these transformative processes. This manuscript seeks to evaluate the efficacy of three primary decarbonization strategies adopted by EU economies, namely the enhancement in energy efficiency, the promotion of renewable energy consumption and the reduction in fossil fuel consumption. The objective is to discern which strategies wield a decisive influence in achieving decarbonization goals across EU countries. The analysis encompasses all 27 member states of the European Union, spanning from 1990 to 2022, with data sourced from reputable outlets, including Eurostat, Our World in Data and the Energy Institute. Research findings underscore that, in the r</w:t>
      </w:r>
    </w:p>
    <w:p>
      <w:r>
        <w:t>POSSIBLE 2023: Decarbonization potential of future sustainable propulsion—A review of road transportation — https://doi.org/10.1002/ese3.1434</w:t>
      </w:r>
    </w:p>
    <w:p>
      <w:r>
        <w:t>Shared claim-specific concepts: transportation, greenhouse, gas, emissions, energy, system; EU scope not established. This is a provisional connection, not an outcome finding.</w:t>
      </w:r>
    </w:p>
    <w:p>
      <w:r>
        <w:t>Available abstract (not full text): Abstract Modern automotive propulsion technologies must achieve the highest CO 2 reduction potential quickly to abide by the requirements of the Paris Climate Agreement. A collective utilization of renewable fuels, e‐fuels, hydrogen, and electrical energy will be able to meet different mobility and transport requirements in an optimal and CO 2 ‐neutral approach. The well‐to‐wheel greenhouse gas emissions of a propulsion system are determined by two factors, that is, the energy efficiency of the system and the carbon intensity of the energy source. Regardless of the CO 2 emission generated during the battery manufacturing and recycling process, the carbon intensity of the battery electric vehicles during operation is mainly decided by the carbon intensity of the electricity being consumed. The relatively low fleet ratios of battery electric and hydrogen‐powered vehicles and the massive remaining useful life of current internal combustion engine vehicle stock limit their impact on decarbonization in the near term. The expansion of charging infrastructure requires significant acceleration for the success of large‐scale and rapid electric vehicle adoption. For internal combustion engines, the focus is to further improve energy efficiency and the adoption of low‐to‐zero carbon renewable fuels. Hybrid and plug‐in hybrid vehicles are demonstrating the advantages of combining state‐of‐</w:t>
      </w:r>
    </w:p>
    <w:p>
      <w:r>
        <w:t>POSSIBLE 2023: Electrification of onshore power systems in maritime transportation towards decarbonization of ports: A review of the cold ironing technology — https://doi.org/10.1016/j.rser.2023.113243</w:t>
      </w:r>
    </w:p>
    <w:p>
      <w:r>
        <w:t>Shared claim-specific concepts: transportation, high, electrification; EU scope not established. This is a provisional connection, not an outcome finding.</w:t>
      </w:r>
    </w:p>
    <w:p>
      <w:r>
        <w:t>Available abstract (not full text): Cold ironing is a remarkable electrification innovation in the maritime industry for ship transportation, in which diesel engines driving ship generators for onboard load are switched to shore-supplied electricity during berthing. This facility serves not only as an alternative power supply for electric ships but also as part of the green port's strategy. Cold ironing installation is expected to be unavoidable in the long term for all port operators due to stringent emission policies. Even though cold ironing is used by a few ports across the world, it is still regarded as an underutilized technology due to the high upfront cost associated with the shoreside installation and ship's retrofitting, as well as unclear benefits for both sides. The involvement of diverse types of ships with different power requirements, various operational schemes, unpredictable berthing hours, uncertainty in the availability of local power sources, and synchronization issues among others make it very complex to coordinate for optimal cold ironing operations, which necessitate further investigations. This review gives an overview of cold ironing technology, including its operation, power requirement, standardization, challenges, and important assessment for evaluation. A cold ironing implementation strategy to achieve the ultimate seaport decarbonization goal through a synergy between cold ironing an</w:t>
      </w:r>
    </w:p>
    <w:p>
      <w:r>
        <w:t>POSSIBLE 2023: Decarbonization Prospects for the European Pulp and Paper Industry: Different Development Pathways and Needed Actions — https://doi.org/10.3390/en16020746</w:t>
      </w:r>
    </w:p>
    <w:p>
      <w:r>
        <w:t>Shared claim-specific concepts: sector, emissions, energy, electrification, other; EU scope visible. This is a provisional connection, not an outcome finding.</w:t>
      </w:r>
    </w:p>
    <w:p>
      <w:r>
        <w:t>Available abstract (not full text): The pulp and paper industry (PPI) has several opportunities to contribute to meeting prevailing climate targets. It can cut its own CO2 emissions, which currently account for 2% of global industrial fossil CO2 emissions, and it has an opportunity to produce renewable energy, fuels, and materials for other sectors. The purpose of this study is to improve understanding of the decarbonization prospects of the PPI. The study provides insights on the magnitude of needed annual renewal rates for several possible net-zero target years of industrial fossil CO2 emissions in the PPI and discusses decarbonization opportunities, namely, energy and material efficiency improvement, fuel switching, electrification, renewable energy production, carbon capture, and new products. The effects of climate policies on the decarbonization opportunities are critically evaluated to provide an overview of the current and future business environment of the European PPI. The focus is on Europe, but other regions are analyzed briefly to widen the view. The analysis shows that there are no major technical barriers to the fossil-free operation of the PPI, but the sector renovates slowly, and many new opportunities are not implemented on a large scale due to immature technology, poor economic feasibility, or unclear political environment.</w:t>
      </w:r>
    </w:p>
    <w:p>
      <w:r>
        <w:t>POSSIBLE 2021: Hydrogen is Essential for Industry and Transportation Decarbonization — https://doi.org/10.1149/2.f18214if</w:t>
      </w:r>
    </w:p>
    <w:p>
      <w:r>
        <w:t>Shared claim-specific concepts: decarbonizing, transportation, sector, energy, high; EU scope not established. This is a provisional connection, not an outcome finding.</w:t>
      </w:r>
    </w:p>
    <w:p>
      <w:r>
        <w:t>Available abstract (not full text): Hydrogen will play a critical role in a future comprehensive energy portfolio; hydrogen will be the decarbonizing tie between the different energy production sources and their end uses. Hydrogen acts as a zero-carbon energy carrier to couple energy sources and end uses. This provides the methodology to decarbonize the major energy consumption sectors of (1) the electric grid, (2) transportation and (3) industrial processes. It can provide energy storage supporting intermittent renewable power and cost-effective energy resilience; it enables the massive and seasonal energy storage that is required for a zero-emissions electric grid. It can be used in the transportation sector, especially for heavy-duty transportation where long ranges and fast refueling are critical. Renewable hydrogen is critical to decarbonize industrial processes that have needs for high temperature, chemical reduction and refining and chemical feedstocks. Hydrogen is potentially the only viable method to decarbonize all sectors of the economy simultaneously.</w:t>
      </w:r>
    </w:p>
    <w:p>
      <w:pPr>
        <w:pStyle w:val="Heading2"/>
      </w:pPr>
      <w:r>
        <w:t>Development and transport implications of automated vehicles in the Netherlands: scenarios for 2030 and 2050</w:t>
      </w:r>
    </w:p>
    <w:p>
      <w:r>
        <w:t>Original source (2017): https://doi.org/10.18757/ejtir.2017.17.1.3180</w:t>
      </w:r>
    </w:p>
    <w:p>
      <w:r>
        <w:t>Original wording (abstract; indexed_source_text_not_full_document_verified): Penetration rates are expected to vary among different scenarios between 1% and 11% (mainly conditionally automated vehicles) in 2030 and between 7% and 61% (mainly fully automated vehicles) in 2050. This study uses scenario analysis to identify plausible future development paths of automated vehicles in the Netherlands and to estimate potential implications for traffic, travel behaviour and transport planning on a time horizon up to 2030 and 2050.</w:t>
      </w:r>
    </w:p>
    <w:p>
      <w:r>
        <w:t>POSSIBLE 2026: Electric Vehicle Fleet Penetration and Air Pollution Mortality in Europe — https://doi.org/10.32388/vkflrm</w:t>
      </w:r>
    </w:p>
    <w:p>
      <w:r>
        <w:t>Shared claim-specific concepts: penetration, rates, expected, between, vehicles; EU scope visible. This is a provisional connection, not an outcome finding.</w:t>
      </w:r>
    </w:p>
    <w:p>
      <w:r>
        <w:t>Available abstract (not full text):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(not sales),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but not the only one. In addition, geographic and meteorological factors dominate pollution patterns, while many countries bundle vehicle electrification with comprehensive policies addressing all emission sources. These findings, however, prove that electric vehicles have a positive effect on air quality and reduce mortality. The replacement of internal combustion engine vehicles with electric ones must proceed as fast as possible in order to reduce pollution-related mortality, but it must be coupled with other pollution abatement measures.</w:t>
      </w:r>
    </w:p>
    <w:p>
      <w:r>
        <w:t>POSSIBLE 2026: Electric Vehicle Fleet Penetration and Air Pollution Mortality in Europe — https://doi.org/10.32388/vkflrm.2</w:t>
      </w:r>
    </w:p>
    <w:p>
      <w:r>
        <w:t>Shared claim-specific concepts: penetration, rates, expected, between, vehicles; EU scope visible. This is a provisional connection, not an outcome finding.</w:t>
      </w:r>
    </w:p>
    <w:p>
      <w:r>
        <w:t>Available abstract (not full text): The transition to electric vehicles is widely promoted as contributing to the reduction of urban air pollution and climate change. This study examines the correlation between electric vehicle fleet penetration and premature deaths from air pollution (PM2.5 exposure) across 28 European countries. Using 2023-2024 data on actual vehicle fleet composition, we find a statistically significant negative correlation (r = -0.465, p = 0.013). Nordic countries show high EV penetration (Norway 28%, Denmark 12.1%) with low mortality rates (6.6 and 18.3 deaths per 100,000 respectively), while Eastern European countries exhibit &lt;1% EV penetration with 70-145 deaths per 100,000. This result was expected for several reasons, the main one being that car exhaust is a major factor in air pollution in urban areas. These findings are consistent with the hypothesis that higher electric vehicle fleet penetration is associated with lower air pollution mortality, even though there are other factors that influence the trend.</w:t>
      </w:r>
    </w:p>
    <w:p>
      <w:r>
        <w:t>POSSIBLE 2024: Future electricity demand for Europe: Unraveling the dynamics of the Temperature Response Function — https://doi.org/10.1016/j.apenergy.2024.123387</w:t>
      </w:r>
    </w:p>
    <w:p>
      <w:r>
        <w:t>Shared claim-specific concepts: penetration, rates, expected; EU scope visible. This is a provisional connection, not an outcome finding.</w:t>
      </w:r>
    </w:p>
    <w:p>
      <w:r>
        <w:t xml:space="preserve">Available abstract (not full text):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r>
        <w:t>POSSIBLE 2024: Multi-V2X: A Large Scale Multi-modal Multi-penetration-rate Dataset for Cooperative Perception — https://doi.org/10.48550/arxiv.2409.04980</w:t>
      </w:r>
    </w:p>
    <w:p>
      <w:r>
        <w:t>Shared claim-specific concepts: penetration, rates, vehicles, potential; EU scope not established. This is a provisional connection, not an outcome finding.</w:t>
      </w:r>
    </w:p>
    <w:p>
      <w:r>
        <w:t>Available abstract (not full text): Cooperative perception through vehicle-to-everything (V2X) has garnered significant attention in recent years due to its potential to overcome occlusions and enhance long-distance perception. Great achievements have been made in both datasets and algorithms. However, existing real-world datasets are limited by the presence of few communicable agents, while synthetic datasets typically cover only vehicles. More importantly, the penetration rate of connected and autonomous vehicles (CAVs) , a critical factor for the deployment of cooperative perception technologies, has not been adequately addressed. To tackle these issues, we introduce Multi-V2X, a large-scale, multi-modal, multi-penetration-rate dataset for V2X perception. By co-simulating SUMO and CARLA, we equip a substantial number of cars and roadside units (RSUs) in simulated towns with sensor suites, and collect comprehensive sensing data. Datasets with specified CAV penetration rates can be obtained by masking some equipped cars as normal vehicles. In total, our Multi-V2X dataset comprises 549k RGB frames, 146k LiDAR frames, and 4,219k annotated 3D bounding boxes across six categories. The highest possible CAV penetration rate reaches 86.21%, with up to 31 agents in communication range, posing new challenges in selecting agents to collaborate with. We provide comprehensive benchmarks for cooperative 3D object detection t</w:t>
      </w:r>
    </w:p>
    <w:p>
      <w:r>
        <w:t>POSSIBLE 2023: Investigation into Factors Affecting Penetration Rate and Favorable Ground Types of Pipe Jacking — https://doi.org/10.2174/18748368-v17-2305300-2022-24</w:t>
      </w:r>
    </w:p>
    <w:p>
      <w:r>
        <w:t>Shared claim-specific concepts: penetration, among, identify; EU scope not established. This is a provisional connection, not an outcome finding.</w:t>
      </w:r>
    </w:p>
    <w:p>
      <w:r>
        <w:t>Available abstract (not full text): Introduction: Improper assessment of the penetration rate (PR) of pipe jacking (PJ) may lead to serious schedule delays and cost overruns. In the current practice, PR is estimated on the basis of the experience of practitioners. This has resulted in predicted PR values that are not consistent with the actual ones. A guideline that can be used to reliably predict PR and account for the effects of the significantly controlling factors is not available. This negatively affects the estimated project time and cost. The problems stem from the many factors that affect PR such as the ground conditions, installation depth, machine type, operator experience, and pipe diameter. Little research has been made in this regard. So this research will focus on two main objectives; the first is to identify, categorize and rank the factors that affect PR, and the second is to investigate the common types of ground and PJ machines in Egypt and the Middle East to determine the favorable ground types for PJ machines. Methods: To determine the factors that affect the PR of PJ and their relative importance, interviews were made with 17 PJ experts in Egypt. Then, a questionnaire was sent to 149 PJ experts in Egypt and the Middle East. The obtained responses were analyzed and the relative importance of all factors was determined. Based on the interviews with experts and the questionnaire survey, the favo</w:t>
      </w:r>
    </w:p>
    <w:p>
      <w:r>
        <w:t>POSSIBLE 2021: The Broadband Penetration in Europe — https://doi.org/10.57017/jaes.v16.3(73).07</w:t>
      </w:r>
    </w:p>
    <w:p>
      <w:r>
        <w:t>Shared claim-specific concepts: penetration, expected, different, estimate; EU scope visible. This is a provisional connection, not an outcome finding.</w:t>
      </w:r>
    </w:p>
    <w:p>
      <w:r>
        <w:t>Available abstract (not full text): In this article we estimate the determinants of broadband penetration in Europe. We use data from the European Innovation Scoreboard of the European Commission for 37 countries in the period 2010-2019. We apply Panel Data with Fixed Effects, Panel Data with Random Effects, WLS, OLS and Dynamic Panel. We found that the level of “Broadband Penetration” in Europe is positively associated to “Enterprises Providing ICT Training”, “Innovative Sales Share”, “Intellectual Assets”, “Knowledge-Intensive Service Exports”, “Turnover Share SMEs”, “Innovation Friendly Environment” and negatively associated with “Government procurement of advanced technology products”, “Sales Impact”, “Firm Investments”, “Opportunity-Driven Entrepreneurship”, “Most Cited Publications”, “Rule of Law”. In adjunct we perform a clusterization with k-Means algorithm optimized with the Silhouette Coefficient and we find the presence of three different clusters. Finally, we apply eight machine learning algorithms to predict the level of “Broadband Penetration” in Europe and we find that the Polynomial Regression algorithm is the best predictor and that the level of the variable is expected to increase of 10,4%.</w:t>
      </w:r>
    </w:p>
    <w:p>
      <w:r>
        <w:t>POSSIBLE 2021: DEM study of particle scale and penetration rate on the installation mechanisms of screw piles in sand — https://doi.org/10.1016/j.compgeo.2021.104380</w:t>
      </w:r>
    </w:p>
    <w:p>
      <w:r>
        <w:t>Shared claim-specific concepts: penetration, different, behaviour; EU scope not established. This is a provisional connection, not an outcome finding.</w:t>
      </w:r>
    </w:p>
    <w:p>
      <w:r>
        <w:t>Available abstract (not full text): Screw piles are efficient anchors to sustain large uplift loads and can be installed with low noise or vibration. Screw piles dimensions are currently increasing, renewing research interest to reduce the installation requirements (torque and crowd or vertical force). The Discrete Element Method (DEM) is an ideal technique to investigate the complex soil behaviour during screw pile installation. Different techniques such as particle upscaling or increase of pile penetration rate have been used to reduce the CPU time to more acceptable durations (e.g. few days or weeks). This paper investigates how such techniques can affect the accuracy of the results and change the installation mechanisms. Results show that maintaining a low particle scaling factor is essential to reproduce the correct mechanism at low pile advancement ratio (AR, defined as the vertical displacement per rotation divided by the helix pitch). The pile overflighting (AR ≤ 1) creates an upwards movement of particles, which in turn creates some tension in the pile. Smaller advancement ratios require smaller particles to accurately capture this effect. Results also show that the pile penetration rate must be maintained relatively low to avoid spurious inertial effects.</w:t>
      </w:r>
    </w:p>
    <w:p>
      <w:r>
        <w:t>POSSIBLE 2021: Cosmetics Europe evaluation of 6 in silico skin penetration models — https://doi.org/10.1016/j.comtox.2021.100177</w:t>
      </w:r>
    </w:p>
    <w:p>
      <w:r>
        <w:t>Shared claim-specific concepts: penetration, different, between; EU scope visible. This is a provisional connection, not an outcome finding.</w:t>
      </w:r>
    </w:p>
    <w:p>
      <w:r>
        <w:t>Available abstract (not full text): The ADME TF aims to develop in silico skin penetration models using in vitro human skin penetration data for 25 chemicals solubilized in wataer. Since there are widely differing opinions on different in silico models, we evaluated 3 open source (DermWin™, CDC and the University of Surrey models) and 3 commercial models (DSkin, SimCyp and TCAT). Simulation of cutaneous distribution used a finite dose exposure scenario. None of the models adequately predicted the amount of chemical that evaporated. This was important since the prediction of dermal delivery (DD) was improved when the evaporated amount was accounted for in the simulations. The ability to predict the amounts in skin layers varied between models, and the DD were generally over-predicted by 4 models and under-predicted by 1 model. Interestingly, measured partition and diffusion coefficients for the stratum corneum (SC) improved the DD prediction by one model from R2 = 0.23 to R2 = 0.57, while DD was predicted well by other models using QSAR values with higher R2 = 0.80. The effect of ethanol on DD was indicated by 5 of the models used, although they all over-predicted the DD. In conclusion, our evaluation highlighted important differences in 6 models and identified required improvement of in silico models.</w:t>
      </w:r>
    </w:p>
    <w:p>
      <w:r>
        <w:t>POSSIBLE 2021: Experimental and HIL investigation of under-frequency and rate of change of frequency load shedding schemes in interconnected networks with high penetration of renewable generation — https://doi.org/10.1049/icp.2021.1898</w:t>
      </w:r>
    </w:p>
    <w:p>
      <w:r>
        <w:t>Shared claim-specific concepts: penetration, expected, different; EU scope visible. This is a provisional connection, not an outcome finding.</w:t>
      </w:r>
    </w:p>
    <w:p>
      <w:r>
        <w:t>Available abstract (not full text): Under-frequency Load Shedding Schemes (UFLS) are a well-established part of any under-frequency defence plan. Their future effectiveness in systems with increased penetration of renewable energy sources without rotating mass should however be questioned: lower inertia implies higher frequency gradients; more power electronics implies higher harmonics. Both factors will concur to make frequency measurements and short relay operation times more challenging: In this contribution, the impact of the penetration of renewable sources on the rate of change of frequency (RoCoF) in continental Europe has been simulated with the dynamic ENTSO-E model for different penetration levels, confirming the higher RoCoF and lower frequency nadir to be expected in case of large disturbances. The operation of the current UFLS scheme is included in the model and has been compared with a scheme incorporating a RoCoF criterion. The authors have also performed laboratory tests in order to assess the use of RoCoF-based load shedding as an improvement to frequency-only based load shedding schemes. Central European transmission and distribution system operators have established joint bodies for agreeing on the best evolution of underfrequency defence plans: challenges include frequency measurement and correct coordination of several control schemes and approaches within the CE transmission system community</w:t>
      </w:r>
    </w:p>
    <w:p>
      <w:r>
        <w:t>POSSIBLE 2021: Penetration rates of new pharmaceutical products in Europe: A comparative study of several classes recently launched in type-2 diabetes — https://doi.org/10.1016/j.ando.2020.12.009</w:t>
      </w:r>
    </w:p>
    <w:p>
      <w:r>
        <w:t>Shared claim-specific concepts: penetration, rates, different, between, potential; EU scope visible. This is a provisional connection, not an outcome finding.</w:t>
      </w:r>
    </w:p>
    <w:p>
      <w:r>
        <w:t>Available abstract (not full text): Different countries have their own systems for evaluating new medicines, and they make decisions as to when and how each new medicine is adopted. To compare the rate of uptake of new diabetes medicines (dipeptidyl peptidase-4 inhibitors [DPP-4Is], glucagon-like peptide-1 receptor agonists [GLP1-RAs], and sodium-glucose co-transporter-2 inhibitors [SGLT2Is]) in the five most populated European countries. The monthly volume of sales of antidiabetic drugs was extracted for each country from the IQVIA™ MIDAS® database for the period 2007 to 2016 and the defined daily doses (DDDs) were calculated. For each new drug, market shares were expressed as a percentage of the total market of non-insulin antidiabetic agents. Sharp differences were observed between the countries. Overall, the highest and fastest rates of uptake were seen for Germany and Spain, compared to lower rates for the UK and Italy. This was especially marked for DPP-4Is, where the market share reached over 30% of non-insulin antidiabetic drugs in Germany and Spain, compared to around 10% in the UK and Italy. In France, there was an initial rapid uptake, which stabilized at around 20% after three years. Rates of uptake were lower for the other drugs, with the GLP1-RAs reaching a market share of 2.5–4.5% in Germany, Spain and France, compared to less than 2.5% in the UK and Italy. The SGLT2Is reached a market share of 5–8</w:t>
      </w:r>
    </w:p>
    <w:p>
      <w:r>
        <w:t>POSSIBLE 2020: Electricity demand and carbon emission in power generation under high penetration of electric vehicles. A European Union perspective — https://doi.org/10.1016/j.egyr.2020.09.025</w:t>
      </w:r>
    </w:p>
    <w:p>
      <w:r>
        <w:t>Shared claim-specific concepts: penetration, expected, vehicles, identify, transport; EU scope visible. This is a provisional connection, not an outcome finding.</w:t>
      </w:r>
    </w:p>
    <w:p>
      <w:r>
        <w:t>Available abstract (not full text): The European Union has set targets to reduce the greenhouse gases emissions in total energy consumption as a part of the securing the clean energy initiative and the efforts of carbon emissions reductions of 90%, compared to the 1990 ones, until 2050. The transport sector is particularly exacerbating the above problems. Focusing on their fight, European authorities have invested and continue to invest in electric propulsion. In the European Union, electric mobility has grown tremendously in the last decade. Specifically, more and more automobile industries are turning their interest in electric technology to replace conventional cars which they use internal combustion engine. This study tries to evaluate the impact of the electric vehicle penetration in the electricity demand and related emissions inside the EU, in three steps. First, the penetration of electric vehicles into the Union is evaluated through literature review, then the impact in electricity demand due to the electric vehicles penetration is estimated and finally the emission of carbon dioxide gases allocated to these changes in the electricity demand are calculated based on official data published by EuroStat. The results were calculated using the most common prognostic tools in order to identify the expected trends, and showed that the future electrification in transportation will support the efforts on reducing</w:t>
      </w:r>
    </w:p>
    <w:p>
      <w:r>
        <w:t>POSSIBLE 2019: Adoption of Cooperative Intelligent Transport Systems in Flemish passenger cars: a review of European Policy Options — https://doi.org/10.1109/ctte-fitce.2019.8894817</w:t>
      </w:r>
    </w:p>
    <w:p>
      <w:r>
        <w:t>Shared claim-specific concepts: penetration, rates, expected, vehicles, traffic, transport; EU scope visible. This is a provisional connection, not an outcome finding.</w:t>
      </w:r>
    </w:p>
    <w:p>
      <w:r>
        <w:t>Available abstract (not full text): Cooperative Intelligent Transportation Systems (C-ITS) enable vehicles to be aware of objects that are not in line of sight, by interacting directly with each other and the surrounding road infrastructure. C-ITS promise to reduce traffic congestion, lessen the environmental impact of transportation, and most importantly, significantly reduce the number of (lethal) traffic accidents. As C-ITS is subject to strong network effects, adoption of C-ITS is a key driver of its (societal) benefits. Therefore, this paper estimates penetration rates of C-ITS equipped cars in the car park of Flanders, Belgium. Based on the preferred policy option with mandatory adoption, as proposed in the recent new Delegated Regulation of the European Commission, full penetration of C-ITS in the Flemish car park is expected later than twenty years after the mandate enters into force. Determination of C-ITS adoption numbers is valuable for a number of stakeholders, such as national and local governments, road authorities, technology providers and network operators. Additionally, penetration numbers allow Member States to ascertain to what extent C-ITS can contribute to the goal of zero traffic mortalities by 2050, as envisioned by the European Commission.</w:t>
      </w:r>
    </w:p>
    <w:p>
      <w:pPr>
        <w:pStyle w:val="Heading2"/>
      </w:pPr>
      <w:r>
        <w:t>European human‐dominated landscapes provide ample space for the recolonization of large carnivore populations under future land change scenarios</w:t>
      </w:r>
    </w:p>
    <w:p>
      <w:r>
        <w:t>Original source (2017): https://doi.org/10.1111/ecog.02223</w:t>
      </w:r>
    </w:p>
    <w:p>
      <w:r>
        <w:t>Original wording (abstract; indexed_source_text_not_full_document_verified): Third, we projected permanent occurrences into the future across a range of land‐use change scenarios.</w:t>
      </w:r>
    </w:p>
    <w:p>
      <w:r>
        <w:t>POSSIBLE 2024: Tipping points and farmer decision-making in European permanent grassland (PG) agricultural systems — https://doi.org/10.1016/j.jrurstud.2024.103364</w:t>
      </w:r>
    </w:p>
    <w:p>
      <w:r>
        <w:t>Shared claim-specific concepts: permanent, across, land, use; EU scope visible. This is a provisional connection, not an outcome finding.</w:t>
      </w:r>
    </w:p>
    <w:p>
      <w:r>
        <w:t>Available abstract (not full text): Permanent grasslands (PG) provide multifunctional ecosystem services (ES) in Europe and globally, which are threatened by both increased farming intensity and land use change in marginal areas. Farm management decisions can represent critical thresholds, or behavioural “tipping points”, in the agricultural system. Decisions are influenced by a combination of agronomic, policy and social factors. Transformation of PG systems can be facilitated through positive tipping points and relevant policy implementation to ensure sustainable PG systems. The aim of this research was to understand the drivers of decisions regarding land use changes and management towards critical positive and negative tipping points across five biogeographic zones in Europe. Interview methodology assessed farmers’ preferences and priorities regarding the adoption of sustainable PG systems. Participants were selected from five case study countries, each representing a different biogeographic zone in Europe (Continental/Pannonian: Czech Republic, Boreal: Sweden, Mediterranean: Spain, Alpine: Switzerland, and Atlantic: UK). The sample also covered three farming intensity types within these biogeographic zones: high input/intensive conventional farms (≥1.0 LU/ha); low input/extensive conventional farms (&lt;1.0 LU/ha); and certified organic farms. In total, 373 farm interviews were obtained from the case study coun</w:t>
      </w:r>
    </w:p>
    <w:p>
      <w:r>
        <w:t>POSSIBLE 2022: The European Registry for Patients with Mechanical Circulatory Support of the European Association for Cardio-Thoracic Surgery: third report — https://doi.org/10.1093/ejcts/ezac032</w:t>
      </w:r>
    </w:p>
    <w:p>
      <w:r>
        <w:t>Shared claim-specific concepts: third, range; EU scope visible. This is a provisional connection, not an outcome finding.</w:t>
      </w:r>
    </w:p>
    <w:p>
      <w:r>
        <w:t>Available abstract (not full text): OBJECTIVES: In the third report of the European Registry for Patients with Mechanical Circulatory Support of the European Association for Cardio-Thoracic Surgery, outcomes of patients receiving mechanical circulatory support are reviewed in relation to implant era. METHODS: Procedures in adult patients (January 2011-June 2020) were included. Patients from centres with &lt;60% follow-ups completed were excluded. Outcomes were stratified into 3 eras (2011-2013, 2014-2017 and 2018-2020). Adverse event rates (AERs) were calculated and stratified into early phase (&lt;3 months) and late phase (&gt;3 months). Risk factors for death were explored using univariable Cox regression with a stepwise time-varying hazard ratio (&lt;3 vs &gt;3 months). RESULTS: In total, 4834 procedures in 4486 individual patients (72 hospitals) were included, with a median follow-up of 1.1 (interquartile range: 0.3-2.6) years. The annual number of implants (range: 346-600) did not significantly change (P = 0.41). Both Interagency Registry for Mechanically Assisted Circulatory Support class (classes 4-7: 23, 25 and 33%; P &lt; 0.001) and in-hospital deaths (18.5, 17.2 and 11.2; P &lt; 0.001) decreased significantly between eras. Overall, mortality, transplants and the probability of weaning were 55, 25 and 2% at 5 years after the implant, respectively. Major infections were mainly noted early after the implant occurred (AER&lt;3 mon</w:t>
      </w:r>
    </w:p>
    <w:p>
      <w:r>
        <w:t>POSSIBLE 2020: European Union Responses to the Covid-19 Pandemic: adaptability in times of Permanent Emergency — https://doi.org/10.1080/07036337.2020.1853120</w:t>
      </w:r>
    </w:p>
    <w:p>
      <w:r>
        <w:t>Shared claim-specific concepts: permanent, across; EU scope visible. This is a provisional connection, not an outcome finding.</w:t>
      </w:r>
    </w:p>
    <w:p>
      <w:r>
        <w:t>Available abstract (not full text): Exploring the challenges of Covid-19 for the European Union (EU) during March-August 2020, this article argues that contrary to prior crises the EU has demonstrated a certain degree of adaptability to a ‘permanent’ emergency mode. This adaptability varies across policy areas under study. Inter-crisis learning has been higher in state aid and economic governance than in the area of Schengen. Discursive shifts co-exist and have been central to the areas of cybercrime, economic governance and climate change. Additionally, and despite the tensions, there are signs of renewed political commitment to the European project and an acceleration of decisions and initiatives that had been decided or discussed before the pandemic. Although de-politicization and politicization trends continue to co-exist, we observe politicization at the top with European elites perceiving the Covid-19 emergency as an existential threat for the EU. Finally, we argue that the EU’s adaptability and acceleration of prior trends do not necessarily involve a race that favor supranational tendencies.</w:t>
      </w:r>
    </w:p>
    <w:p>
      <w:r>
        <w:t>POSSIBLE 2018: Projected shift of Köppen–Geiger zones in the central Europe: A first insight into the implications for ecosystems and the society — https://doi.org/10.1002/joc.5520</w:t>
      </w:r>
    </w:p>
    <w:p>
      <w:r>
        <w:t>Shared claim-specific concepts: permanent, land; EU scope visible. This is a provisional connection, not an outcome finding.</w:t>
      </w:r>
    </w:p>
    <w:p>
      <w:r>
        <w:t>Available abstract (not full text): We examined a future change of Köppen–Geiger climate classification zones in central Europe in the 21st century using the high‐resolution (10 km) bias‐corrected simulations of two regional climate models following the IPCC SRES A1B emission scenario. Temperate oceanic climate (Cfb) will remain the dominant climate type in central Europe but it will extent into higher altitudes and replace boreal or colder climate types that will practically vanish by the end of the 21st century. There is a risk of large‐scale expansion of humid subtropical (Cfa) climate in lower altitudes where 20–50% of population lives nowadays. In the end of the century the majority of arable land and permanent crops areas will be in the Cfa zone. A growing occurrence of Cfa‐like or Mediterranean climate‐like (Csa) years will reach up to 50% at some locations where 1.4 million people live today. Almost all agriculturally important areas and two thirds of the current population will be exposed to the occurrence of Cfa‐ and Csa‐like years at least once in 10 years which may result into a lower production of rain‐fed crops as it was the case of of Cfa‐ and Csa‐like years of 2000, 2012 and 2015.</w:t>
      </w:r>
    </w:p>
    <w:p>
      <w:pPr>
        <w:pStyle w:val="Heading2"/>
      </w:pPr>
      <w:r>
        <w:t>Future life expectancy in 35 industrialised countries: projections with a Bayesian model ensemble</w:t>
      </w:r>
    </w:p>
    <w:p>
      <w:r>
        <w:t>Original source (2017): https://doi.org/10.1016/s0140-6736(16)32381-9</w:t>
      </w:r>
    </w:p>
    <w:p>
      <w:r>
        <w:t>Original wording (abstract; indexed_source_text_not_full_document_verified): The female life expectancy advantage over men is likely to shrink by 2030 in every country except Mexico, where female life expectancy is predicted to increase more than male life expectancy, and in Chile, France, and Greece where the two sexes will see similar gains. We applied this approach to project age-specific mortality to 2030 in 35 industrialised countries with high-quality vital statistics data.</w:t>
      </w:r>
    </w:p>
    <w:p>
      <w:r>
        <w:t>POSSIBLE 2024: Deciphering the sex gap in global life expectancy: the impact of female-specific cancers 1990-2019 — https://doi.org/10.1093/jnci/djae191</w:t>
      </w:r>
    </w:p>
    <w:p>
      <w:r>
        <w:t>Shared claim-specific concepts: female, life, expectancy, advantage, over, country; EU scope visible. This is a provisional connection, not an outcome finding.</w:t>
      </w:r>
    </w:p>
    <w:p>
      <w:r>
        <w:t>Available abstract (not full text): BACKGROUND: Females live longer than males, which results in a sex gap in life expectancy. This study examines the contribution of female cancers to this differential by world region and country over the period 1990-2019 with special focus to the 15-69 years age group. METHODS: Cause-specific mortality data for 30 cancers, including 4 female-specific cancers from 238 countries and territories, were retrieved from the Global Burden of Disease Study 2019. Using life table techniques and demographic decomposition analysis, we estimated the contribution of cancer deaths to the sex gap in life expectancy by age and calendar period. RESULTS: At ages 15-69 years, females had a higher life expectancy than males in 2019. Countries with the largest sex gaps or the largest female advantage in life expectancy were in Eastern Europe and Northern Asia, Latin America, and Southern Africa. In contrast, countries with the smallest sex gaps were mainly located in Northern Africa, Northern America, and Northern Europe. The contribution of female-specific cancers to sex gaps in life expectancy were largely negative, ranging from -0.15 years in the Western Pacific to -0.26 years in the Eastern Mediterranean region, implying that the disproportionately higher premature cancer mortality among females contributed to a reduction in the female life expectancy advantage. CONCLUSION: Female-specific cance</w:t>
      </w:r>
    </w:p>
    <w:p>
      <w:r>
        <w:t>POSSIBLE 2024: Seasonality in mortality and its impact on life expectancy levels and trends across Europe — https://doi.org/10.1136/jech-2024-223050</w:t>
      </w:r>
    </w:p>
    <w:p>
      <w:r>
        <w:t>Shared claim-specific concepts: life, expectancy, approach; EU scope visible. This is a provisional connection, not an outcome finding.</w:t>
      </w:r>
    </w:p>
    <w:p>
      <w:r>
        <w:t>Available abstract (not full text): Background Seasonal fluctuations in mortality affect annual life expectancy at birth (e 0 ). Nevertheless, evidence on the impact of seasonal mortality on longevity is very limited and mainly restricted to assessing season-specific mortality levels due to shocks (e.g., heatwaves and influenza epidemics). We investigated the influence of seasonality in mortality on life expectancy levels and temporal trends across 20 European countries during 2000–2019. Data and methods We used harmonised weekly population-level mortality data from the Human Mortality Database. Seasonal contributions to life expectancy at birth and age 65, by sex, were estimated using the excess mortality approach and decomposition analysis. Time-series analysis was used to evaluate the impact on long-term mortality trends. Results Seasonal mortality had a substantial but stable impact on e 0 between 2000 and 2019. On average, we found an annual reduction in life expectancy due to seasonal excess mortality of 1.14 years for males and 0.80 years for females. Deaths in the elderly population (65+) were the main driver of this impact: around 70% and 90% of these reductions in life expectancy were attributable to older ages. Excess mortality in winter had the strongest impact on annual life expectancy, especially in Portugal and Bulgaria (around 0.8-year loss on e 0 ). Conclusions The study revealed significant cros</w:t>
      </w:r>
    </w:p>
    <w:p>
      <w:r>
        <w:t>POSSIBLE 2023: Stalling life expectancy trends in Europe and decomposition analysis of mortality data — https://doi.org/10.1093/eurpub/ckad160.919</w:t>
      </w:r>
    </w:p>
    <w:p>
      <w:r>
        <w:t>Shared claim-specific concepts: life, expectancy, over, increase, two, similar; EU scope visible. This is a provisional connection, not an outcome finding.</w:t>
      </w:r>
    </w:p>
    <w:p>
      <w:r>
        <w:t>Available abstract (not full text): Abstract Background Life expectancy (LE) is an important population health metric over the life course. LE has increased significantly, over the past two centuries but has showed signs of slowing recently in Europe, the United Kingdom, and the United States. Several drivers have been suggested to be causing the slowdown, including slowing improvements in cardiovascular mortality. We set out to investigate trends in LE across Europe from 1990-2019, and how deaths from different causes have contributed to annual average change in LE across two time periods: 2007-2009 to 2012-2014 and 2012-2014 to 2017-2019. Methods Data were obtained from the Global Burden of Disease (GBD) Study 2019, which are in public domain. The GBD Study is a comprehensive global epidemiologic data resource employing standardized methodology for comparability. Joinpoint regression analysis was utilised to identify trends. The Arriaga decomposition method was applied to produce estimates of the contribution of different age groups and underlying causes of death to changes in LE at birth for the two periods. Results Overall, LE in Europe was 72.6 years in 1990- increasing to 78.3 years in 2019, with significant variations within EU countries. However, LE showed a slower pace from 2012 onwards in Europe- much slower in Western Europe, and more pronounced among females. LE in females fell from an annual increase</w:t>
      </w:r>
    </w:p>
    <w:p>
      <w:r>
        <w:t>POSSIBLE 2023: Global Trends in Life Expectancy and Healthy Life Expectancy — https://doi.org/10.1093/acrefore/9780190632366.013.384</w:t>
      </w:r>
    </w:p>
    <w:p>
      <w:r>
        <w:t>Shared claim-specific concepts: life, expectancy, likely, country, increase, see; EU scope visible. This is a provisional connection, not an outcome finding.</w:t>
      </w:r>
    </w:p>
    <w:p>
      <w:r>
        <w:t>Available abstract (not full text): Abstract In the known history of humanity, life expectancy scarcely exceeded 30 years, with half of newborns dying before age five, up to the 18th century. However, from the 18th century onward, major epidemics were combatted more efficiently, famines became less frequent, and life expectancy thus began to increase, first in Northwest Europe, then spreading to North America, Australia, Japan, and to the rest of Europe. The health transition reached Latin America, the rest of Asia, and Africa only in the 20th century. In 2015–2020, worldwide life expectancy at birth reached 72.5 years. However, differences remained large between regions and countries. The Japanese experienced the highest level at 84.4 years, thanks to their increasingly effective noncommunicable disease (NCD) control and an especially dramatic decrease in cardiovascular mortality. On average, life expectancy was 80.9 years in high income countries, 71.4 in middle income countries and 63.4 in low income countries. It was only 60 years in sub-Saharan Africa, with some countries barely exceeding 50. High mortality countries suffer a heavy burden from both infectious and NCDs. Due to increasing life expectancy, deaths shifting to older ages, and changing cause-of-death patterns, questions arise concerning the health of populations. The health expectancies made available mainly in high income countries are indicators</w:t>
      </w:r>
    </w:p>
    <w:p>
      <w:r>
        <w:t>POSSIBLE 2022: Life expectancy changes since COVID-19 — https://doi.org/10.1038/s41562-022-01450-3</w:t>
      </w:r>
    </w:p>
    <w:p>
      <w:r>
        <w:t>Shared claim-specific concepts: life, expectancy, over, chile; EU scope visible. This is a provisional connection, not an outcome finding.</w:t>
      </w:r>
    </w:p>
    <w:p>
      <w:r>
        <w:t>Available abstract (not full text): Abstract The COVID-19 pandemic triggered an unprecedented rise in mortality that translated into life expectancy losses around the world, with only a few exceptions. We estimate life expectancy changes in 29 countries since 2020, including most of Europe, the US and Chile, attribute them to mortality changes by age group, and compare them to historic life expectancy shocks. Our results show divergence in mortality impacts of the pandemic in 2021. While countries in Western Europe experienced bounce-backs from life expectancy losses of 2020, Eastern Europe and the US witnessed sustained and substantial life expectancy deficits. Life expectancy deficits among ages 60+ were strongly correlated with measures of vaccination uptake. In contrast to 2020, the age profile of excess mortality in 2021 was younger with those in under-80 age groups contributing more to life expectancy losses. However, even in 2021, registered COVID-19 deaths continued to account for most life expectancy losses. Research in context Evidence before this study The COVID-19 pandemic disrupted mortality trends around the world. Most high-income countries experienced life expectancy declines in 2020, and emerging evidence from low-to-middle income shows substantial losses in life expectancy with large regional variation. These analyses emphasise the impact of COVID-19 deaths and also highlight the effect of exces</w:t>
      </w:r>
    </w:p>
    <w:p>
      <w:r>
        <w:t>POSSIBLE 2021: Inequality in life expectancies across Europe and the US — https://doi.org/10.1002/hec.4284</w:t>
      </w:r>
    </w:p>
    <w:p>
      <w:r>
        <w:t>Shared claim-specific concepts: life, expectancy, advantage; EU scope visible. This is a provisional connection, not an outcome finding.</w:t>
      </w:r>
    </w:p>
    <w:p>
      <w:r>
        <w:t>Available abstract (not full text): We use harmonized household panel data from Europe and the US and a three-state survival model to provide comparable measurements of education and gender inequalities in total, healthy, and unhealthy life expectancies at age 50. Common across countries, the education advantage in total life expectancy is larger for males but the education advantage in (fewer) unhealthy years is larger for females. Counterfactual decompositions show that these results arise because the education advantage in conditional survival rates is relatively more important for males, while the education advantage in better health transitions is relatively more important for females. Across countries, the US stands out with the largest education gradient in healthy life expectancy.</w:t>
      </w:r>
    </w:p>
    <w:p>
      <w:r>
        <w:t>POSSIBLE 2021: Quantifying impacts of the COVID-19 pandemic through life-expectancy losses: a population-level study of 29 countries — https://doi.org/10.1093/ije/dyab207</w:t>
      </w:r>
    </w:p>
    <w:p>
      <w:r>
        <w:t>Shared claim-specific concepts: life, expectancy, chile; EU scope visible. This is a provisional connection, not an outcome finding.</w:t>
      </w:r>
    </w:p>
    <w:p>
      <w:r>
        <w:t>Available abstract (not full text): BACKGROUND: Variations in the age patterns and magnitudes of excess deaths, as well as differences in population sizes and age structures, make cross-national comparisons of the cumulative mortality impacts of the COVID-19 pandemic challenging. Life expectancy is a widely used indicator that provides a clear and cross-nationally comparable picture of the population-level impacts of the pandemic on mortality. METHODS: Life tables by sex were calculated for 29 countries, including most European countries, Chile and the USA, for 2015-2020. Life expectancy at birth and at age 60 years for 2020 were contextualized against recent trends between 2015 and 2019. Using decomposition techniques, we examined which specific age groups contributed to reductions in life expectancy in 2020 and to what extent reductions were attributable to official COVID-19 deaths. RESULTS: Life expectancy at birth declined from 2019 to 2020 in 27 out of 29 countries. Males in the USA and Lithuania experienced the largest losses in life expectancy at birth during 2020 (2.2 and 1.7 years, respectively), but reductions of more than an entire year were documented in 11 countries for males and 8 among females. Reductions were mostly attributable to increased mortality above age 60 years and to official COVID-19 deaths. CONCLUSIONS: The COVID-19 pandemic triggered significant mortality increases in 2020 of a magnit</w:t>
      </w:r>
    </w:p>
    <w:p>
      <w:r>
        <w:t>POSSIBLE 2020: The combined impact of smoking, obesity and alcohol on life-expectancy trends in Europe — https://doi.org/10.1093/ije/dyaa273</w:t>
      </w:r>
    </w:p>
    <w:p>
      <w:r>
        <w:t>Shared claim-specific concepts: life, expectancy, over, men, increase, gains; EU scope visible. This is a provisional connection, not an outcome finding.</w:t>
      </w:r>
    </w:p>
    <w:p>
      <w:r>
        <w:t>Available abstract (not full text): BACKGROUND: Smoking, obesity and alcohol abuse greatly affect mortality and exhibit a distinct time dynamic, with their prevalence and associated mortality rates increasing and (eventually) declining over time. Their combined impact on secular trends in life expectancy is unknown but is relevant for understanding these trends. We therefore estimate the combined impact of smoking, obesity and alcohol on life-expectancy trends in Europe. METHODS: We used estimated national age-specific smoking-, obesity- and alcohol-attributable mortality fractions for 30 European countries by sex, 1990-2014, which we aggregated multiplicatively to obtain lifestyle-attributable mortality. We estimated potential gains in life expectancy by eliminating lifestyle-attributable mortality and compared past trends in life expectancy at birth (e0) with and without lifestyle-attributable mortality. We examined all countries combined, by region and individually. RESULTS: Among men, the combined impact of smoking, obesity and alcohol on e0 declined from 6.6 years in 1990 to 5.8 years in 2014, mainly due to declining smoking-attributable mortality. Among women, the combined impact increased from 1.9 to 2.3 years due to mortality increases in all three lifestyle-related factors. The observed increase in e0 over the 1990-2014 period was 5.0 years for men and 4.0 years for women. After excluding lifestyle-attri</w:t>
      </w:r>
    </w:p>
    <w:p>
      <w:r>
        <w:t>POSSIBLE 2020: A comparative, correlate analysis and projection of global and regional life expectancy, healthy life expectancy, and their GAP: 1995-2025 — https://doi.org/10.7189/jogh.10.020407</w:t>
      </w:r>
    </w:p>
    <w:p>
      <w:r>
        <w:t>Shared claim-specific concepts: life, expectancy, likely, increase; EU scope visible. This is a provisional connection, not an outcome finding.</w:t>
      </w:r>
    </w:p>
    <w:p>
      <w:r>
        <w:t>Available abstract (not full text): BACKGROUND: Life expectancy (LE) and healthy life expectancy (HALE) are indicators measuring the national health level. GAP is the difference between them. This study systematically analyzed and projected LE, HALE, and GAP across global regions from 1995 to 2025. METHODS: We obtained the data of 195 countries/regions on their LE, HALE, and influencing factors from 1995 to 2017. We compared the overall changes of LE, HALE, and GAP. Multiple linear regression analysis examined relationships among LE, HALE, GAP, and the associated factors. Using the Autoregressive Integrated Moving Average (ARIMA) model, we projected trends in LE, HALE, and GAP for 2017-2025. RESULTS: During 1995-2017, LE, HALE, and their GAP in 195 countries/regions in the world showed overall increasing trends. Global average LE increased from 66.20 to 72.98 years, HALE from 57.59 to 63.25 years, and GAP from 8.62 to 9.72 years. LE and HALE in North America, Europe, and Australia were generally higher, while Africa had the lowest rates. Females' LE, HALE, and GAP were all higher than males', but females' growth rates of LE and HALE were lower. Different factors were included to project LE, HALE, and GAP, respectively, and prediction results showed that approximately 18% of the 195 countries/regions might achieve improved LE and HALE and lower GAP. CONCLUSIONS: LE, HALE will likely continue to increase in most of</w:t>
      </w:r>
    </w:p>
    <w:p>
      <w:r>
        <w:t>POSSIBLE 2020: Live longer, retire later? Developments of healthy life expectancies and working life expectancies between age 50–59 and age 60–69 in Europe — https://doi.org/10.1007/s10433-020-00592-5</w:t>
      </w:r>
    </w:p>
    <w:p>
      <w:r>
        <w:t>Shared claim-specific concepts: life, expectancy, over, men, increase, sexes; EU scope visible. This is a provisional connection, not an outcome finding.</w:t>
      </w:r>
    </w:p>
    <w:p>
      <w:r>
        <w:t>Available abstract (not full text): Europe's population is ageing. Statutory retirement ages are commonly raised to account for continuous increases in life expectancy. In order to estimate the potential to increase statutory and consequently effective retirement ages further, in this study, we investigate the relationship between partial working life expectancy (WLE) and three health expectancies that represent health aspects important for work ability and employability between ages 50 and 59 as well as 60 and 69 for women and men in Europe. We also explore the association between these four indicators and the highest level of educational attainment. We apply Sullivan's method to estimate WLE and three selected measures that capture general, physical, and cognitive health status of older adults for 26 European countries since 2004. Over time, WLEs increased significantly in the younger age group for women and in the older age group for both sexes. The expected number of years in good physical health have continuously been higher than any of the other three indicators, while the expected number of years in good cognitive health have shown a noticeable increase over time. The investigation of the relationship between education and each life expectancy confirms the well-established positive correlation between education and economic activity as well as good health. Our results indicate potential to extend working l</w:t>
      </w:r>
    </w:p>
    <w:p>
      <w:r>
        <w:t>POSSIBLE 2020: Dynamics of life expectancy and life span equality — https://doi.org/10.1073/pnas.1915884117</w:t>
      </w:r>
    </w:p>
    <w:p>
      <w:r>
        <w:t>Shared claim-specific concepts: life, expectancy, over, increase, two, similar; EU scope visible. This is a provisional connection, not an outcome finding.</w:t>
      </w:r>
    </w:p>
    <w:p>
      <w:r>
        <w:t>Available abstract (not full text): As people live longer, ages at death are becoming more similar. This dual advance over the last two centuries, a central aim of public health policies, is a major achievement of modern civilization. Some recent exceptions to the joint rise of life expectancy and life span equality, however, make it difficult to determine the underlying causes of this relationship. Here, we develop a unifying framework to study life expectancy and life span equality over time, relying on concepts about the pace and shape of aging. We study the dynamic relationship between life expectancy and life span equality with reliable data from the Human Mortality Database for 49 countries and regions with emphasis on the long time series from Sweden. Our results demonstrate that both changes in life expectancy and life span equality are weighted totals of rates of progress in reducing mortality. This finding holds for three different measures of the variability of life spans. The weights evolve over time and indicate the ages at which reductions in mortality increase life expectancy and life span equality: the more progress at the youngest ages, the tighter the relationship. The link between life expectancy and life span equality is especially strong when life expectancy is less than 70 y. In recent decades, life expectancy and life span equality have occasionally moved in opposite directions due to large</w:t>
      </w:r>
    </w:p>
    <w:p>
      <w:r>
        <w:t>POSSIBLE 2019: Fruit and vegetable consumption and its contribution to inequalities in life expectancy and disability-free life expectancy in ten European countries — https://doi.org/10.1007/s00038-019-01253-w</w:t>
      </w:r>
    </w:p>
    <w:p>
      <w:r>
        <w:t>Shared claim-specific concepts: life, expectancy, men, country, two; EU scope visible. This is a provisional connection, not an outcome finding.</w:t>
      </w:r>
    </w:p>
    <w:p>
      <w:r>
        <w:t>Available abstract (not full text): OBJECTIVES: To assess to what extent educational differences in total life expectancy (TLE) and disability-free life expectancy (DFLE) could be reduced by improving fruit and vegetable consumption in ten European countries. METHODS: Data from national census or registries with mortality follow-up, EU-SILC, and ESS were used in two scenarios to calculate the impact: the upward levelling scenario (exposure in low educated equals exposure in high educated) and the elimination scenario (no exposure in both groups). Results are estimated for men and women between ages 35 and 79 years. RESULTS: Varying by country, upward levelling reduced inequalities in DFLE by 0.1-1.1 years (1-10%) in males, and by 0.0-1.3 years (0-18%) in females. Eliminating exposure reduced inequalities in DFLE between 0.6 and 1.7 years for males (6-15%), and between 0.1 years and 1.8 years for females (3-20%). CONCLUSIONS: Upward levelling of fruit and vegetable consumption would have a small, positive effect on both TLE and DFLE, and could potentially reduce inequalities in TLE and DFLE.</w:t>
      </w:r>
    </w:p>
    <w:p>
      <w:pPr>
        <w:pStyle w:val="Heading2"/>
      </w:pPr>
      <w:r>
        <w:t>Futures of robotics. Human work in digital transformation</w:t>
      </w:r>
    </w:p>
    <w:p>
      <w:r>
        <w:t>Original source (2017): https://doi.org/10.1504/ijtm.2017.083074</w:t>
      </w:r>
    </w:p>
    <w:p>
      <w:r>
        <w:t>Original wording (abstract; indexed_source_text_not_full_document_verified): We evaluate key future trends in the field of robotics and analyse different scenarios regarding the futures of human beings and work life.</w:t>
      </w:r>
    </w:p>
    <w:p>
      <w:r>
        <w:t>POSSIBLE 2026: Evaluating rainfall trend in four key stations of the Northwestern Himalayan region, Uttarakhand: utilizing innovative graphical approaches for trend assessment — https://doi.org/10.54302/mausam.v77i2.6492</w:t>
      </w:r>
    </w:p>
    <w:p>
      <w:r>
        <w:t>Shared claim-specific concepts: evaluate, key, trends; EU scope not established. This is a provisional connection, not an outcome finding.</w:t>
      </w:r>
    </w:p>
    <w:p>
      <w:r>
        <w:t>Available abstract (not full text):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r>
        <w:t>POSSIBLE 2026: Closed-Loop Electrical Control Systems for Agricultural Machinery: State of the Art and Future Trends in Key Technologies, Typical Applications, and Performance Evaluation — https://doi.org/10.3390/pr14203366</w:t>
      </w:r>
    </w:p>
    <w:p>
      <w:r>
        <w:t>Shared claim-specific concepts: key, trends, field, work; EU scope not established. This is a provisional connection, not an outcome finding.</w:t>
      </w:r>
    </w:p>
    <w:p>
      <w:r>
        <w:t xml:space="preserve">Available abstract (not full text):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r>
        <w:t>POSSIBLE 2025: Financial Trends and Performance in the Food Industry: An Evaluation of Key Indicators — https://doi.org/10.15414/2024.9788055228167.479-487</w:t>
      </w:r>
    </w:p>
    <w:p>
      <w:r>
        <w:t>Shared claim-specific concepts: evaluate, key, trends; EU scope visible. This is a provisional connection, not an outcome finding.</w:t>
      </w:r>
    </w:p>
    <w:p>
      <w:r>
        <w:t>Available abstract (not full text):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r>
        <w:t>POSSIBLE 2024: Analysis and Evaluation of Trends in Natural Disasters — https://doi.org/10.38146/bsz.2024.2.7</w:t>
      </w:r>
    </w:p>
    <w:p>
      <w:r>
        <w:t>Shared claim-specific concepts: key, trends, work; EU scope not established. This is a provisional connection, not an outcome finding.</w:t>
      </w:r>
    </w:p>
    <w:p>
      <w:r>
        <w:t>Available abstract (not full text):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r>
        <w:t>POSSIBLE 2022: Evaluating Research Trends Using Key Term Occurrences and Multivariate Mann-Kendall Test — https://doi.org/10.1109/isetc56213.2022.10010222</w:t>
      </w:r>
    </w:p>
    <w:p>
      <w:r>
        <w:t>Shared claim-specific concepts: key, trends, field; EU scope not established. This is a provisional connection, not an outcome finding.</w:t>
      </w:r>
    </w:p>
    <w:p>
      <w:r>
        <w:t>Available abstract (not full text):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r>
        <w:t>POSSIBLE 2022: EVALUATING QUALITY OF GOVERNMENT REGULATORY ENFORCEMENT AND INSPECTION ACTIVITY FROM THE VIEWPOINT OF PRIVAT BUSINESS: KEY TRENDS — https://doi.org/10.5281/zenodo.7333284</w:t>
      </w:r>
    </w:p>
    <w:p>
      <w:r>
        <w:t>Shared claim-specific concepts: evaluate, key, trends, regarding; EU scope not established. This is a provisional connection, not an outcome finding.</w:t>
      </w:r>
    </w:p>
    <w:p>
      <w:r>
        <w:t>Available abstract (not full text):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r>
        <w:t>POSSIBLE 2021: Evaluating Trends and Issues in Distance Learning — https://doi.org/10.4018/978-1-7998-8047-9.ch098</w:t>
      </w:r>
    </w:p>
    <w:p>
      <w:r>
        <w:t>Shared claim-specific concepts: key, trends, field; EU scope not established. This is a provisional connection, not an outcome finding.</w:t>
      </w:r>
    </w:p>
    <w:p>
      <w:r>
        <w:t>Available abstract (not full text):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r>
        <w:t>POSSIBLE 2020: Information Transparency: Approaches to Evaluation, Key Features, Trends — https://doi.org/10.26794/2408-9303-2019-6-6-6-23</w:t>
      </w:r>
    </w:p>
    <w:p>
      <w:r>
        <w:t>Shared claim-specific concepts: key, trends, different; EU scope not established. This is a provisional connection, not an outcome finding.</w:t>
      </w:r>
    </w:p>
    <w:p>
      <w:r>
        <w:t>Available abstract (not full text): To increase the level of information transparency of economic entities is one of the most important tasks for the development of the domestic financial market within the framework of the state national programs implementation. The article provides a detailed review of the current methods and practices of reputable international and Russian rating agencies and professional communities for assessing information transparency of economic entities, it also defines and systemizes the basic characteristics disclosed by companies. The article identifies the main patterns and positive trends in the development of information transparency of Russian business over the past ten to fifteen years. The analysis shows that there has been a positive trend in disclosures in Russian business, but the level of transparency is still far from the level of Western companies. The applied methods vary greatly in the choice of indicators and assessment criteria, depending on the target nature and the specifics of the study, so determining the optimal level of information transparency is very subjective. Since transparency measurement largely depends of the branch of industry, the authors propose to develop this concept taking into consideration the special features of different segments such as credit organizations, financial companies, leasing organizations and others.</w:t>
      </w:r>
    </w:p>
    <w:p>
      <w:r>
        <w:t>POSSIBLE 2020: EVALUATING PERFORMANCE OF REGULATORY ENFORCEMENT ACTIVITIES BY BUSINESSES: KEY TRENDS — https://doi.org/10.17323/1999-5431-2020-0-2-32-53</w:t>
      </w:r>
    </w:p>
    <w:p>
      <w:r>
        <w:t>Shared claim-specific concepts: key, trends, regarding; EU scope not established. This is a provisional connection, not an outcome finding.</w:t>
      </w:r>
    </w:p>
    <w:p>
      <w:r>
        <w:t>Available abstract (not full text): Improving performance of public regulatory enforcement activity entailing stronger orientation at minimizing risks of harm to public values is proclaimed a key area for business climate transformation in Russia. The article reviews intermediate outcomes of the regulatory enforcement reform from the viewpoint of private businesses. A sociological survey of 1,000 private businesses in 28 Russian regions which were subject to state inspections in 2018–2019 conducted in March 2020 provided empirical data for the paper. The 2020 survey results were compared to the outcomes of the baseline survey conducted in 2017 at the outset of the regulatory enforcement reform with similar methodology applied. Overall, the survey results suggest that the perceptions of businesses regarding the impact of the state regulatory enforcement activities on reducing risks to public values have declined. Only some 27.4 percent of respondents noted that in general state regulatory enforcement have positive impact on their businesses (in 2017, 34.6 percent of respondents shared this opinion). Business perceptions of impact of specific inspections on the level of risk in their operations and product and process safety have also deteriorated. While the survey demonstrates some reduction in business inspections intensity, there is also a growth trend in other types of regulatory enforcement activities which ar</w:t>
      </w:r>
    </w:p>
    <w:p>
      <w:pPr>
        <w:pStyle w:val="Heading2"/>
      </w:pPr>
      <w:r>
        <w:t>Futures of robotics. Human work in digital transformation</w:t>
      </w:r>
    </w:p>
    <w:p>
      <w:r>
        <w:t>Original source (2017): https://doi.org/10.1504/ijtm.2017.10004003</w:t>
      </w:r>
    </w:p>
    <w:p>
      <w:r>
        <w:t>Original wording (abstract; indexed_source_text_not_full_document_verified): We evaluate key future trends in the field of robotics and analyse different scenarios regarding the futures of human beings and work life.</w:t>
      </w:r>
    </w:p>
    <w:p>
      <w:r>
        <w:t>POSSIBLE 2026: Evaluating rainfall trend in four key stations of the Northwestern Himalayan region, Uttarakhand: utilizing innovative graphical approaches for trend assessment — https://doi.org/10.54302/mausam.v77i2.6492</w:t>
      </w:r>
    </w:p>
    <w:p>
      <w:r>
        <w:t>Shared claim-specific concepts: evaluate, key, trends; EU scope not established. This is a provisional connection, not an outcome finding.</w:t>
      </w:r>
    </w:p>
    <w:p>
      <w:r>
        <w:t>Available abstract (not full text): Comprehending rainfall patterns is a multifaceted endeavor, both in terms of spatial and temporal dimensions. Gaining insight into these patterns necessitates a close examination of trends within rainfall time series data. The main focus of this research is to evaluate the variations in annual and seasonal precipitation characteristics within the Kosi River Basin (KRB) of Uttarakhand using globally recommended method such as., Innovative Trend Analysis (ITA), Mann-Kendall (MK) test and linear regression (LR) analysis. Through ITA, both monotonic and non-monotonic trends were discerned, irrespective of serial correlation, dataset size, or distribution characteristics. This technique proves valuable in identifying diverse trends in rainfall data. In contrast to MK tests, ITA exhibited greater efficacy in trend detection, yielding distinct results across various seasons. For instance, during the monsoon season, MK tests failed to detect trends, while ITA successfully identified them. Conversely, post-monsoon season trends were identified using all three techniques. In sum, ITA emerged as a more dependable method for trend identification in rainfall data. This insight can be instrumental in formulating strategies for sustainable water resource management and addressing potential challenges posed by climate change on water availability. The findings of this study hold significant re</w:t>
      </w:r>
    </w:p>
    <w:p>
      <w:r>
        <w:t>POSSIBLE 2026: Closed-Loop Electrical Control Systems for Agricultural Machinery: State of the Art and Future Trends in Key Technologies, Typical Applications, and Performance Evaluation — https://doi.org/10.3390/pr14203366</w:t>
      </w:r>
    </w:p>
    <w:p>
      <w:r>
        <w:t>Shared claim-specific concepts: key, trends, field, work; EU scope not established. This is a provisional connection, not an outcome finding.</w:t>
      </w:r>
    </w:p>
    <w:p>
      <w:r>
        <w:t xml:space="preserve">Available abstract (not full text): Control of agricultural machinery is shifting from direct operator input toward closed-loop regulation coordinated by sensors, controllers, and actuators. This transition places greater demands on real-time performance, reliability, and practical deployability because field environments are complex and operating loads vary continuously. Existing reviews generally address automated navigation, electrohydraulic control, electrification, or control algorithms in isolation; few systematically compare coupling among all elements of the electrical control loop or the strength of the supporting evidence. This study therefore combines a topic-oriented structured narrative review with evidence mapping and critical synthesis for field agricultural machinery and implements. The proposed framework comprises five functional domains: sensing and state estimation, controllers and control hardware, control methods, actuation and drives, and communication and power supply. These domains are mapped to representative applications, including tractor–implement coordination, seeding and fertilization, crop protection, harvesting, and autonomous operation. Current closed-loop applications predominantly regulate vehicle motion, actuators, and process states. By contrast, operation-quality loops that directly use agronomic outcomes, such as seed placement quality, spray deposition, or harvest loss, as </w:t>
      </w:r>
    </w:p>
    <w:p>
      <w:r>
        <w:t>POSSIBLE 2025: Financial Trends and Performance in the Food Industry: An Evaluation of Key Indicators — https://doi.org/10.15414/2024.9788055228167.479-487</w:t>
      </w:r>
    </w:p>
    <w:p>
      <w:r>
        <w:t>Shared claim-specific concepts: evaluate, key, trends; EU scope visible. This is a provisional connection, not an outcome finding.</w:t>
      </w:r>
    </w:p>
    <w:p>
      <w:r>
        <w:t>Available abstract (not full text): Paper's objective(s) and research backgroundThe food industry plays a crucial role in shaping cultural practices, consumer trends, and economic development.It continually adapts to changes in technology, consumer preferences, and societal demands, making it a dynamic and influential sector.The food industry has a long tradition in Slovakia, although it has undergone a significant and complicated restructuring since 1990.A significant milestone in the development of the food industry was Slovakia's accession to the EU in the context of adapting to European markets not only in terms of production but also in terms of legislation.In addition to the harmonisation of legislation, accession to the EU also brought about an increase in the share of foreign capital in food companies and their integration into international business structures.In addition, the food industry has also seen changes in terms of technical and technological innovations and organisational changes in the production, distribution and sale of food commodities. Data/MethodsThe aim of the paper is to evaluate the financial trends and performance of the food industry in the time period 2016-2022 based on selected key indicators.The analysis includes data within SK NACE Section C, Division 10.In addition to general theoretical scientific methods, we used time analysis methods. Results/Conclusions/Value addedThe analys</w:t>
      </w:r>
    </w:p>
    <w:p>
      <w:r>
        <w:t>POSSIBLE 2024: Analysis and Evaluation of Trends in Natural Disasters — https://doi.org/10.38146/bsz.2024.2.7</w:t>
      </w:r>
    </w:p>
    <w:p>
      <w:r>
        <w:t>Shared claim-specific concepts: key, trends, work; EU scope not established. This is a provisional connection, not an outcome finding.</w:t>
      </w:r>
    </w:p>
    <w:p>
      <w:r>
        <w:t>Available abstract (not full text): Aim: The aim of this article is to examine the terminology behind natural disasters and to group them together to give readers an insight into the world of natural hazards. The author also aims to describe the quantitative changes that have occurred in recent years.Methodology: The definitions are based on the presentation of concepts used by key authorities. Categorisation and trend analysis is based on international discourse, databases and reports from relevant bodies and organisations.Findings: The security environment is changing dramatically. One reason for this is that there is a clear increase in a number of categories of natural events (disasters). As regards definitions, there is no uniform concept, but disasters are exceptional events with significant material damage.Value: Through the author’s analytical and evaluative work, the reader will gain insight into the world of natural disasters, a broad knowledge of the relevant literature, and valuable insights into global vulnerability and changing trends.</w:t>
      </w:r>
    </w:p>
    <w:p>
      <w:r>
        <w:t>POSSIBLE 2022: Evaluating Research Trends Using Key Term Occurrences and Multivariate Mann-Kendall Test — https://doi.org/10.1109/isetc56213.2022.10010222</w:t>
      </w:r>
    </w:p>
    <w:p>
      <w:r>
        <w:t>Shared claim-specific concepts: key, trends, field; EU scope not established. This is a provisional connection, not an outcome finding.</w:t>
      </w:r>
    </w:p>
    <w:p>
      <w:r>
        <w:t>Available abstract (not full text): This paper offers a quantifiable means for assessing the trend in the interest of scientific community in a particular research theme. Representing the research theme as a set of key terms, we investigate its trend within the scientific literature, using a corpus of paper metadata belonging to flagship journals and conferences that are relevant for the encompassing domain. Our method employs a multivariate version of the Mann-Kendall test that is applied to a multivariate time series of key term occurrences in order to discover if the trend of the research theme is ascending, descending or if there is no monotonic trend. Finally, an illustrative case study, examining the effectiveness of the proposed method for three research themes from Electronic Design Automation field, is presented.</w:t>
      </w:r>
    </w:p>
    <w:p>
      <w:r>
        <w:t>POSSIBLE 2022: EVALUATING QUALITY OF GOVERNMENT REGULATORY ENFORCEMENT AND INSPECTION ACTIVITY FROM THE VIEWPOINT OF PRIVAT BUSINESS: KEY TRENDS — https://doi.org/10.5281/zenodo.7333284</w:t>
      </w:r>
    </w:p>
    <w:p>
      <w:r>
        <w:t>Shared claim-specific concepts: evaluate, key, trends, regarding; EU scope not established. This is a provisional connection, not an outcome finding.</w:t>
      </w:r>
    </w:p>
    <w:p>
      <w:r>
        <w:t>Available abstract (not full text): Enhancing the government’s regulatory enforcement and oversight performance has been considered among critical measures aimed at improving the business environment in Russia; this makes the study relevant for the current governance agenda. The objective of this paper is to evaluate the dynamics of private businesses’ perceptions regarding the justified nature, efficacy, and efficiency of state oversight measures in 2017 – 2021. The subject of the study is the quality of state regulatory enforcement and oversight, including its rationality, efficacy, and efficiency. The key method used in this study is a representative sociological survey of private business entities conducted in 2021. The findings were then compared with those from similar surveys carried out in 2017 and 2020. The results presented in this paper include the analysis of businesses’ perceptions regarding all quality parameters of state regulatory and oversight interference (how justified, effective, and efficient it is). The study concludes that so far, the state regulatory system reform in Russia has not resulted in its performance being more effective (i.e., carrying lower risk of damage to the public values) or more justified. Notably, administrative costs borne by businesses due to state inspections have decreased due to a lower average cost per inspection as well as a reduction in the total number of inspect</w:t>
      </w:r>
    </w:p>
    <w:p>
      <w:r>
        <w:t>POSSIBLE 2021: Evaluating Trends and Issues in Distance Learning — https://doi.org/10.4018/978-1-7998-8047-9.ch098</w:t>
      </w:r>
    </w:p>
    <w:p>
      <w:r>
        <w:t>Shared claim-specific concepts: key, trends, field; EU scope not established. This is a provisional connection, not an outcome finding.</w:t>
      </w:r>
    </w:p>
    <w:p>
      <w:r>
        <w:t>Available abstract (not full text): Today's learners are intrinsically motivated in that they are apt to analyze, synthesize, internalize, rebuild, share, and disseminate knowledge not only with their instructors, but also their peers, and the greater community, including a plethora of learning communities from across the world. Web-based technologies play a key role in this learning process. Particularly online social media networks and mobile technologies, the two selected technology trends evaluated in this paper, are thriving in online learning/teaching settings, immensely helping students acquire valid learning gains. These technologies are not a fad, a myth, or talk-of-the-day in learning and teaching environments in any given discipline. With that said, there are also certain issues and challenges that accompany these media and technologies for learning and teaching practices, which will also be addressed in this paper. Finally, future implications on these trends and issues in DL will be further discussed with the hope that educational leaders can draw on them for further inquiry and development in the field.</w:t>
      </w:r>
    </w:p>
    <w:p>
      <w:r>
        <w:t>POSSIBLE 2020: Information Transparency: Approaches to Evaluation, Key Features, Trends — https://doi.org/10.26794/2408-9303-2019-6-6-6-23</w:t>
      </w:r>
    </w:p>
    <w:p>
      <w:r>
        <w:t>Shared claim-specific concepts: key, trends, different; EU scope not established. This is a provisional connection, not an outcome finding.</w:t>
      </w:r>
    </w:p>
    <w:p>
      <w:r>
        <w:t>Available abstract (not full text): To increase the level of information transparency of economic entities is one of the most important tasks for the development of the domestic financial market within the framework of the state national programs implementation. The article provides a detailed review of the current methods and practices of reputable international and Russian rating agencies and professional communities for assessing information transparency of economic entities, it also defines and systemizes the basic characteristics disclosed by companies. The article identifies the main patterns and positive trends in the development of information transparency of Russian business over the past ten to fifteen years. The analysis shows that there has been a positive trend in disclosures in Russian business, but the level of transparency is still far from the level of Western companies. The applied methods vary greatly in the choice of indicators and assessment criteria, depending on the target nature and the specifics of the study, so determining the optimal level of information transparency is very subjective. Since transparency measurement largely depends of the branch of industry, the authors propose to develop this concept taking into consideration the special features of different segments such as credit organizations, financial companies, leasing organizations and others.</w:t>
      </w:r>
    </w:p>
    <w:p>
      <w:r>
        <w:t>POSSIBLE 2020: EVALUATING PERFORMANCE OF REGULATORY ENFORCEMENT ACTIVITIES BY BUSINESSES: KEY TRENDS — https://doi.org/10.17323/1999-5431-2020-0-2-32-53</w:t>
      </w:r>
    </w:p>
    <w:p>
      <w:r>
        <w:t>Shared claim-specific concepts: key, trends, regarding; EU scope not established. This is a provisional connection, not an outcome finding.</w:t>
      </w:r>
    </w:p>
    <w:p>
      <w:r>
        <w:t>Available abstract (not full text): Improving performance of public regulatory enforcement activity entailing stronger orientation at minimizing risks of harm to public values is proclaimed a key area for business climate transformation in Russia. The article reviews intermediate outcomes of the regulatory enforcement reform from the viewpoint of private businesses. A sociological survey of 1,000 private businesses in 28 Russian regions which were subject to state inspections in 2018–2019 conducted in March 2020 provided empirical data for the paper. The 2020 survey results were compared to the outcomes of the baseline survey conducted in 2017 at the outset of the regulatory enforcement reform with similar methodology applied. Overall, the survey results suggest that the perceptions of businesses regarding the impact of the state regulatory enforcement activities on reducing risks to public values have declined. Only some 27.4 percent of respondents noted that in general state regulatory enforcement have positive impact on their businesses (in 2017, 34.6 percent of respondents shared this opinion). Business perceptions of impact of specific inspections on the level of risk in their operations and product and process safety have also deteriorated. While the survey demonstrates some reduction in business inspections intensity, there is also a growth trend in other types of regulatory enforcement activities which ar</w:t>
      </w:r>
    </w:p>
    <w:p>
      <w:pPr>
        <w:pStyle w:val="Heading2"/>
      </w:pPr>
      <w:r>
        <w:t>Governance barriers to sustainable energy transitions – Assessing Ireland's capacity towards marine energy futures</w:t>
      </w:r>
    </w:p>
    <w:p>
      <w:r>
        <w:t>Original source (2017): https://doi.org/10.1016/j.enpol.2017.11.020</w:t>
      </w:r>
    </w:p>
    <w:p>
      <w:r>
        <w:t>Original wording (abstract; indexed_source_text_not_full_document_verified): We observe that ME governance is complex, as development offshore involves engagement and may often result in conflict.</w:t>
      </w:r>
    </w:p>
    <w:p>
      <w:r>
        <w:t>POSSIBLE 2022: The Governance Context for Adaptive Heritage Reuse: A Review and Typology of Fifteen European Countries — https://doi.org/10.1080/17567505.2022.2153201</w:t>
      </w:r>
    </w:p>
    <w:p>
      <w:r>
        <w:t>Shared claim-specific concepts: governance, complex, engagement; EU scope visible. This is a provisional connection, not an outcome finding.</w:t>
      </w:r>
    </w:p>
    <w:p>
      <w:r>
        <w:t>Available abstract (not full text): Recent years have seen growing international interest in the practice of ‘adaptive reuse’ of heritage buildings, promoted as a financially more viable and environmentally sustainable way to achieve both regeneration and conservation. In parallel, adaptive reuse has emerged as an aim in national policy frameworks and EU governance. Much of the writing on adaptive reuse reflects its nature as a design practice and concentrates on the material form intervention may take. This paper has a different approach, considering the institutional factors that support adaptive reuse occurring, as part of a multi-faceted and complex conservation-planning assemblage, across fifteen European countries. Focusing on regulatory systems for heritage and planning, governance systems, human and financial resources and policies on civic engagement and participation, thematic analysis is used to generate a typology of approaches across the continent, grouping the countries considered into three clusters. The typology proposed is not fixed, but a way to conceptualise the similarities and differences in institutional and policy-contexts that facilitate or restrict adaptive reuse. It contributes to a more informed overview of the context for adaptive reuse and the possibilities of learning from different policy contexts.</w:t>
      </w:r>
    </w:p>
    <w:p>
      <w:r>
        <w:t>POSSIBLE 2021: Ordering global governance complexes: The evolution of the governance complex for international civil aviation — https://doi.org/10.1007/s11558-020-09411-z</w:t>
      </w:r>
    </w:p>
    <w:p>
      <w:r>
        <w:t>Shared claim-specific concepts: governance, complex, often, conflict; EU scope not established. This is a provisional connection, not an outcome finding.</w:t>
      </w:r>
    </w:p>
    <w:p>
      <w:r>
        <w:t>Available abstract (not full text): Many observers worry that growing numbers of international institutions with overlapping functions undermine governance effectiveness via duplication, inconsistency and conflict. Such pessimistic assessments may undervalue the mechanisms available to states and other political agents to reduce conflictual overlap and enhance inter-institutional synergy. Drawing on historical data I examine how states can mitigate conflict within Global Governance Complexes (GGCs) by dissolving or merging existing institutions or by re-configuring their mandates. I further explore how "order in complexity" can emerge through bottom-up processes of adaptation in lieu of state-led reform. My analysis supports three theoretical claims: (1) states frequently refashion governance complexes "top-down" in order to reduce conflictual overlap; (2) "top-down" restructuring and "bottom-up" adaptation present alternative mechanisms for ordering relations among component institutions of GGCs; (3) these twin mechanisms ensure that GGCs tend to (re)produce elements of order over time-albeit often temporarily. Rather than evolving towards ever-greater fragmentation and disorder, complex governance systems thus tend to fluctuate between greater or lesser integration and (dis)order.</w:t>
      </w:r>
    </w:p>
    <w:p>
      <w:r>
        <w:t>POSSIBLE 2020: The Quality of Governance in Europe: A Guide for the Perplexed — https://openalex.org/W3128833016</w:t>
      </w:r>
    </w:p>
    <w:p>
      <w:r>
        <w:t>Shared claim-specific concepts: observe, governance, complex; EU scope visible. This is a provisional connection, not an outcome finding.</w:t>
      </w:r>
    </w:p>
    <w:p>
      <w:r>
        <w:t>Available abstract (not full text): This paper investigates the quality of governance in the European geographical area for the period 1995–2019 employing the six World Governance Indicators (The World Bank, 2020): control of corruption, government effectiveness, political stability and absence of violence/terrorism, rule of law, regulatory quality, voice and accountability. With regard to EU membership, we partition countries into three blocks: Historical Members, Entrants, and Outsiders. We check systematic differences, static and dynamic, between the three blocks to verify whether EU membership makes a difference. Results highlight a complex scenario: while statically Historical Members outperform Entrants and Entrants outperform Outsiders on all six dimensions, dynamically we find club convergence in growth rates for all variables across the three blocks. Historical Members stand in a high equilibrium club, except for Greece. In a single case, we even observe absolute convergence for a low club of voice and accountability. Several Outsiders stand consistently either in the high or the low club, while Entrants vary widely in their performances. The remote determinants of governance’s quality are very difficult to identify because cultures, institutions and economies interact in complex and unexpected ways; moreover, natural experiments of EU memberships do not exist, so we cannot establish causal effects in th</w:t>
      </w:r>
    </w:p>
    <w:p>
      <w:r>
        <w:t>POSSIBLE 2019: European Governance in Adult Education — https://doi.org/10.3384/rela.2000-7426.ojs844</w:t>
      </w:r>
    </w:p>
    <w:p>
      <w:r>
        <w:t>Shared claim-specific concepts: governance, complex; EU scope visible. This is a provisional connection, not an outcome finding.</w:t>
      </w:r>
    </w:p>
    <w:p>
      <w:r>
        <w:t>Available abstract (not full text): This article examines the working of complex intergovernmental policies that have brought about new opportunities and structures in European adult education since the 2008 global financial crisis. Drawing on political sociology, it restricts attention on the Renewed European Agenda for Adult Learning (2011), to examine its historical development, and how it bundles together various governance mechanisms, policy instruments, and social actors to govern the adult education policy domain through policy coordination. This points at regulatory politics as a distinctive quality of European governance in adult education. Then, through Social Network Analysis, it explores in depth one of its policy instrument (i.e., coordinated working groups/networks) and the form of network governance it creates. This analysis pinpoints at the comparative advantage of some organizations (i.e., the ministries of Latvia, Finland and Belgium), which partake in this form of network governance. This produces unpredictable contingency in EU policy coordination.</w:t>
      </w:r>
    </w:p>
    <w:p>
      <w:pPr>
        <w:pStyle w:val="Heading2"/>
      </w:pPr>
      <w:r>
        <w:t>How much does climate change threaten European forest tree species distributions?</w:t>
      </w:r>
    </w:p>
    <w:p>
      <w:r>
        <w:t>Original source (2017): https://doi.org/10.1111/gcb.13925</w:t>
      </w:r>
    </w:p>
    <w:p>
      <w:r>
        <w:t>Original wording (abstract; indexed_source_text_not_full_document_verified): We aimed to quantify changes in projected ranges and threat level by the years 2061-2080, for 12 European forest tree species under three climate change scenarios. Models were developed for three climate change scenarios-optimistic (RCP2.6), moderate (RCP4.5), and pessimistic (RPC8.5)-using three General Circulation Models, for the period 2061-2080.</w:t>
      </w:r>
    </w:p>
    <w:p>
      <w:r>
        <w:t>POSSIBLE 2024: A scoping review of human health co-benefits of forest-based climate change mitigation in Europe — https://doi.org/10.1016/j.envint.2024.108593</w:t>
      </w:r>
    </w:p>
    <w:p>
      <w:r>
        <w:t>Shared claim-specific concepts: aimed, forest, climate, developed; EU scope visible. This is a provisional connection, not an outcome finding.</w:t>
      </w:r>
    </w:p>
    <w:p>
      <w:r>
        <w:t xml:space="preserve">Available abstract (not full text): Climate change is a pressing global challenge with profound implications for human health. Forest-based climate change mitigation strategies, such as afforestation, reforestation, and sustainable forest management, offer promising solutions to mitigate climate change and simultaneously yield substantial co-benefits for human health. The objective of this scoping review was to examine research trends related to the interdisciplinary nexus between forests as carbon sinks and human health co-benefits. We developed a conceptual framework model, supporting the inclusion of exposure pathways, such as recreational opportunities or aesthetic experiences, in the co-benefit context. We used a scoping review methodology to identify the proportion of European research on forest-based mitigation strategies that acknowledge the interconnection between mitigation strategies and human impacts. We also aimed to assess whether synergies and trade-offs between forest-based carbon sink capacity and human co-benefits has been analysed and quantified. From the initial 4,062 records retrieved, 349 reports analysed European forest management principles and factors related to climate change mitigation capacity. Of those, 97 studies acknowledged human co-benefits and 13 studies quantified the impacts on exposure pathways or health co-benefits and were included for full review. Our analysis demonstrates </w:t>
      </w:r>
    </w:p>
    <w:p>
      <w:r>
        <w:t>POSSIBLE 2023: Tracking climate change and health in Europe — https://doi.org/10.1289/isee.2023.op-169</w:t>
      </w:r>
    </w:p>
    <w:p>
      <w:r>
        <w:t>Shared claim-specific concepts: quantify, climate, developed; EU scope visible. This is a provisional connection, not an outcome finding.</w:t>
      </w:r>
    </w:p>
    <w:p>
      <w:r>
        <w:t>Available abstract (not full text): BACKGROUND AND AIM: Climate change impacts health through complex multidimensional pathways. However, whilst evidence and awareness of the health implications of climate change are increasing, there is a need for accessible information allowing effective communication of complex climate-health trends. Responding to this need in Europe, the Lancet Countdown in Europe (LCDE) developed indicators that monitor and quantify the health-climate change nexus since the 1950s. METHOD: 33 indicators act as summary measures representing the heterogenous climate-health relationships across (1) impact, exposure, and vulnerability; (2) adaption, planning and resilience; (3) mitigation actions and health co-benefits; (4) economics and finance; and (5) politics and governance. RESULTS: Health risks (1) for almost all indicators have been increasing; clinically relevant pollen seasons are starting 10-20 days earlier each year (1981-2020), the climatic suitability for climate-sensitive infectious diseases have been rapidly increasing (1951-2020), and heat exposure is estimated to have increased by 57% between the first and second half of the 21st century. Some encouraging trends for adaptation (2) could be observed. Yet, despite progress in the reduction of the carbon intensity of energy systems and phasing out coal for electricity generation, mitigation efforts remain inadequate to meet reductio</w:t>
      </w:r>
    </w:p>
    <w:p>
      <w:r>
        <w:t>POSSIBLE 2022: Forest-based climate change mitigation and adaptation in Europe — https://doi.org/10.36333/fs14</w:t>
      </w:r>
    </w:p>
    <w:p>
      <w:r>
        <w:t>Shared claim-specific concepts: forest, climate; EU scope visible. This is a provisional connection, not an outcome finding.</w:t>
      </w:r>
    </w:p>
    <w:p>
      <w:r>
        <w:t>Available abstract (not full text): From Science to Policy 14 2. Forest-based mitigation potential 2.1 The roles of forests and the forest sector in climate change mitigation Forests provide many benefits to society and one such benefit is forests' role in regulating the climate through their role in the global carbon cycle.This role is the result of photosynthesis in which trees remove CO 2 from the atmosphere and emit it back to the atmosphere via the decomposition of litter and dead trees or (in case of wildfires) combustion.If this cycle was left to follow its natural course, it would result in a long-term balance between CO 2 removals and emissions despite the short-term variations inherent to it.The management of forests by humans can have a profound impact on CO 2 emissions and removals, both immediately and over time.Rising concentrations of CO 2 and the related climate change can influence the growth and development of forests both positively and negatively, with further consequent impacts on CO 2 emissions and removals in forests (see Chapter 3).From Science to Policy 14 -150 -100 -50 0 50 100 150 200 250 300 350 400 450 Increased efficiency (2;5) Cascading (1;4) Shifts in wood uses (9;23) Afforestation/Reforestation (2;5) Forest restoration (peatlands) (2;5) Forest harvesting (increased) (1;1) Forest harvesting (decreased) (6;13) Other active management (7;14) Avoiding deforestation (1;1) Forest conser</w:t>
      </w:r>
    </w:p>
    <w:p>
      <w:r>
        <w:t>POSSIBLE 2022: Quantifying the role of the large-scale circulation on European summer precipitation change — https://doi.org/10.1007/s00382-022-06250-z</w:t>
      </w:r>
    </w:p>
    <w:p>
      <w:r>
        <w:t>Shared claim-specific concepts: quantify, three, climate, circulation; EU scope visible. This is a provisional connection, not an outcome finding.</w:t>
      </w:r>
    </w:p>
    <w:p>
      <w:r>
        <w:t>Available abstract (not full text):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r>
        <w:t>POSSIBLE 2022: A probabilistic climate change assessment for Europe — https://doi.org/10.1002/joc.7604</w:t>
      </w:r>
    </w:p>
    <w:p>
      <w:r>
        <w:t>Shared claim-specific concepts: quantify, climate; EU scope visible. This is a provisional connection, not an outcome finding.</w:t>
      </w:r>
    </w:p>
    <w:p>
      <w:r>
        <w:t>Available abstract (not full text):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r>
        <w:t>POSSIBLE 2021: Quantification of the carbon intensity of electricity produced and used in Europe — https://doi.org/10.1016/j.apenergy.2021.117901</w:t>
      </w:r>
    </w:p>
    <w:p>
      <w:r>
        <w:t>Shared claim-specific concepts: quantify, climate, developed; EU scope visible. This is a provisional connection, not an outcome finding.</w:t>
      </w:r>
    </w:p>
    <w:p>
      <w:r>
        <w:t>Available abstract (not full text): The EU has a comprehensive legislation to facilitate the energy transition towards a low carbon energy system and achieve the EU’s Paris Agreement commitments for reducing greenhouse gas emissions. The European Green Deal is an integral part of the EU strategy for a sustainable and climate neutral economy by 2050. The decarbonisation of the power generation is essential to achieve the goal of decarbonising the energy and transport sectors. This paper presents a study conducted to quantify the carbon emissions associated to the production of electricity produced and used in European countries, based on a comprehensive methodology developed for this purpose. A spreadsheet model has been developed that considers the various sources for electricity generation, the type of plants, conversion efficiencies, upstream emissions and emissions from power plant construction, as well as the electricity trade. The results show the greenhouse gas emissions from the production and use of electricity in all European countries, revealing significant variations between countries. The carbon intensity of electricity shows a clear reduction trend since 1990, for most of the European countries. In the European Union, carbon intensity of electricity used at low voltage degreased from 641 gCO2eq/kWh in 1990 to 334 gCO2eq/kWh in 2019, and this trend is expected to continue in the coming years.</w:t>
      </w:r>
    </w:p>
    <w:p>
      <w:r>
        <w:t>POSSIBLE 2021: Effect of Climate Change on Introduced and Native Agricultural Invasive Insect Pests in Europe — https://doi.org/10.3390/insects12110985</w:t>
      </w:r>
    </w:p>
    <w:p>
      <w:r>
        <w:t>Shared claim-specific concepts: species, climate; EU scope visible. This is a provisional connection, not an outcome finding.</w:t>
      </w:r>
    </w:p>
    <w:p>
      <w:r>
        <w:t>Available abstract (not full text):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r>
        <w:t>POSSIBLE 2021: Quantifying the resilience of European farms using FADN — https://doi.org/10.1093/erae/jbab042</w:t>
      </w:r>
    </w:p>
    <w:p>
      <w:r>
        <w:t>Shared claim-specific concepts: quantify, general; EU scope visible. This is a provisional connection, not an outcome finding.</w:t>
      </w:r>
    </w:p>
    <w:p>
      <w:r>
        <w:t>Available abstract (not full text): Abstract Agricultural policymakers call for the operationalisation of farm resilience as a dynamic concept. Therefore, we quantify farm resilience along the dimensions of robustness, adaptation and transformation. Using the rich Farm Accountancy Data Network panel data set, we explore which farm(er) characteristics affect resilience. We employ a control function approach to address the presence of endogeneity in correlated random effects (fractional) probit models. In general, we find that decoupled payments negatively affect robustness, while rural development payments have a positive effect on robustness. Both decoupled and rural development payments have no effect on adaptation and transformation in most European regions.</w:t>
      </w:r>
    </w:p>
    <w:p>
      <w:r>
        <w:t>POSSIBLE 2020: Flood trends in Europe: are changes in small and big floods different? — https://doi.org/10.5194/hess-24-1805-2020</w:t>
      </w:r>
    </w:p>
    <w:p>
      <w:r>
        <w:t>Shared claim-specific concepts: quantify, three, period; EU scope visible. This is a provisional connection, not an outcome finding.</w:t>
      </w:r>
    </w:p>
    <w:p>
      <w:r>
        <w:t xml:space="preserve">Available abstract (not full text):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r>
        <w:t>POSSIBLE 2020: Black locust (Robinia pseudoacaciaL.) range contraction and expansion in Europe under changing climate — https://doi.org/10.1111/gcb.15486</w:t>
      </w:r>
    </w:p>
    <w:p>
      <w:r>
        <w:t>Shared claim-specific concepts: aimed, quantify, forest, tree, species, climate; EU scope visible. This is a provisional connection, not an outcome finding.</w:t>
      </w:r>
    </w:p>
    <w:p>
      <w:r>
        <w:t xml:space="preserve">Available abstract (not full text): Robinia pseudoacacia is one of the most frequent non-native species in Europe. It is a fast-growing tree of high economic and cultural importance. On the other hand, it is an invasive species, causing changes in soil chemistry and light regime, and consequently altering the plant communities. Previously published models developed for the potential distribution of R. pseudoacacia concerned 2070, and were based mainly on data from Western and Central Europe; here we extended these findings and included additional data from Eastern Europe. To fill the gap in current knowledge of R. pseudoacacia distribution and improve the reliability of forecasts, we aimed to (i) determine the extent to which the outcome of range modeling will be affected by complementing R. pseudoacacia occurrence data with sites from Central, Southeastern, and Eastern Europe, (ii) identify and quantify the changes in the availability of climate niches for 2050 and 2070, and discuss their impacts on forest management and nature conservation. We showed that the majority of the range changes expected in 2070 will occur as early as 2050. In comparison to previous studies, we demonstrated a greater eastward shift of potential niches of this species and a greater decline of potential niches in Southern Europe. Consequently, future climatic conditions will likely favor the occurrence of R. pseudoacacia in Central and </w:t>
      </w:r>
    </w:p>
    <w:p>
      <w:r>
        <w:t>POSSIBLE 2019: Climate change, reforestation/afforestation, and urbanization impacts on evapotranspiration and streamflow in Europe — https://doi.org/10.5194/hess-23-3631-2019</w:t>
      </w:r>
    </w:p>
    <w:p>
      <w:r>
        <w:t>Shared claim-specific concepts: forest, climate; EU scope visible. This is a provisional connection, not an outcome finding.</w:t>
      </w:r>
    </w:p>
    <w:p>
      <w:r>
        <w:t>Available abstract (not full text): Abstract. Since the 1950s, Europe has seen large shifts in climate and land cover. Previous assessments of past and future changes in evapotranspiration or streamflow have either focussed on land use/cover or climate contributions, or have focussed on individual catchments under specific climate conditions. Here, we aim to understand how decadal changes in climate (e.g., precipitation, temperature) and land use (e.g., de-/afforestation, urbanization) have impacted the amount and distribution of water resources availability across Europe since the 1950s. To this end, we simulate the distribution of green and blue water fluxes at high-resolution (1 × 1 km) by combining (a) a steady-state Budyko model for water balance partitioning constrained by long-term (lysimeter) observations across different land-use types, (b) a novel decadal high-resolution historical land use reconstruction, and (c) gridded observations of key meteorological variables. The continental-scale patterns in the simulations agree well with coarser-scale observation-based estimates of evapotranspiration, and also with observed changes in streamflow from small basins across Europe. We find that strong shifts in the continental-scale patterns of evapotranspiration and streamflow have occured from 1950 to 2010. In Sweden, for example, increased precipitation dominates effects of large scale re- and afforestation le</w:t>
      </w:r>
    </w:p>
    <w:p>
      <w:r>
        <w:t>POSSIBLE 2019: Postglacial change of the floristic diversity gradient in Europe — https://doi.org/10.1038/s41467-019-13233-y</w:t>
      </w:r>
    </w:p>
    <w:p>
      <w:r>
        <w:t>Shared claim-specific concepts: species, climate, period; EU scope visible. This is a provisional connection, not an outcome finding.</w:t>
      </w:r>
    </w:p>
    <w:p>
      <w:r>
        <w:t>Available abstract (not full text): Climate warming is expected to cause a poleward spread of species, resulting in increased richness at mid to high latitudes and weakening the latitudinal diversity gradient. We used pollen data to test if such a change in the latitudinal diversity gradient occurred during the last major poleward shift of plant species in Europe following the end of the last glacial period. In contrast to expectations, the slope of the gradient strengthened during the Holocene. The increase in temperatures around 10 ka ago reduced diversity at mid to high latitude sites due to the gradual closure of forests. Deforestation and the introduction of agriculture during the last 5 ky had a greater impact on richness in central Europe than the earlier climate warming. These results do not support the current view that global warming alone will lead to a loss in biodiversity, and demonstrate that non-climatic human impacts on the latitudinal diversity gradient is of a greater magnitude than climate change.</w:t>
      </w:r>
    </w:p>
    <w:p>
      <w:pPr>
        <w:pStyle w:val="Heading2"/>
      </w:pPr>
      <w:r>
        <w:t>Improved Consistency of Climate Projections over Europe after Accounting for Atmospheric Circulation Variability</w:t>
      </w:r>
    </w:p>
    <w:p>
      <w:r>
        <w:t>Original source (2017): https://doi.org/10.1175/jcli-d-16-0695.1</w:t>
      </w:r>
    </w:p>
    <w:p>
      <w:r>
        <w:t>Original wording (abstract; indexed_source_text_not_full_document_verified): The differences in atmospheric circulation as simulated by different models in their control runs and under the historical and representative concentration pathway 8.5 (RCP8.5) forcing scenarios are investigated. A statistically significant response of sea level pressure to anthropogenic forcing is identified in the multimodel ensemble under the RCP8.5 scenario.</w:t>
      </w:r>
    </w:p>
    <w:p>
      <w:r>
        <w:t>POSSIBLE 2025: Climatological characteristics and atmospheric circulation associated with 3D heat wave types in European regions — https://doi.org/10.5194/egusphere-egu25-9748</w:t>
      </w:r>
    </w:p>
    <w:p>
      <w:r>
        <w:t>Shared claim-specific concepts: differences, atmospheric, circulation, different, sea, level; EU scope visible. This is a provisional connection, not an outcome finding.</w:t>
      </w:r>
    </w:p>
    <w:p>
      <w:r>
        <w:t>Available abstract (not full text): We evaluate climatological characteristics (temperature anomalies, mean precipitation, and the Climatic Water balance index defined as the difference between potential evapotranspiration and precipitation) and links to atmospheric circulation for three-dimensional (3D) heat wave types in several European regions. Heat waves are classified according to their 3D structure of positive temperature anomalies in ERA5 over 1979–2022 (the satellite period) into near-surface, lower-tropospheric, higher-tropospheric, and omnipresent types (Lhotka &amp; Kyselý 2024, https://www.nature.com/articles/s43247-024-01497-2). The Jenkinson–Collison classification of daily mean sea level pressure patterns is used to identify circulation types with increased frequency during the individual heat wave types compared to the June–September climatology. We show large differences in surface temperature anomalies and dryness among the heat wave types, as well as different links to circulation patterns. The differences are most pronounced between near-surface and higher-tropospheric heat waves and point to processes important for their onset and development. The analysis contributes to better understanding the interrelationships between heat waves, atmospheric circulation, and other driving mechanisms.</w:t>
      </w:r>
    </w:p>
    <w:p>
      <w:r>
        <w:t>POSSIBLE 2025: Links to atmospheric circulation vary for individual heat wave types in Middle Europe — https://doi.org/10.5194/egusphere-egu25-9815</w:t>
      </w:r>
    </w:p>
    <w:p>
      <w:r>
        <w:t>Shared claim-specific concepts: differences, atmospheric, circulation, sea, level, pressure; EU scope visible. This is a provisional connection, not an outcome finding.</w:t>
      </w:r>
    </w:p>
    <w:p>
      <w:r>
        <w:t>Available abstract (not full text): We evaluate links to atmospheric circulation for three-dimensional heat wave types in Middle Europe over 1979–2022. Heat waves are classified according to their vertical structures of temperature anomalies in ERA5 into near-surface (HWG), lower-tropospheric (HWL), higher-tropospheric (HWH), and omnipresent (HWO) types. Jenkinson–Collison classification of daily mean sea level pressure patterns is used to identify circulation types (CTs) with increased frequency for the individual heat wave types. In all heat wave types, CTs with southerly flow are more common compared to the June–September climatology but differences are found for other groups of CTs. In HWG, the CT occurring most frequently is indeterminate flow, corresponding to a little pronounced pressure field with no clear role of anticyclonic vorticity or flow direction. The expected pattern of increased anticyclonic and decreased cyclonic flow is clearly manifest only for HWH, while it is reversed during HWG. The role of warm advection increases for the other two heat wave types, HWL and HWO. Anticyclonic circulation supporting gradual warming is important mainly before the onset of most heat wave types, except for HWH. The reported differences reflect diverse processes leading to the various heat wave types, with the dominant roles of anticyclonic vorticity for HWH and land–atmosphere coupling under little pronounced c</w:t>
      </w:r>
    </w:p>
    <w:p>
      <w:r>
        <w:t>POSSIBLE 2024: Warm‐Season Drying Across Europe and Its Links to Atmospheric Circulation — https://doi.org/10.1029/2023ea003434</w:t>
      </w:r>
    </w:p>
    <w:p>
      <w:r>
        <w:t>Shared claim-specific concepts: differences, atmospheric, circulation, sea, level, pressure; EU scope visible. This is a provisional connection, not an outcome finding.</w:t>
      </w:r>
    </w:p>
    <w:p>
      <w:r>
        <w:t>Available abstract (not full text): Abstract We study drying trends across the central latitude strip of Europe (47.5–52.5°N and 2.5–27.5°E) during 1980–2019 and their links to atmospheric circulation. Daily differences between potential evapotranspiration and precipitation (PET–P) calculated from the E–OBS data are used to characterize dryness, and atmospheric circulation is represented by circulation types classified using daily sea level pressure patterns from the NCEP/NCAR reanalysis. Circulation types favoring dry conditions in vegetation season (April–September) are identified based on daily PET–P, and their temporal changes, seasonal variations, and links to trends in dryness in individual European regions are analyzed. In the early vegetation season (AMJ), drying trends are observed mainly in Western and Central Europe while in the late vegetation season (JAS), they are located predominantly in Eastern Europe. The dry circulation types include all anticyclonic types in all regions, as well as northeast to south (southwest in Eastern Europe) directional types. Trends of the dry circulation types correspond to those of dryness: the largest increase is found during AMJ in Western and Central Europe but during JAS in Eastern Europe. The results show that trends in dryness in the central latitude strip of Europe in the warm half‐year were associated with changes in atmospheric circulation, as the largest incre</w:t>
      </w:r>
    </w:p>
    <w:p>
      <w:r>
        <w:t>POSSIBLE 2024: Atmospheric circulation associated with 3D heat wave types in Middle Europe — https://doi.org/10.5194/ems2024-343</w:t>
      </w:r>
    </w:p>
    <w:p>
      <w:r>
        <w:t>Shared claim-specific concepts: differences, atmospheric, circulation, pressure; EU scope visible. This is a provisional connection, not an outcome finding.</w:t>
      </w:r>
    </w:p>
    <w:p>
      <w:r>
        <w:t xml:space="preserve">Available abstract (not full text): Heat waves are phenomena associated with large negative impacts on society and environment. We evaluate links between atmospheric circulation and three-dimensional (3D) heat wave types in Middle Europe (one of the PRUDENCE regions) over 1979–2022. Heat waves are classified according to their 3D structure of positive temperature anomalies in ERA5 into near-surface (HWG), lower-tropospheric (HWL), higher-tropospheric (HWH), and omnipresent (HWO) types. The Jenkinson–Collison classification is used to identify circulation types (CTs) with increased frequency during the individual heat wave types, and their climatological characteristics (including mean temperature anomaly, precipitation, and Climatic Water Balance index defined as potential evapotranspiration minus precipitation) are studied in station-based E-OBS data. We show that the surface temperature anomalies are largest during HWG (+7.1 °C), while HWL are the driest heat wave type according to mean daily precipitation (0.4 mm). At the same time, HWG types show the driest conditions before HW onset. In all heat wave types there is a large increase in the frequency of southern CTs compared to the June–September climatology, but differences among the heat wave types are found for other CTs. In HWG, the most frequent CT is U (undefined), corresponding to little pronounced pressure pattern over Middle Europe with no clear role </w:t>
      </w:r>
    </w:p>
    <w:p>
      <w:r>
        <w:t>POSSIBLE 2024: The role of atmospheric circulation in explaining the summer extreme temperature trends over Europe — https://doi.org/10.5194/ems2024-1069</w:t>
      </w:r>
    </w:p>
    <w:p>
      <w:r>
        <w:t>Shared claim-specific concepts: differences, atmospheric, circulation, different, historical, representative; EU scope visible. This is a provisional connection, not an outcome finding.</w:t>
      </w:r>
    </w:p>
    <w:p>
      <w:r>
        <w:t>Available abstract (not full text): The frequency, duration and intensity of summer extreme temperatures over Europe are increased since the middle of the twentieth century. These trends are expected to further increase in the future due to global warming, which will influence both the thermodynamics and dynamics of these events. In this context, the role played by the thermodynamic changes on trends of extreme temperature events has been largely studied. Differently, the role of dynamic changes in explaining their historical trends as well as their future projections is still under debate.In the present study, we assess the role played by dynamic changes on trends of summer extreme temperatures by assessing the trends in the occurrence of atmospheric circulation patterns (analogs) associated with the most severe heat waves during 1940—2022. Heat wave events are identified adopting the Heat Wave Magnitude Index daily (HWMId) as suggested by Russo et al. (2015). Furthermore, the trends in the number of summer extreme temperatures in the regions of the identified heat waves are decomposed as suggested by Horton et al. (2015), in order to evaluate the relative contribution of dynamic, thermodynamic and interactive terms on the total extreme temperature trends.The analyses are performed using a multi-model initial-condition large ensemble, composed by CMIP5 and CMIP6 models forced with the Representative Concentratio</w:t>
      </w:r>
    </w:p>
    <w:p>
      <w:r>
        <w:t>POSSIBLE 2023: Role of Aerosols on Atmospheric Circulation in Regional Climate Experiments over Europe — https://doi.org/10.3390/atmos14030491</w:t>
      </w:r>
    </w:p>
    <w:p>
      <w:r>
        <w:t>Shared claim-specific concepts: differences, atmospheric, circulation, different, concentration, forcing; EU scope visible. This is a provisional connection, not an outcome finding.</w:t>
      </w:r>
    </w:p>
    <w:p>
      <w:r>
        <w:t xml:space="preserve">Available abstract (not full text): Aerosols can strongly influence atmospheric circulation, and categorizing it into circulation types (CTs) helps in understanding the relationship between atmospheric forcing and surface conditions. However, few studies have considered the impact of interactive aerosols on atmospheric dynamics from a climatic perspective. This contribution aims to assess whether simulations with interactive aerosols (online solving of aerosol–radiation interactions, ARI, and aerosol–radiation–cloud interactions, ARCI) significantly impact atmospheric dynamics over Europe during winter compared to conventional regional climate models with prescribed aerosols. For that, Principal Component Analysis (PCA) has been applied to reduce the dimensionality of the problem in order to cluster different weather patterns. Results showed significant differences in the two predominant patterns, characterized by a western zonal flow (CT1) and a low-pressure system centered in Italy (CT2). The ARI experiment revealed a substantial reduction of surface level pressure over central-eastern Europe for CT1, resulting in a southward shift of the flux direction, and an increase in pressure over Scandinavia for CT2. The ARCI experiment exhibited a similar, but weaker effect. Furthermore, the study demonstrated the impact of aerosols on the frequency of different CTs and on the concentration of black and white aerosols. </w:t>
      </w:r>
    </w:p>
    <w:p>
      <w:r>
        <w:t>POSSIBLE 2023: Trends in drought across Europe and their links to atmospheric circulation — https://doi.org/10.5194/egusphere-egu23-6124</w:t>
      </w:r>
    </w:p>
    <w:p>
      <w:r>
        <w:t>Shared claim-specific concepts: atmospheric, circulation, sea, level, pressure, identified; EU scope visible. This is a provisional connection, not an outcome finding.</w:t>
      </w:r>
    </w:p>
    <w:p>
      <w:r>
        <w:t>Available abstract (not full text): We study trends in drought across the central latitude strip of Europe (defined as the region 47.5–52.5 °N and 2.5°W–32.5°E) during 1950–2019, and their links to atmospheric circulation. Drought characteristics are based on difference between potential evapotranspiration and precipitation in E–OBS data, and atmospheric circulation is characterized in terms of circulation types classified using daily sea level pressure patterns from the NCEP–NCAR reanalysis. Circulation types supporting drought in vegetation season (April–September) are identified, and we analyse changes in their occurrence since 1950, seasonal changes, and the connection with drought trends in individual European regions. We find that while in the early vegetation season, drought develops mainly in Central Europe, in the late vegetation season the most pronounced trends are shifted towards west. The circulation types supporting drought depend on regions and seasons, especially for directional types. The largest increase of the dry circulation types is observed in both seasons in Central Europe, and contributes to the pronounced drying.</w:t>
      </w:r>
    </w:p>
    <w:p>
      <w:r>
        <w:t>POSSIBLE 2023: Links between major heat waves, drought, and atmospheric circulation in Central Europe — https://doi.org/10.5194/ems2023-430</w:t>
      </w:r>
    </w:p>
    <w:p>
      <w:r>
        <w:t>Shared claim-specific concepts: differences, atmospheric, circulation, different, sea, level; EU scope visible. This is a provisional connection, not an outcome finding.</w:t>
      </w:r>
    </w:p>
    <w:p>
      <w:r>
        <w:t>Available abstract (not full text): Heat waves and drought are phenomena associated with large negative impacts on society and the environment. Their common features include increasing frequency and intensity in recent decades in many regions of Europe, as well as the interconnectedness of the factors that contribute to their development. In this study, we compare the long-term changes in the characteristics of major heat waves and severe drought in Central Europe (during the vegetation period (April-September)), examine the temporal and causal relationships between the two phenomena, their spatial and temporal scales, and the connection with atmospheric circulation. Based on E-OBS (daily temperature and precipitation) data since 1950 for the vegetation period (April-September), drought is characterized by the difference between potential evapotranspiration and precipitation, while heat waves are defined as periods of large positive anomalies of daily temperatures from the mean annual cycle affecting a large area. Heat waves occurring in early/late vegetation period are referred as warm spells due to their lower absolute temperatures and possibly different circulation mechanisms. We use the Jenkinson classification of daily sea level pressure fields from the NCEP/NCAR reanalysis to describe the atmospheric circulation. Circulation types with significantly increased frequency during periods of major heat waves/war</w:t>
      </w:r>
    </w:p>
    <w:p>
      <w:r>
        <w:t>POSSIBLE 2023: Stratospheric water vapor affecting atmospheric circulation — https://doi.org/10.1038/s41467-023-39559-2</w:t>
      </w:r>
    </w:p>
    <w:p>
      <w:r>
        <w:t>Shared claim-specific concepts: atmospheric, circulation; EU scope not established. This is a provisional connection, not an outcome finding.</w:t>
      </w:r>
    </w:p>
    <w:p>
      <w:r>
        <w:t>Available abstract (not full text): Water vapor plays an important role in many aspects of the climate system, by affecting radiation, cloud formation, atmospheric chemistry and dynamics. Even the low stratospheric water vapor content provides an important climate feedback, but current climate models show a substantial moist bias in the lowermost stratosphere. Here we report crucial sensitivity of the atmospheric circulation in the stratosphere and troposphere to the abundance of water vapor in the lowermost stratosphere. We show from a mechanistic climate model experiment and inter-model variability that lowermost stratospheric water vapor decreases local temperatures, and thereby causes an upward and poleward shift of subtropical jets, a strengthening of the stratospheric circulation, a poleward shift of the tropospheric eddy-driven jet and regional climate impacts. The mechanistic model experiment in combination with atmospheric observations further shows that the prevailing moist bias in current models is likely caused by the transport scheme, and can be alleviated by employing a less diffusive Lagrangian scheme. The related effects on atmospheric circulation are of similar magnitude as climate change effects. Hence, lowermost stratospheric water vapor exerts a first order effect on atmospheric circulation and improving its representation in models offers promising prospects for future research.</w:t>
      </w:r>
    </w:p>
    <w:p>
      <w:r>
        <w:t>POSSIBLE 2023: Atmospheric circulation compounds anthropogenic warming and impacts of climate extremes in Europe — https://doi.org/10.1073/pnas.2214525120</w:t>
      </w:r>
    </w:p>
    <w:p>
      <w:r>
        <w:t>Shared claim-specific concepts: atmospheric, circulation, statistically, significant, anthropogenic, identified; EU scope visible. This is a provisional connection, not an outcome finding.</w:t>
      </w:r>
    </w:p>
    <w:p>
      <w:r>
        <w:t>Available abstract (not full text): Diagnosing dynamical changes in the climate system, such as those in atmospheric circulation patterns, remains challenging. Here, we study 1950 to 2021 trends in the frequency of occurrence of atmospheric circulation patterns over the North Atlantic. Roughly 7% of atmospheric circulation patterns display significant occurrence trends, yet they have major impacts on surface climate. Increasingly frequent patterns drive heatwaves across Europe and enhanced wintertime storminess in the northern part of the continent. Over 91% of recent heatwave-related deaths and 33% of high-impact windstorms in Europe were concurrent with increasingly frequent atmospheric circulation patterns. While the trends identified are statistically significant, they are not necessarily anthropogenic. Atmospheric patterns which are becoming rarer correspond instead to wet, cool summer conditions over northern Europe and wet winter conditions over continental Europe. The combined effect of these circulation changes is that of a strong, dynamically driven year-round warming over most of the continent and large regional and seasonal changes in precipitation and surface wind.</w:t>
      </w:r>
    </w:p>
    <w:p>
      <w:r>
        <w:t>POSSIBLE 2022: Bistability of the Atmospheric Circulation on TRAPPIST-1e — https://doi.org/10.3847/psj/ac83be</w:t>
      </w:r>
    </w:p>
    <w:p>
      <w:r>
        <w:t>Shared claim-specific concepts: differences, atmospheric, circulation, different, level, multimodel; EU scope not established. This is a provisional connection, not an outcome finding.</w:t>
      </w:r>
    </w:p>
    <w:p>
      <w:r>
        <w:t>Available abstract (not full text): Abstract Using a 3D general circulation model, we demonstrate that a confirmed rocky exoplanet and a primary observational target, TRAPPIST-1e presents an interesting case of climate bistability. We find that the atmospheric circulation on TRAPPIST-1e can exist in two distinct regimes for a 1 bar nitrogen-dominated atmosphere. One is characterized by a single strong equatorial prograde jet and a large day–night temperature difference; the other is characterized by a pair of mid-latitude prograde jets and a relatively small day–night contrast. The circulation regime appears to be highly sensitive to the model setup, including initial and surface boundary conditions, as well as physical parameterizations of convection and cloud radiative effects. We focus on the emergence of the atmospheric circulation during the early stages of simulations and show that the regime bistability is associated with a delicate balance between the zonally asymmetric heating, mean overturning circulation, and mid-latitude baroclinic instability. The relative strength of these processes places the GCM simulations on different branches of the evolution of atmospheric dynamics. The resulting steady states of the two regimes have consistent differences in the amount of water content and clouds, affecting the water absorption bands as well as the continuum level in the transmission spectrum, although they a</w:t>
      </w:r>
    </w:p>
    <w:p>
      <w:r>
        <w:t>POSSIBLE 2021: Improved atmospheric circulation over Europe by the new generation of CMIP6 earth system models — https://doi.org/10.1007/s00382-021-05652-9</w:t>
      </w:r>
    </w:p>
    <w:p>
      <w:r>
        <w:t>Shared claim-specific concepts: atmospheric, circulation; EU scope visible. This is a provisional connection, not an outcome finding.</w:t>
      </w:r>
    </w:p>
    <w:p>
      <w:r>
        <w:t>Available abstract (not full text): Unavailable</w:t>
      </w:r>
    </w:p>
    <w:p>
      <w:pPr>
        <w:pStyle w:val="Heading2"/>
      </w:pPr>
      <w:r>
        <w:t>Institutional issues in planning for more uncertain futures</w:t>
      </w:r>
    </w:p>
    <w:p>
      <w:r>
        <w:t>Original source (2017): https://doi.org/10.1007/s11116-017-9805-z</w:t>
      </w:r>
    </w:p>
    <w:p>
      <w:r>
        <w:t>Original wording (abstract; indexed_source_text_not_full_document_verified): In contrast to the changing ideas around what mobility in the future will look like and the types of demand it may need to service, the practice of forecasting future travel demand remains largely unchanged as do the decision-making processes which flow from this. Alternative approaches to thinking about futures such as scenario planning exist but have had more limited deployment in the transport sector.</w:t>
      </w:r>
    </w:p>
    <w:p>
      <w:r>
        <w:t>POSSIBLE 2025: Shaping institutional change in skill formation: the role of background ideas in growth strategies — https://doi.org/10.1080/13501763.2025.2490188</w:t>
      </w:r>
    </w:p>
    <w:p>
      <w:r>
        <w:t>Shared claim-specific concepts: contrast, ideas, about; EU scope visible. This is a provisional connection, not an outcome finding.</w:t>
      </w:r>
    </w:p>
    <w:p>
      <w:r>
        <w:t>Available abstract (not full text): States are taking on an increasingly prominent role in shaping policy across advanced capitalist democracies. This paper conducts a comparative study of state intervention in skill formation between 2014 and 2022 and explores why state intervention was deployed for opposite goals: it increased deregulation, underlining skill formation's subordinate role in the French educational system while it strengthened collective governance and the social inclusion potential of the German system. Using a mixed-methods approach that combines process tracing and discourse network analysis of public media debates, this study argues that the non-functionalist background ideas of the actors employing skill formation in growth strategies inform this process. In Germany, beliefs about the complementarity between skill formation and economic growth tie coalitions of state actors and employers that promote institutional reproduction of skill formation even by unusual means, such as state intervention. In contrast, in France, where the skill formation system is perceived as a social policy tool, a coalition of business and state actors aims at increasing the economic potential of the system and reforming its governance according to market principles. This paper calls for more attention to the role of the ideas in influencing trajectories of institutional change.</w:t>
      </w:r>
    </w:p>
    <w:p>
      <w:r>
        <w:t>POSSIBLE 2020: How ideas matter in public policy: a review of concepts, mechanisms, and methods — https://doi.org/10.4000/irpp.1343</w:t>
      </w:r>
    </w:p>
    <w:p>
      <w:r>
        <w:t>Shared claim-specific concepts: ideas, decision-making, processes, approaches; EU scope not established. This is a provisional connection, not an outcome finding.</w:t>
      </w:r>
    </w:p>
    <w:p>
      <w:r>
        <w:t>Available abstract (not full text): The recent ideational turn in political science and public administration implies that ideas matter. Ideas are an essential explanatory concept for understanding policy changes and decision-making processes. The aim of the paper is to specify how ideas matter as a variable in public policy research, providing students and scholars of public policy with a stock take of the current state-of-the-art literature on ideas in political science and public administration. The paper first identifies three approaches to ideas as a variable in the policy process. It then discusses where ideas come from and the dynamics and drivers of ideational change to shed light on the ideational mechanisms underpinning policy processes. Furthermore, it taps into different research methods that can be used to study ideas. Finally, the paper concludes with five lessons for future research endeavours on the study of ideas in public policy.</w:t>
      </w:r>
    </w:p>
    <w:p>
      <w:r>
        <w:t>POSSIBLE 2019: The Ability of Preschoolers to Use Ideas About Other’s Knowledge and the Ways of Changing It — https://doi.org/10.17759/cpse.2019080206</w:t>
      </w:r>
    </w:p>
    <w:p>
      <w:r>
        <w:t>Shared claim-specific concepts: contrast, changing, ideas, thinking, about; EU scope not established. This is a provisional connection, not an outcome finding.</w:t>
      </w:r>
    </w:p>
    <w:p>
      <w:r>
        <w:t>Available abstract (not full text): The article deals with the problem of the ability to use ideas about other’s knowledge and the ways of changing it, the ability to de-center thinking in the process of communication in the example of understanding deception in typically developing preschoolers and preschoolers with mental retardation. The recognition of deception is considered as a cognitive function, taking into account the specific techniques of the implementation of the mental model. Empirical sample of research: 72 children of pre-school age from 5 to 6 years. Contrast samples show the specificity of the lack of social interaction tools based on the mental model. Analyzed that in a game with deceit, a child is required to use signs to anticipate events that made it known about the nascent action of another person. In children with mental retardation in a game with deceptive action, shown a situational mode of action without taking into account the model of a mental interaction partner due to the lack of ability to decentration. The data reflects the relationship between the cognitive level of development and the level of the mental model in the process of forming the basis of social cognition and social experience in the early stages of ontogenesis.</w:t>
      </w:r>
    </w:p>
    <w:p>
      <w:r>
        <w:t>POSSIBLE 2019: Transformations: Change from Learning to Growth — https://doi.org/10.4324/9780429400803-14</w:t>
      </w:r>
    </w:p>
    <w:p>
      <w:r>
        <w:t>Shared claim-specific concepts: contrast, ideas, practice; EU scope not established. This is a provisional connection, not an outcome finding.</w:t>
      </w:r>
    </w:p>
    <w:p>
      <w:r>
        <w:t>Available abstract (not full text): Wilfred Bion differentiates between different modes of transformation, in particular between “transference” and “transformations in hallucinosis”. There are very different views of Transformations and Wilfred Bion’s later works – very strong views. By contrast, “Transformation in hallucinosis” is evacuative rather than explorative, and rivalrous rather than in “intercourse” with the world. This chapter introduces two concepts: transformation and invariance. The theory of transformations and its development does not relate to the main body of psychoanalytic theory, but to the practice of psychoanalytic observation. Psychoanalytic theories, patient’s or analyst’s statements are representations of an emotional experience. Bion differentiates between the process of transformation and the end product. Although the transference has a “repetitive quality”, it contains a crucial element of enquiry and discovery. Sigmund Freud’s ideas on the superego changed and became increasingly complex in the development of new ideas.</w:t>
      </w:r>
    </w:p>
    <w:p>
      <w:r>
        <w:t>POSSIBLE 2018: Arctic and Antarctic Sea Ice Change: Contrasts, Commonalities, and Causes — https://doi.org/10.1146/annurev-marine-010816-060610</w:t>
      </w:r>
    </w:p>
    <w:p>
      <w:r>
        <w:t>Shared claim-specific concepts: contrast, largely, processes; EU scope not established. This is a provisional connection, not an outcome finding.</w:t>
      </w:r>
    </w:p>
    <w:p>
      <w:r>
        <w:t>Available abstract (not full text): Arctic sea ice has declined precipitously in both extent and thickness over the past four decades; by contrast, Antarctic sea ice has shown little overall change, but this masks large regional variability. Climate models have not captured these changes. But these differences do not represent a paradox. The processes governing, and impacts of, natural variability and human-induced changes differ markedly at the poles largely because of the ways in which differences in geography control the properties of and interactions among the atmosphere, ice, and ocean. The impact of natural variability on the ice cover is large at both poles, so modeled ice trends are not entirely inconsistent with contributions from both natural variability and anthropogenic forcing. Despite this concurrence, the coupling of natural climate variability, climate feedbacks, and sea ice is not well understood, and significant biases remain in model representations of the ice cover and the processes that drive it.</w:t>
      </w:r>
    </w:p>
    <w:p>
      <w:pPr>
        <w:pStyle w:val="Heading2"/>
      </w:pPr>
      <w:r>
        <w:t>Long-Term Hydrocarbon Trade Options for the Maghreb Region and Europe—Renewable Energy Based Synthetic Fuels for a Net Zero Emissions World</w:t>
      </w:r>
    </w:p>
    <w:p>
      <w:r>
        <w:t>Original source (2017): https://doi.org/10.3390/su9020306</w:t>
      </w:r>
    </w:p>
    <w:p>
      <w:r>
        <w:t>Original wording (abstract; indexed_source_text_not_full_document_verified): Results show that, for 7% weighted average cost of capital (WACC), renewable energy based synthetic natural gas (RE-SNG) and RE-diesel can be produced in 2030 for a minimum cost of 76 €/MWhHHV (0.78 €/m3SNG) and 88 €/MWhHHV (0.85 €/L), respectively. While in 2040, these production costs can drop to 66 €/MWhHHV (0.68 €/m3SNG) and 83 €/MWhHHV (0.80 €/L), respectively.</w:t>
      </w:r>
    </w:p>
    <w:p>
      <w:r>
        <w:t>POSSIBLE 2025: Ordered Weighted Average Support Vector Regression — https://doi.org/10.1016/j.eswa.2025.126882</w:t>
      </w:r>
    </w:p>
    <w:p>
      <w:r>
        <w:t>Shared claim-specific concepts: weighted, average, based, synthetic; EU scope not established. This is a provisional connection, not an outcome finding.</w:t>
      </w:r>
    </w:p>
    <w:p>
      <w:r>
        <w:t>Available abstract (not full text): This paper introduces a novel Support Vector Regression (SVR) model that incorporates Ordered Weighted Average (OWA) operators to differently penalize deviations of observations from the ɛ -strip. The penalty is determined based on the position of each deviation in the ordered vector of all deviations. A key contribution of this work is the development of two nonlinear formulations: a continuous formulation for non-decreasing monotone weight vectors and a mixed-integer formulation for general weight vectors. By leveraging dual approaches associated with these formulations, the model accommodates nonlinear kernel functions. To enhance computational efficiency, two heuristic approaches are proposed for deriving suitable regression hyperplanes in reduced computation times, as compared to exact methods. Additionally, a third heuristic approach is developed to handle nonlinear kernel functions effectively. Computational experiments conducted on both real and synthetic datasets demonstrate that the exact formulations yield remarkable regression functions with respect to the following standard metrics: mean absolute errors (MAE) and mean squared errors (MSE). The heuristic approaches are shown to be particularly efficient for larger datasets, striking a balance between solution quality and computational effort.</w:t>
      </w:r>
    </w:p>
    <w:p>
      <w:r>
        <w:t>POSSIBLE 2022: An Improved Spatiotemporal Weighted Mean Temperature Model over Europe Based on the Nonlinear Least Squares Estimation Method — https://doi.org/10.3390/rs14153609</w:t>
      </w:r>
    </w:p>
    <w:p>
      <w:r>
        <w:t>Shared claim-specific concepts: weighted, average, based, respectively; EU scope visible. This is a provisional connection, not an outcome finding.</w:t>
      </w:r>
    </w:p>
    <w:p>
      <w:r>
        <w:t>Available abstract (not full text): Weighted average temperature (Tm) plays a crucial role in global navigation satellite system (GNSS) precipitable water vapor (PWV) retrieval. Aiming at the poor applicability of the existing Tm models in Europe, in the article, we used observations from 48 radiosonde stations over Europe from 2014 to 2020 to establish a weighted average temperature model in Europe (ETm) by the nonlinear least squares estimation method. The ETm model takes into account factors such as ground temperature, water vapor pressure, latitude, and their annual variation, semiannual variation and diurnal variation. Taking the Tm obtained from the radiosonde data by the integration method in 2021 as the reference value, the accuracy of the ETm model was evaluated and compared with the commonly used Bevis model, ETmPoly model, and GPT2w model. The results of the 48 modeled stations showed that the mean bias and root mean square (RMS) values of the ETm model were 0.06 and 2.85 K, respectively, which were 21.7%, 11.5%, and 31.8% higher than the Bevis, ETmPoly, and GPT2w-1 (1° × 1° resolution) models, respectively. In addition, the radiosonde data of 12 non-modeling stations over Europe in 2021 were selected to participate in the model accuracy validation. The mean bias and RMS values of the ETm model were –0.07 and 2.87 K, respectively. Compared with the Bevis, ETmPoly, and GPT2w-1 models, the accuracy (in t</w:t>
      </w:r>
    </w:p>
    <w:p>
      <w:r>
        <w:t>POSSIBLE 2022: Political Imaginaries of the Weighted Average Cost of Capital: A Conceptual Analysis — https://doi.org/10.3384/vs.2001-5992.2021.8.2.5-36</w:t>
      </w:r>
    </w:p>
    <w:p>
      <w:r>
        <w:t>Shared claim-specific concepts: weighted, average, capital, produced, minimum; EU scope not established. This is a provisional connection, not an outcome finding.</w:t>
      </w:r>
    </w:p>
    <w:p>
      <w:r>
        <w:t>Available abstract (not full text): This article analyzes the formulation of the “weighted average cost of capital” in the manuals of two of the most influential associations of financial analysts. It focuses on the use of the formula as the discount rate to determine the “fundamental value” of listed companies using the “discounted cash flows” method, a cornerstone of the definition of “shareholder value” used in the finance industry worldwide. It shows that the choice of variables and their mathematical relations in the formula mobilize multiple, partly independent and contradictory epistemologies and ontologies. This multiplicity is assembled along political imaginaries concerning the relation between particular notions of the maximizing investor, the efficient markets and the sovereign state. The figure of the investor is considered the only legitimate agent to claim the “free” cash flows of the company, the efficient markets are considered the source of truthful representation of value, and the state is supposed to guarantee both the fair play between investors and a minimum revenue for money owners, to be extracted from the rest of society through the tax system. The formula thus legitimizes and renders self-evident power relations that sustain the global inequalities produced by the finance industry.</w:t>
      </w:r>
    </w:p>
    <w:p>
      <w:r>
        <w:t>POSSIBLE 2021: Does it pay to be environmentally responsible? Investigating the effect on the weighted average cost of capital — https://doi.org/10.1002/csr.2164</w:t>
      </w:r>
    </w:p>
    <w:p>
      <w:r>
        <w:t>Shared claim-specific concepts: show, weighted, average, capital, wacc; EU scope visible. This is a provisional connection, not an outcome finding.</w:t>
      </w:r>
    </w:p>
    <w:p>
      <w:r>
        <w:t>Available abstract (not full text): Abstract This research aims at investigating the effect of firms' environmental policies on the weighted average cost of capital (WACC) in order to catch capital markets' reaction towards corporate environmental commitment and effectiveness in reducing carbon emissions. We refer to the European market and analysed a sample of companies listed on the Stoxx Europe 600 Index during the timeframe 2014–2018. Our results show that capital markets have become particularly sensitive to environmental issues and therefore reward environmentally virtuous firms with a lower after tax WACC. We also argue that this effect is prominent for both high emitting and low emitting industries.</w:t>
      </w:r>
    </w:p>
    <w:p>
      <w:r>
        <w:t>POSSIBLE 2020: Reliability Ensemble Averaging (REA) of the European regional climate change — https://doi.org/10.5194/egusphere-egu2020-10048</w:t>
      </w:r>
    </w:p>
    <w:p>
      <w:r>
        <w:t>Shared claim-specific concepts: show, weighted, average; EU scope visible. This is a provisional connection, not an outcome finding.</w:t>
      </w:r>
    </w:p>
    <w:p>
      <w:r>
        <w:t>Available abstract (not full text): The Reliability Ensemble Averaging (REA) method calculates average, uncertainty range and a measure of reliability of simulated regional climate changes from ensembles of different model simulations. The REA method is applied to mean seasonal temperature and precipitation changes in three different European spatial regimes in the period 2041-2060 and 2081-2100 relative to the reference period 1995-2014. Regional ensemble results of 55 scenario simulations for the RCP8.5 and RCP2.6 at 0.11 degree resolution over the common EURO-CORDEX domain, using 8 GCMs and 11 RCMs, are compared with the driving CMIP5 global models. For each region we show the median and the 25th-75th and 5th-95th percentile spreads of the weighted temperature and precipitation change. The spread of the changes (both 25th-75th and 5th-95th percentiles) are strongly reduced by the weightening as expected, while the best estimate changes (median) of the projection ranges varies according to the region and the season. The method is also applied to evaluate the reliability of the extreme precipitation simulations.</w:t>
      </w:r>
    </w:p>
    <w:p>
      <w:r>
        <w:t>POSSIBLE 2019: Impact of weighted average cost of capital, capital expenditure, and other parameters on future utility‐scale PV levelised cost of electricity — https://doi.org/10.1002/pip.3189</w:t>
      </w:r>
    </w:p>
    <w:p>
      <w:r>
        <w:t>Shared claim-specific concepts: weighted, average, capital, wacc; EU scope visible. This is a provisional connection, not an outcome finding.</w:t>
      </w:r>
    </w:p>
    <w:p>
      <w:r>
        <w:t>Available abstract (not full text): Abstract Solar photovoltaics (PV) is already the cheapest form of electricity generation in many countries and market segments. Market prices of PV modules and systems have developed so fast that it is difficult to find reliable up to date public data on real PV capital (CAPEX) and operational expenditures (OPEX) on which to base the levelised cost of electricity (LCOE) calculations. This paper projects the future utility‐scale PV LCOE until 2050 in several European countries. It uses the most recent and best available public input data for the PV LCOE calculations and future projections. Utility‐scale PV LCOE in 2019 in Europe with 7% nominal weighted average cost of capital (WACC) ranges from 24 €/MWh in Malaga to 42 €/MWh in Helsinki. This is remarkable since the average electricity day‐ahead market price in Finland was 47 €/MWh and in Spain 57 €/MWh in 2018. This means that PV is already cheaper than average spot market electricity all over Europe. By 2030, PV LCOE will range from 14 €/MWh in Malaga to 24 €/MWh in Helsinki with 7% nominal WACC. This range will be 9 to 15 €/MWh by 2050, making PV clearly the cheapest form of electricity generation everywhere. Sensitivity analysis shows that apart from location, WACC is the most important input parameter in the calculation of PV LCOE. Increasing nominal WACC from 2 to 10% will double the LCOE. Changes in PV CAPEX and OPEX, le</w:t>
      </w:r>
    </w:p>
    <w:p>
      <w:r>
        <w:t>POSSIBLE 2018: Monitoring compositional data using multivariate exponentially weighted moving average scheme — https://doi.org/10.1002/qre.2260</w:t>
      </w:r>
    </w:p>
    <w:p>
      <w:r>
        <w:t>Shared claim-specific concepts: show, weighted, average, based; EU scope visible. This is a provisional connection, not an outcome finding.</w:t>
      </w:r>
    </w:p>
    <w:p>
      <w:r>
        <w:t>Available abstract (not full text): Abstract Recently, the monitoring of compositional data by means of control charts has been investigated in the statistical process control literature. In this article, we develop a Phase II multivariate exponentially weighted moving average control chart, for the continuous surveillance of compositional data based on a transformation into coordinate representation. We use a Markov chain approximation to determine the performance of the proposed multivariate control chart. The optimal multivariate exponentially weighted moving average smoothing constants, control limits, and out‐of‐control average run lengths have been computed for different combinations of the in‐control average run lengths and the number of variables. Several tables are presented and enumerated to show the statistical performance of the proposed control chart. An example illustrates the use of this chart on an industrial problem from a plant in Europe.</w:t>
      </w:r>
    </w:p>
    <w:p>
      <w:pPr>
        <w:pStyle w:val="Heading2"/>
      </w:pPr>
      <w:r>
        <w:t>Modeling the climatic suitability of leishmaniasis vector species in Europe</w:t>
      </w:r>
    </w:p>
    <w:p>
      <w:r>
        <w:t>Original source (2017): https://doi.org/10.1038/s41598-017-13822-1</w:t>
      </w:r>
    </w:p>
    <w:p>
      <w:r>
        <w:t>Original wording (abstract; indexed_source_text_not_full_document_verified): Climate change will affect the geographical distribution of many species in the future. An increased number of vector species, or a higher abundance of a single species, might result in a higher transmission risk of leishmaniasis, provided that the pathogens follow the projected range shifts.</w:t>
      </w:r>
    </w:p>
    <w:p>
      <w:r>
        <w:t>POSSIBLE 2026: How will climate change affect future European forest productivity by 2100 ? — https://openalex.org/W7205234882</w:t>
      </w:r>
    </w:p>
    <w:p>
      <w:r>
        <w:t>Shared claim-specific concepts: climate, affect; EU scope visible. This is a provisional connection, not an outcome finding.</w:t>
      </w:r>
    </w:p>
    <w:p>
      <w:r>
        <w:t>Available abstract (not full text): International audience</w:t>
      </w:r>
    </w:p>
    <w:p>
      <w:r>
        <w:t>POSSIBLE 2025: Ash dieback and hydrology affect tree growth patterns under climate change in European floodplain forests — https://doi.org/10.1038/s41598-025-92079-5</w:t>
      </w:r>
    </w:p>
    <w:p>
      <w:r>
        <w:t>Shared claim-specific concepts: climate, affect, species, increased, pathogens; EU scope visible. This is a provisional connection, not an outcome finding.</w:t>
      </w:r>
    </w:p>
    <w:p>
      <w:r>
        <w:t>Available abstract (not full text): Floodplain forests are currently undergoing substantial reorganization processes due to the combined effects of management-induced altered hydrological conditions, climate change and novel invasive pathogens. Nowadays, the ash dieback is one of the most concerning diseases affecting European floodplain forests, causing substantial tree mortality and threatening the loss of the dominant key tree species of the hardwood floodplain forest, Fraxinus excelsior. Understanding how the increased light availability caused by pathogen-driven mortality in combination with altered hydrological conditions and climate change affects growth responses in a diverse forest community is of crucial importance for conservation efforts. Thus, we examined growth of the main tree species in response to ash dieback and how it depended on altered hydrological conditions under novel climatic conditions for the lower and upper canopy in the floodplain forest of Leipzig, Germany. Our study period encompassed the consecutive drought years from 2018 to 2020. We found that tree growth responded mostly positively to increased light availability, but only on moist sites, while tree growth largely declined on dry sites, suggesting that water availability is a critical factor for tree species to be able to benefit from increased light availability due to canopy disturbances caused by ash dieback. This hydrologica</w:t>
      </w:r>
    </w:p>
    <w:p>
      <w:r>
        <w:t>POSSIBLE 2025: How will climate change affect future European forest productivity by year 2100?: analysis of European species — https://openalex.org/W7138825369</w:t>
      </w:r>
    </w:p>
    <w:p>
      <w:r>
        <w:t>Shared claim-specific concepts: climate, affect, species; EU scope visible. This is a provisional connection, not an outcome finding.</w:t>
      </w:r>
    </w:p>
    <w:p>
      <w:r>
        <w:t>Available abstract (not full text): BES annual meeting, Edinburgh 18th December 2025</w:t>
      </w:r>
    </w:p>
    <w:p>
      <w:r>
        <w:t>POSSIBLE 2025: How Can Climate Change Conditions and Environmental Regulation with the Presence of COVID-19 Pandemic Affect the Human Health in the European Union countries? — https://doi.org/10.1007/s13132-025-02778-7</w:t>
      </w:r>
    </w:p>
    <w:p>
      <w:r>
        <w:t>Shared claim-specific concepts: climate, affect; EU scope visible. This is a provisional connection, not an outcome finding.</w:t>
      </w:r>
    </w:p>
    <w:p>
      <w:r>
        <w:t>Available abstract (not full text): Unavailable</w:t>
      </w:r>
    </w:p>
    <w:p>
      <w:r>
        <w:t>POSSIBLE 2024: Climate change and human rights: how a landmark legal victory in Europe could affect NZ — https://doi.org/10.64628/aa.w393n9fmr</w:t>
      </w:r>
    </w:p>
    <w:p>
      <w:r>
        <w:t>Shared claim-specific concepts: climate, affect; EU scope visible. This is a provisional connection, not an outcome finding.</w:t>
      </w:r>
    </w:p>
    <w:p>
      <w:r>
        <w:t>Available abstract (not full text): Unavailable</w:t>
      </w:r>
    </w:p>
    <w:p>
      <w:r>
        <w:t>POSSIBLE 2024: Does Climate Change and Energy Consumption Affect the Food Security of European Union Countries? Empirical Evidence from a Panel Study — https://doi.org/10.3390/en17133237</w:t>
      </w:r>
    </w:p>
    <w:p>
      <w:r>
        <w:t>Shared claim-specific concepts: climate, affect, increased; EU scope visible. This is a provisional connection, not an outcome finding.</w:t>
      </w:r>
    </w:p>
    <w:p>
      <w:r>
        <w:t xml:space="preserve">Available abstract (not full text): This study aims to provide empirical evidence on whether using renewable and non-renewable energy, CO₂ emissions and the resulting changes in temperature and precipitation can alter cereal yields in European Union countries. To this end, a panel data set covering 1992-2021 has been used to analyse the impact of climate change and economic factors on cereal production in European Union countries. The study employed various analytical techniques to understand better the relationship between climate change, energy consumption, and economic growth. These included using annual average temperature and rainfall to measure climate change and energy consumption and economic growth to analyse the economic aspects. To achieve the objective, feasible generalised least squares (FGLS) models with robust standard errors and bootstrap and a quantile regression (QR) model with marginal analysis were employed. The Westerlund cointegration test confirmed the presence of cointegration between cereal production and climate variables, economic growth, and energy consumption. The results indicate that increases in temperature and precipitation may contribute to increased cereal production in European Union countries. In contrast, energy consumption, including renewable energy and CO₂ emissions, may have a nonlinear effect on cereal production. Quantile regression analysis suggests climate change may </w:t>
      </w:r>
    </w:p>
    <w:p>
      <w:r>
        <w:t>POSSIBLE 2024: Will climate change affect the proportion of melanistic northern vipers Vipera berus in a western European population with an exceptionally high rate of melanism? — https://doi.org/10.33256/hb168.2931</w:t>
      </w:r>
    </w:p>
    <w:p>
      <w:r>
        <w:t>Shared claim-specific concepts: climate, affect; EU scope visible. This is a provisional connection, not an outcome finding.</w:t>
      </w:r>
    </w:p>
    <w:p>
      <w:r>
        <w:t>Available abstract (not full text): Unavailable</w:t>
      </w:r>
    </w:p>
    <w:p>
      <w:r>
        <w:t>POSSIBLE 2024: Environmental Investments and Climate Change: How Environmental Protection Expenditure and Gross Domestic Product Affect Emissions in the European Union — https://doi.org/10.13044/j.sdewes.d12.0528</w:t>
      </w:r>
    </w:p>
    <w:p>
      <w:r>
        <w:t>Shared claim-specific concepts: climate, affect, many, increased; EU scope visible. This is a provisional connection, not an outcome finding.</w:t>
      </w:r>
    </w:p>
    <w:p>
      <w:r>
        <w:t>Available abstract (not full text): This study analyses the relationships between economic development, environmental investments, and greenhouse gas emissions in the European Union for the period 2008-2022. Using correlation and regression analysis of data from Eurostat, the study assesses the impact of environmental protection expenditure and gross domestic product on greenhouse gas emissions. The results reveal a stable upward trend in environmental protection expenditure, especially in recent years, reflecting the European Union's growing commitment to sustainable development. At the same time, greenhouse gas emissions show an overall downward trend, with the sharpest decline between 2019 and 2020, likely due to the impact of the coronavirus disease pandemic. The correlation analysis confirms a significant inverse relationship between environmental investments and emissions, demonstrating the positive effect of "green" spending on reducing the carbon footprint. An important observation is that in many years, environmental expenditure grows at a faster rate than the European Union's gross domestic product, emphasizing the increased commitment to environmental issues even in conditions of economic growth. The regression analysis shows a strong relationship between the predictors (gross domestic product and environmental expenditure) and greenhouse gas emissions. Despite the expectation that economic growth woul</w:t>
      </w:r>
    </w:p>
    <w:p>
      <w:r>
        <w:t>POSSIBLE 2023: Will Climate Change Affect the Disease Progression of Septoria Tritici Blotch in Northern Europe? — https://doi.org/10.3390/agronomy13041005</w:t>
      </w:r>
    </w:p>
    <w:p>
      <w:r>
        <w:t>Shared claim-specific concepts: climate, affect, distribution, increased, single; EU scope visible. This is a provisional connection, not an outcome finding.</w:t>
      </w:r>
    </w:p>
    <w:p>
      <w:r>
        <w:t>Available abstract (not full text): Septoria tritici blotch (STB), caused by the fungus Zymoseptoria tritici Desm., is the most important disease affecting wheat in Northern Europe. There is a strong correlation between STB and weather variables; therefore, research on climate change and epidemiology is essential. In a long-term survey across 25 years, we evaluated the epidemiological development of STB at a representative location under maritime climatic conditions. The surveys conducted between 1996 and 2021 showed an increase in disease severity of STB with respect to time. At the survey location, the plants were also evaluated for other diseases, but other foliar diseases were only observed with negligible severities. However, a continuous increase in the severity of STB was observed throughout the survey. During the survey period, there was no significant relationship between disease severity and single weather parameters (e.g., temperature and precipitation). However, seasonal changes in the progression of conducive STB conditions within the season were observed during the survey. Therefore, STB infections occurred at increased temperatures due to infections later during the growth season. In general, the distribution of conducive weather conditions, which supports an infection, determines the epidemiological behaviour of STB during the growing season. Due to these enhanced STB epidemics, a decline in wheat</w:t>
      </w:r>
    </w:p>
    <w:p>
      <w:r>
        <w:t>POSSIBLE 2023: Climate-induced changes in ocean productivity and food-web functioning are projected to markedly affect European fisheries catch — https://doi.org/10.3354/meps14328</w:t>
      </w:r>
    </w:p>
    <w:p>
      <w:r>
        <w:t>Shared claim-specific concepts: climate, affect, species, higher; EU scope visible. This is a provisional connection, not an outcome finding.</w:t>
      </w:r>
    </w:p>
    <w:p>
      <w:r>
        <w:t>Available abstract (not full text): In European waters, climate-induced changes in ocean conditions will alter marine ecosystems, leading to potential repercussions for the European fisheries and the status of exploited species. Here, we used a new version of the EcoTroph model, forced by a regional high-resolution coupled hydrodynamic-ecosystem model, to investigate the effects of climate change on biomass and catch in 15 areas (ICES divisions) of the European Atlantic shelf ecosystems. Based on the projected changes in temperature, zooplankton and benthic secondary producers, we modeled the changes in biomass and catch at each trophic level by the end of the 21st century. We projected that total biomass and catch for the whole Atlantic European seas would decrease by 11.5 and 10.0%, respectively, by 2090-2099 relative to 2013-2017 under a ‘no mitigation’ greenhouse gases emissions scenario (RCP8.5). The projected decrease in catch is 310000 or 240000 t by 2090-2099 under a high (RCP8.5) or a moderate (RCP4.5) emissions scenario, respectively. Some areas, such as the Celtic Sea, would be more affected than others, while the climate impact on the bentho-demersal biomass and catches would be more pronounced, especially toward the higher trophic levels. Our study suggests that climate change may strongly impact European fisheries, with ecological consequences and potential socio-economic repercussions. Future studi</w:t>
      </w:r>
    </w:p>
    <w:p>
      <w:r>
        <w:t>POSSIBLE 2022: Climate Change on Extreme Winds Already Affects Wind Energy Availability in Europe — https://doi.org/10.5194/egusphere-egu22-9634</w:t>
      </w:r>
    </w:p>
    <w:p>
      <w:r>
        <w:t>Shared claim-specific concepts: climate, affect; EU scope visible. This is a provisional connection, not an outcome finding.</w:t>
      </w:r>
    </w:p>
    <w:p>
      <w:r>
        <w:t>Available abstract (not full text): Climate change is one of the most urgent challenges that humankind confronts nowadays. In order to mitigate its effects, the European Union aims to be climate-neutral, i.e. set the Greenhouse Gas (GHG) emissions to zero, by 2050. In this context, renewable energies (REs) play a key role: on the one hand their development and extensive usage can help to reduce the GHG emissions, on the other hand substantial local changes in atmospheric conditions could modify, for better or for worse, their efficiency. Extreme atmospheric events, in particular, can badly affect the efficiency of the RE infrastructures, preventing them from working or even damaging them. In this work, we focus on wind energy off shore, on the European panorama, with the purpose of estimate the behavior of extreme high winds, over the period 1950-2020, and their impact on wind energy availability. Indeed, the potential wind power production, according to the working regimes of a wind turbine, depends only on the wind speed and, over a certain wind speed threshold, called cut-off speed (25 m s-1), the turbine stops working. By using 6-hourly ERA5 reanalysis data-set and convection permitting simulations, covering the European domain and a period from 1950 to 2020 and from 2000 to 2009 respectively, we analysed the 100 m wind speed over the cut-off threshold and its relation with the geopotential height at 500 hPa,</w:t>
      </w:r>
    </w:p>
    <w:p>
      <w:r>
        <w:t>POSSIBLE 2022: Agricultural management, bedrock, and vulnerability of sexual reproduction to climate change affect the occurrence of a European near-endemic moss — https://doi.org/10.11646/bde.45.1.11</w:t>
      </w:r>
    </w:p>
    <w:p>
      <w:r>
        <w:t>Shared claim-specific concepts: climate, affect, distribution, species; EU scope visible. This is a provisional connection, not an outcome finding.</w:t>
      </w:r>
    </w:p>
    <w:p>
      <w:r>
        <w:t>Available abstract (not full text): We investigated whether the European near-endemic moss Drepanocladus lycopodioides has declined in its core distribution area in the southern Baltic Sea region and explored potential explanations for this. First, we re-visited sites with documented records from 1854 to 1957 in the Stockholm archipelago and nearby mainland in southern Sweden. Second, we compared the numbers and distributions of Swedish occurrences, their habitats, and substrates up to 1950 (289 herbarium records), and from 1951 onwards (347) using different map layers. Third, we explored whether inter-annual variation in reproductive performance was related to moisture conditions at five sites on an island in the Stockholm archipelago during nine years. We estimated moisture conditions based on precipitation data and dry days during the time when fertilization occurs in the year prior to sporophyte maturation. Drepanocladus lycopodioides has strongly decreased in intensively managed agricultural landscapes but remains frequent in natural or semi-natural habitats on limestone. Sporophyte development varied between years and depended on the weather condition during the fertilization period. Climate forecasts for the study area predict longer dry spells during late spring to late summer, which coincides with the timing of sexual branch initiation and fertilization in the species. We expect that sporophyte productio</w:t>
      </w:r>
    </w:p>
    <w:p>
      <w:pPr>
        <w:pStyle w:val="Heading2"/>
      </w:pPr>
      <w:r>
        <w:t>Multi-model ensemble simulations of olive pollen distribution in Europe in 2014: current status and outlook</w:t>
      </w:r>
    </w:p>
    <w:p>
      <w:r>
        <w:t>Original source (2017): https://doi.org/10.5194/acp-17-12341-2017</w:t>
      </w:r>
    </w:p>
    <w:p>
      <w:r>
        <w:t>Original wording (abstract; indexed_source_text_not_full_document_verified): The best skill scores were obtained with data fusion, which used the previous-days observations to identify the optimal weighting coefficients of the individual model forecasts. Such combinations were tested for the forecasting period up to 4 days and shown to remain nearly optimal throughout the whole period.</w:t>
      </w:r>
    </w:p>
    <w:p>
      <w:r>
        <w:t>POSSIBLE 2025: Factors explaining adolescents’ digital skills in Europe — https://doi.org/10.1057/s41599-025-05241-9</w:t>
      </w:r>
    </w:p>
    <w:p>
      <w:r>
        <w:t>Shared claim-specific concepts: skill, scores, data; EU scope visible. This is a provisional connection, not an outcome finding.</w:t>
      </w:r>
    </w:p>
    <w:p>
      <w:r>
        <w:t>Available abstract (not full text): Information and Communication Technologies (ICTs) play a pivotal role in the everyday lives of children and adolescents, shaping their educational experiences, leisure pursuits, and well-being. Thus, it is imperative for young individuals to have the capacity to employ digital skills adeptly, leading to tangible advantages for their personal growth and development. Yet, despite being born and brought up in a digital era and surrounded by digital devices, children and young people may lack the necessary knowledge and digital skills essential for leveraging ICTs effectively and preparing for a life in a digital society. This challenge is closely linked to the concept of the digital divide, which highlights disparities in access to and effective use of digital technologies based on socio-economic and demographic factors. The present paper utilizes raw data from the latest PISA 2022 survey to examine factors explaining digital skill scores of 15-year-old students in Europe in connection with several socio-demographic variables, namely gender, parental education, and migration background, as well as interest toward ICT, distraction from digital devices, and time spent on the internet. The results reveal significant differences amongst countries, and potential predictors of digital skills are provided for each European country separately. Overall life satisfaction was also examined a</w:t>
      </w:r>
    </w:p>
    <w:p>
      <w:r>
        <w:t>POSSIBLE 2022: The Determinants of Internet User Skills in Europe — https://doi.org/10.20944/preprints202205.0263.v1</w:t>
      </w:r>
    </w:p>
    <w:p>
      <w:r>
        <w:t>Shared claim-specific concepts: best, obtained, data; EU scope visible. This is a provisional connection, not an outcome finding.</w:t>
      </w:r>
    </w:p>
    <w:p>
      <w:r>
        <w:t>Available abstract (not full text): The following article indicates the determinants of “Internet User Skills” among European countries based on the application of the database deriving from the DESI-Index. The data were analyzed using the following econometric models, namely: Panel Data with Fixed Effects, Panel Data with Random Effects, Pooled OLS, WLS, WLS corrected for heteroskedasticity. The Elbow method and the Silouette coefficient method were compared for the optimization of the number of clusters obtained by the k-Means algorithm. The result shows the presence of 5 clusters. A network analysis was carried out using the Euclidean distance with the result of identifying two network structures between some analyzed countries. subsequently a comparison was made between six different machine learning algorithms for the prediction of the future value of the variable of interest. The result shows that the best predictor algorithm is Gradient Boosted Tree Regression with an expected value of the predicted variable increasing by a value of 1.75%. Later a further comparison was made by comparing 6 algorithms with the increased data. The result shows that the best predictor is Simple Regression Tree. The interest variable is predicted to decrease by an amount equal to -6.099%. Statistical errors improve on average by 32.43% in the transition between the original data and the increased data.</w:t>
      </w:r>
    </w:p>
    <w:p>
      <w:r>
        <w:t>POSSIBLE 2021: Sensitivity of Skill Score Metric to Validate Lagrangian Simulations in Coastal Areas: Recommendations for Search and Rescue Applications — https://doi.org/10.3389/fmars.2021.630388</w:t>
      </w:r>
    </w:p>
    <w:p>
      <w:r>
        <w:t>Shared claim-specific concepts: best, skill, obtained, used, observations; EU scope not established. This is a provisional connection, not an outcome finding.</w:t>
      </w:r>
    </w:p>
    <w:p>
      <w:r>
        <w:t>Available abstract (not full text): Search and rescue (SAR) modeling applications, mostly based on Lagrangian tracking particle algorithms, rely on the accuracy of met-ocean forecast models. Skill assessment methods are therefore required to evaluate the performance of ocean models in predicting particle trajectories. The Skill Score (SS), based on the Normalized Cumulative Lagrangian Separation (NCLS) distance between simulated and satellite-tracked drifter trajectories, is a commonly used metric. However, its applicability in coastal areas, where most of the SAR incidents occur, is difficult and sometimes unfeasible, because of the high variability that characterizes the coastal dynamics and the lack of drifter observations. In this study, we assess the performance of four models available in the Ibiza Channel (Western Mediterranean Sea) and evaluate the applicability of the SS in such coastal risk-prone regions seeking for a functional implementation in the context of SAR operations. We analyze the SS sensitivity to different forecast horizons and examine the best way to quantify the average model performance, to avoid biased conclusions. Our results show that the SS increases with forecast time in most cases. At short forecast times (i.e., 6 h), the SS exhibits a much higher variability due to the short trajectory lengths observed compared to the separation distance obtained at timescales not properly resolve</w:t>
      </w:r>
    </w:p>
    <w:p>
      <w:r>
        <w:t>POSSIBLE 2020: Best practice for the nuclear medicine technologist in CT-based attenuation correction and calcium score for nuclear cardiology — https://doi.org/10.1186/s41824-020-00080-0</w:t>
      </w:r>
    </w:p>
    <w:p>
      <w:r>
        <w:t>Shared claim-specific concepts: best, identify, throughout; EU scope visible. This is a provisional connection, not an outcome finding.</w:t>
      </w:r>
    </w:p>
    <w:p>
      <w:r>
        <w:t>Available abstract (not full text): The use of hybrid systems is increasingly growing in Europe and this is progressively important for the final result of diagnostic tests. As an integral part of the hybrid imaging system, computed tomography (CT) plays a crucial role in myocardial perfusion imaging diagnostics. Throughout Europe, a variety of equipment is available and also different university curricula of the nuclear medicine technologist are observed. Hence, the Technologist Committee of the European Association of Nuclear Medicine proposes to identify, through a bibliographic review, the recommendations for best practice in computed tomography applied to attenuation correction and calcium score in myocardial perfusion imaging, which courses in the set of knowledge, skills, and competencies for nuclear medicine technologists. This document aims at providing recommendations for CT acquisition protocols and CT image optimization in nuclear cardiology.</w:t>
      </w:r>
    </w:p>
    <w:p>
      <w:r>
        <w:t>POSSIBLE 2020: Extratropical Prediction Skill of the Subseasonal‐to‐Seasonal (S2S) Prediction Models — https://doi.org/10.1029/2019jd031273</w:t>
      </w:r>
    </w:p>
    <w:p>
      <w:r>
        <w:t>Shared claim-specific concepts: best, skill, forecasts, days; EU scope visible. This is a provisional connection, not an outcome finding.</w:t>
      </w:r>
    </w:p>
    <w:p>
      <w:r>
        <w:t>Available abstract (not full text): Abstract The deterministic prediction skill of the 10 operational models participating in the subseasonal‐to‐seasonal (S2S) prediction project is assessed for both the extratropical stratosphere and troposphere. Based on the mean squared skill score of 50‐ and 500‐hPa geopotential height forecasts, the overall prediction skill is on average 16 days in the stratosphere and 9 days in the troposphere. The high‐top models with a fully resolved stratosphere typically have a higher prediction skill than the low‐top models. Among them, the European Centre for Medium‐Range Weather Forecasts model shows the best performance in both hemispheres. The decomposition of model errors reveals that eddy errors are more important than zonal‐mean errors in both the stratosphere and troposphere. While the errors in the stratosphere are dominated by planetary‐scale eddies, those in the troposphere are equally influenced by planetary‐ and synoptic‐scale eddies. This result indicates that subseasonal‐to‐seasonal prediction could be improved by better representing planetary‐scale wave activities in the model.</w:t>
      </w:r>
    </w:p>
    <w:p>
      <w:r>
        <w:t>POSSIBLE 2019: Seasonal streamflow forecasts for Europe – Part 2: Sources of skill — https://doi.org/10.5194/hess-23-371-2019</w:t>
      </w:r>
    </w:p>
    <w:p>
      <w:r>
        <w:t>Shared claim-specific concepts: skill, forecasts; EU scope visible. This is a provisional connection, not an outcome finding.</w:t>
      </w:r>
    </w:p>
    <w:p>
      <w:r>
        <w:t>Available abstract (not full text): Abstract. Seasonal predictions can be exploited among others to optimize hydropower energy generation, navigability of rivers and irrigation management to decrease crop yield losses. This paper is the second of two papers dealing with a model-based system built to produce seasonal hydrological forecasts (WUSHP: Wageningen University Seamless Hydrological Prediction system), applied here to Europe. Whereas the first paper presents the development and the skill evaluation of the system, this paper provides explanations for the skill. In WUSHP hydrology is simulated by running the Variable Infiltration Capacity (VIC) hydrological model with meteorological forcing from bias-corrected output of ECMWF's Seasonal Forecasting System 4 (S4). WUSHP is probabilistic. For the assessment of skill, hindcast simulations (1981–2010) were carried out. To explain skill, we first looked at the forcing and found considerable skill in the precipitation forecasts of the first lead month but hardly any significant skill for later lead months. Seasonal forecasts for temperature have more skill. Skill in summer temperature is related to climate change and more or less independent of lead time. Skill in February and March is unrelated to climate change. Sources of skill in runoff were isolated with Ensemble Streamflow Prediction (ESP) experiments. These revealed that beyond the second lead month simulat</w:t>
      </w:r>
    </w:p>
    <w:p>
      <w:r>
        <w:t>POSSIBLE 2018: Skill of Subseasonal Forecasts in Europe: Effect of Bias Correction and Downscaling Using Surface Observations — https://doi.org/10.1029/2017jd027923</w:t>
      </w:r>
    </w:p>
    <w:p>
      <w:r>
        <w:t>Shared claim-specific concepts: skill, scores, used, observations, forecasts, period; EU scope visible. This is a provisional connection, not an outcome finding.</w:t>
      </w:r>
    </w:p>
    <w:p>
      <w:r>
        <w:t>Available abstract (not full text): Abstract Subseasonal predictions bridge the gap between medium‐range weather forecasts and seasonal climate predictions. This time horizon is of crucial importance for many planning purposes, including energy production and agriculture. The verification of such predictions is normally done for areal averages of upper‐air parameters. Only few studies exist that verify the forecasts for surface parameters with observational stations, although this is crucial for real‐world applications, which often require such predictions at specific surface locations. With this study we provide an extensive station‐based verification of subseasonal forecasts against 1,637 ground based observational time series across Europe. Twenty years of temperature and precipitation reforecasts of the European Centre for Medium‐Range Weather Forecasts Integrated Forecasting System are used to analyze the period of April 1995 to March 2014. A lead time and seasonally dependent bias correction is performed to correct the daily temperature and precipitation forecasts at all stations individually. Two bias correction techniques are compared, a mean debiasing method and a quantile mapping approach. Commonly used skill scores characterizing different aspects of forecast quality are computed for weekly aggregated forecasts with lead times of 5–32 days. Overall, promising skill is found for temperature in all seaso</w:t>
      </w:r>
    </w:p>
    <w:p>
      <w:pPr>
        <w:pStyle w:val="Heading2"/>
      </w:pPr>
      <w:r>
        <w:t>New EU-scale environmental scenarios until 2050 – Scenario process and initial scenario applications</w:t>
      </w:r>
    </w:p>
    <w:p>
      <w:r>
        <w:t>Original source (2017): https://doi.org/10.1016/j.ecoser.2017.08.006</w:t>
      </w:r>
    </w:p>
    <w:p>
      <w:r>
        <w:t>Original wording (abstract; indexed_source_text_not_full_document_verified): In a participatory iterative approach four scenarios were developed for the period to 2050, involving regional and EU-level users and stakeholders. Understanding uncertainties and risks can be considered to be the main motivation behind environmental scenario studies to assess potential economic, environmental, social or technical developments and their expected consequences for society and environment.</w:t>
      </w:r>
    </w:p>
    <w:p>
      <w:r>
        <w:t>POSSIBLE 2026: Mapping Participatory Approaches in Health Care Provision for Older Immigrants in Europe: A Scoping Review — https://doi.org/10.1007/s10903-026-01923-x</w:t>
      </w:r>
    </w:p>
    <w:p>
      <w:r>
        <w:t>Shared claim-specific concepts: participatory, regional, potential; EU scope visible. This is a provisional connection, not an outcome finding.</w:t>
      </w:r>
    </w:p>
    <w:p>
      <w:r>
        <w:t>Available abstract (not full text): Europe faces the dual challenges of population ageing and increasing migration, resulting in a growing demographic of older immigrants with complex healthcare needs. Despite extensive research on ageing and migration, regional evidence on healthcare provision for older immigrants remains fragmented. Participatory approaches that integrate the voices and experiences of older immigrants can improve cultural sensitivity, accessibility, and health equity, ultimately leading to better outcomes. This scoping review seeks to contribute to filling the existing knowledge gap by systematically mapping the literature on healthcare provision using participatory approaches for older immigrants in Europe. This scoping review followed Arksey and O'Malley's methodological framework and the PRISMA-ScR reporting guidelines. A comprehensive search of five electronic databases was conducted in February 2025. Eligible studies included empirical research focusing on immigrants aged 60 years and older in Europe that used participatory approaches to healthcare provision. Data were charted and synthesized thematically to identify barriers and facilitators of healthcare utilization discussed in the context of participatory approaches, as well as gaps in the literature. From 2,411 records, 23 studies published between 2011 and 2025 met the inclusion criteria. Most were conducted in the United Kingdom, De</w:t>
      </w:r>
    </w:p>
    <w:p>
      <w:r>
        <w:t>POSSIBLE 2026: Envisioning the future of European mountain value chains: a participatory foresight approach — https://doi.org/10.1007/s10113-025-02454-1</w:t>
      </w:r>
    </w:p>
    <w:p>
      <w:r>
        <w:t>Shared claim-specific concepts: participatory, approach, four, regional, understanding; EU scope visible. This is a provisional connection, not an outcome finding.</w:t>
      </w:r>
    </w:p>
    <w:p>
      <w:r>
        <w:t>Available abstract (not full text): Abstract Mountain regions, vital socio-ecological systems covering 36% of Europe, face intensifying challenges from climate change, demographic shifts, and economic transformations, necessitating strategic long-term planning. This study presents a multi-regional participatory foresight exercise conducted across 22 European mountain areas to explore future scenarios and strategic pathways for sustainable development by 2050. Through stakeholder-driven workshops, key long-term forces shaping mountain value chains were identified, leading to the development of four archetypal futures based on their respective Theories of Change: Economic, Nature, Niche &amp; Diversification, and Knowledge &amp; Innovation, which serve as tools for understanding diverse regional trajectories and guiding strategic interventions. Findings emphasize the need for integrated, stakeholder-inclusive foresight approaches that go beyond traditional policy frameworks. The research highlights the importance of embedding value chain decisions within broader societal concerns and territorial sustainability strategies. By structuring long-term projections through archetypes, the research facilitates proactive thinking beyond short-term horizons, preventing maladaptation and fostering resilience. This research contributes to foresight methodologies by integrating participatory scenario-building with strategic thinking, s</w:t>
      </w:r>
    </w:p>
    <w:p>
      <w:r>
        <w:t>POSSIBLE 2026: Mediating heritage through design: Participatory approaches to post-digital transformation — https://doi.org/10.21606/drs.2026.2338</w:t>
      </w:r>
    </w:p>
    <w:p>
      <w:r>
        <w:t>Shared claim-specific concepts: participatory, iterative, approach; EU scope visible. This is a provisional connection, not an outcome finding.</w:t>
      </w:r>
    </w:p>
    <w:p>
      <w:r>
        <w:t>Available abstract (not full text): This research explores how design mediates the digital transformation of cultural heritage through hybrid and multisensory installations in archaeological contexts. Using the Case Romane del Celio in Rome as a pilot site for the European project HeritAdapt, it aims to redistribute visitor flows and promote sustainable tourism by enhancing the intangible value of minor sites. The study contributes to the post-digital museology debate by framing design as a critical, participatory practice operating across physical and virtual dimensions, fostering collaboration among engineering, management and restoration. Combining Service Design, Extended Reality and Artificial Intelligence technologies, qualitative research and iterative prototyping guided the creation of an integrated experience along the entire visitor journey. The approach seeks symbiotic interventions that ensure long-term sustainability, stakeholder involvement, storytelling-based engagement, heritage preservation and promotion. Following a testing phase, the project will develop toolkits and guidelines for GLAMs, enabling adaptable, accessible, and context-grounded digital interventions in heritage scenarios.</w:t>
      </w:r>
    </w:p>
    <w:p>
      <w:r>
        <w:t>POSSIBLE 2026: Developing evidence-based health education resources: a participatory and iterative approach applied to the one health concept — https://doi.org/10.3389/fpubh.2026.1912836</w:t>
      </w:r>
    </w:p>
    <w:p>
      <w:r>
        <w:t>Shared claim-specific concepts: participatory, iterative, approach, involving, users, stakeholders; EU scope not established. This is a provisional connection, not an outcome finding.</w:t>
      </w:r>
    </w:p>
    <w:p>
      <w:r>
        <w:t>Available abstract (not full text): Introduction: The development of health education resources frequently relies on a top-down approach centered on scientific or institutional expertise, which may not always reflect the needs of end users. In a context marked by the emergence of the One Health concept and its forthcoming integration into French school curricula, the development of appropriate educational resources represents a major challenge. This study aimed to describe a participatory, iterative and co-constructive approach to the development of evidence-based educational resources within the e-Bug program. Methods: Resource development followed a five-step process: needs assessment based on an evidence and context review, curriculum analysis and focus groups with teachers; resource design; prototype optimization through a second series of focus groups; scientific and institutional validation; and school-based piloting. Findings from the school-based evaluation are not reported in the present methodological study and will be presented separately. Qualitative data guided successive adaptations of the resources throughout the development process. Results: The identified needs led to the development of modular educational resources, adapted to different educational levels and readily usable in the classroom. Teacher feedback primarily concerned active learning approaches, content contextualization, activity modu</w:t>
      </w:r>
    </w:p>
    <w:p>
      <w:r>
        <w:t>POSSIBLE 2025: An Iterative and Participatory Method for Mapping Inuit Knowledge of the Ice and Ocean in Nunatsiavut — https://doi.org/10.1007/s10745-025-00631-8</w:t>
      </w:r>
    </w:p>
    <w:p>
      <w:r>
        <w:t>Shared claim-specific concepts: participatory, iterative, approach; EU scope not established. This is a provisional connection, not an outcome finding.</w:t>
      </w:r>
    </w:p>
    <w:p>
      <w:r>
        <w:t>Available abstract (not full text): In 2019 and 2021, we held participatory mapping workshops in Nain, Hopedale, Postville, Makkovik, and Rigolet (Nunatsiavut, Canada) to document Labrador Inuit’s knowledge of the sea ice and ocean environment. We provide an overview of the iterative and adaptable methodological approach we used to support collaborative and transcultural marine research, emphasizing participants’ experiences during the process. The participatory mapping method created a space that encouraged participants to recall journeys across different times and places. Sharing these journeys provided essential contextual details connecting social and cultural values to the marine environment, while also conveying information about ice and ocean conditions. This approach resulted in collecting spatial and qualitative narrative data related to the marine environment that reflected local climate patterns and snapshots of unusual events or conditions observed at specific times and locations. We highlight that maps mainly facilitate knowledge-sharing rather than generating knowledge itself. This is evident in how Inuit participants interacted with the maps as objects that evoked memories and prompted movement across land-, sea-, and ice-scapes.</w:t>
      </w:r>
    </w:p>
    <w:p>
      <w:r>
        <w:t>POSSIBLE 2024: Sustainable transitions in age-friendly communities in Europe: a participatory approach — https://doi.org/10.14311/app.2024.46.0001</w:t>
      </w:r>
    </w:p>
    <w:p>
      <w:r>
        <w:t>Shared claim-specific concepts: participatory, approach, involving, stakeholders, environmental, potential; EU scope visible. This is a provisional connection, not an outcome finding.</w:t>
      </w:r>
    </w:p>
    <w:p>
      <w:r>
        <w:t>Available abstract (not full text): The ageing European population is driving the demand for age-friendly communities that support older individuals’ health and well-being. As communities navigate this transition, Transition Design emerges as a promising approach for addressing complex social and environmental challenges. This study explores the potential of Transition Design to create age-friendly communities in Europe. Drawing on examples from several European countries, this paper describes the key principles of Transition Design and how they can be applied to the development of age-friendly communities. This article highlights the importance of participatory processes in involving older people and other stakeholders in the design process, and discusses the role of technology in creating more accessible and inclusive environments. It also considers some of the challenges of implementing a transition design approach in a European context. In conclusion, this study asserts that Transition Design offers a promising approach for creating sustainable, inclusive, and responsive age-friendly communities.</w:t>
      </w:r>
    </w:p>
    <w:p>
      <w:r>
        <w:t>POSSIBLE 2024: Participatory approach for specifying user requirements for maritime border surveillance system — https://doi.org/10.54941/ahfe1005558</w:t>
      </w:r>
    </w:p>
    <w:p>
      <w:r>
        <w:t>Shared claim-specific concepts: participatory, iterative, approach, users; EU scope visible. This is a provisional connection, not an outcome finding.</w:t>
      </w:r>
    </w:p>
    <w:p>
      <w:r>
        <w:t>Available abstract (not full text): Maritime safety and security in European waters constitute of organizationally multi-layered activities, also including cooperation, coordination and information exchange between numerous civilian and military authorities and European agencies. Risks and threats at sea are multifaceted with increasing complexity over time and managing them requires increased collaboration at various levels for achieving comprehensive situational awareness and operational efficiency. A multitasking platform integrating new sensing capabilities from coastal, low-altitude and high-altitude platforms with different external data sources and exploiting novel AI supported risk assessment and visualization capabilities may support national authorities in reaching these objectives. This paper reports a user requirements development process for such a system implementing participatory, iterative design approach. Security-critical development context may severely constrain requirements process in a multi-stakeholder environment. However, in-depth interaction between users and developers does ensure consistent, holistic, and unambiguous requirements process, thus increasing technology acceptance and project success.</w:t>
      </w:r>
    </w:p>
    <w:p>
      <w:r>
        <w:t>POSSIBLE 2024: Sea Level Rise in Europe: Knowledge gaps identified through a participatory approach — https://doi.org/10.5194/sp-3-slre1-3-2024</w:t>
      </w:r>
    </w:p>
    <w:p>
      <w:r>
        <w:t>Shared claim-specific concepts: participatory, approach, four, regional, users, understanding; EU scope visible. This is a provisional connection, not an outcome finding.</w:t>
      </w:r>
    </w:p>
    <w:p>
      <w:r>
        <w:t xml:space="preserve">Available abstract (not full text): Abstract. The Intergovernmental Panel on Climate Change (IPCC) plays a pivotal role in delivering information and knowledge on sea level rise (SLR), a global threat impacting coastlines worldwide. However, considerable disparities still persist in Europe in understanding and applying sea level science, evaluating its repercussions, and devising effective adaptation strategies. These are influenced by local factors such as diverse environments, socioeconomic conditions, policy contexts, and diversity in stakeholder involvement, producing in turn varying knowledge gaps and information needs across European sea basins. In this context, this paper presents the findings of a comprehensive scoping process carried out by the European Knowledge Hub on Sea Level Rise (KH-SLR) to define the outline of the first KH-SLR Assessment Report. It consists of the analysis of stakeholder responses to an online survey and insights shared during four regional workshops, aiming to pinpoint critical gaps in available information on SLR and its potential consequences in European basins, both from a scientific and policy perspective. The analysis was divided into three categories: i) SLR science and information, ii) SLR impacts, and iii) SLR adaptation policies and decision-making. Regarding SLR science and information, many respondents found that significant gaps exist in regional SLR projections and </w:t>
      </w:r>
    </w:p>
    <w:p>
      <w:r>
        <w:t>POSSIBLE 2021: A participatory data-centric approach to AI Ethics by Design — https://doi.org/10.1080/08839514.2021.2009222</w:t>
      </w:r>
    </w:p>
    <w:p>
      <w:r>
        <w:t>Shared claim-specific concepts: participatory, approach, understanding; EU scope not established. This is a provisional connection, not an outcome finding.</w:t>
      </w:r>
    </w:p>
    <w:p>
      <w:r>
        <w:t>Available abstract (not full text): Data-driven artificial intelligence (AI) based on machine learning techniques (ML) has increasingly become an enabler in critical societal domains. However, the introduction of ML systems is often accompanied by unjustified, biased, and discriminated outcomes with severe consequences for the individuals affected. Consequently, in recent years value-based design methods have sought to anticipate and mitigate moral wrongdoing by drawing attention to ethical and epistemic challenges related to the design of AI systems. This article presents a participatory data-centric approach to AI Ethics by Design by promoting and refining insights from contributions within the family of value-sensitive design methods. The approach provides a practicable outlook on addressing epistemic and ethical issues related to data activities in early ML development project stages. Hence, the article seeks to enhance opportunities for ethically informed AI design by stressing the need for bridge building to cultivate a shared understanding among system developers and domain experts about a given data domain and its relatedness to a specific practice.</w:t>
      </w:r>
    </w:p>
    <w:p>
      <w:r>
        <w:t>POSSIBLE 2021: Participatory approaches in the development of health interventions for migrants: a systematic review — https://doi.org/10.1136/bmjopen-2021-053678</w:t>
      </w:r>
    </w:p>
    <w:p>
      <w:r>
        <w:t>Shared claim-specific concepts: participatory, approach, stakeholders; EU scope not established. This is a provisional connection, not an outcome finding.</w:t>
      </w:r>
    </w:p>
    <w:p>
      <w:r>
        <w:t>Available abstract (not full text): Abstract Objective To analyse the use of participatory approaches in research of health interventions for migrants, and how utilised approaches embody core participatory principles of democracy and power-distribution. Design A systematic review of original articles. Electronic searchers were carried out in the databases MEDLINE, Embase, Global Health and PsychINFO (from inception – Nov 2020). Eligibility criteria for study selection The analysis included original peer-reviewed research which reported on attempts to develop and implement a health intervention for migrants using participatory approaches. We defined migrants as foreign-born individuals; studies using definitions demonstrably outside of this were excluded. Only articles reporting the full research cycle (inception, design, implementation, analysis, evaluation, dissemination) were included. Data extraction Information related to who was involved in research (migrants or other non-academic stakeholders), the research stage at which they were involved (inception, design, implementation, analysis, evaluation, dissemination), and how this involvement aligned with the core principles of participatory research – categorising studies as exhibiting active, pseudo, or indirect participation of migrants. Results 1793 publication were screened of which 28 were included in our analysis. We found substantial variation in the app</w:t>
      </w:r>
    </w:p>
    <w:p>
      <w:r>
        <w:t>POSSIBLE 2020: A participatory approach: Shifting accountability in microenterprise development — https://doi.org/10.1111/faam.12252</w:t>
      </w:r>
    </w:p>
    <w:p>
      <w:r>
        <w:t>Shared claim-specific concepts: participatory, iterative, approach; EU scope not established. This is a provisional connection, not an outcome finding.</w:t>
      </w:r>
    </w:p>
    <w:p>
      <w:r>
        <w:t>Available abstract (not full text): Abstract Although non‐government organisations (NGOs) play an important role in poverty alleviation, their accountability to beneficiaries (the poor) for sustainable poverty alleviation is often criticised. In the literature, a participatory approach to strengthening NGO downward accountability has been widely discussed and various mechanisms for participation are identified; however, it is unclear how a participatory approach is implemented in practice to enhance NGO accountability to beneficiaries. Using accountability concepts, this study examines a participatory approach within the practices of NGOs engaging in microenterprise development in Bangladesh and Indonesia. Findings show that an effective participatory approach needs to address three questions: who participates, what to participate in, and how to participate. Within this approach, participation for beneficiary empowerment involves three stages: consulting, partnership, and delegated control. These stages are not linear, but rather a recurring, iterative process, providing a graduated, progressive approach to empowering beneficiaries. These stages recognise mutual accountability between the poor, as well as the public and private sectors, providing a basis for enhanced NGO accountability to beneficiaries at a strategic level – and enhanced sustainable outcomes for poverty alleviation.</w:t>
      </w:r>
    </w:p>
    <w:p>
      <w:r>
        <w:t>POSSIBLE 2018: Sketching sustainable land use in Europe by 2040: a multi-stakeholder participatory approach to elicit cross-sectoral visions — https://doi.org/10.1007/s10113-018-1297-7</w:t>
      </w:r>
    </w:p>
    <w:p>
      <w:r>
        <w:t>Shared claim-specific concepts: participatory, iterative, approach, involving, regional, stakeholders; EU scope visible. This is a provisional connection, not an outcome finding.</w:t>
      </w:r>
    </w:p>
    <w:p>
      <w:r>
        <w:t>Available abstract (not full text): The continuously growing global demands on a finite land resource will require better strategic policies and management of trade-offs to avoid conflicts between different land-use sectors. Visions of the future can support strategic planning by stimulating dialogue, building a consensus on shared priorities and providing long-term targets. We present a novel approach to elicit stakeholder visions of future desired land use, which was applied with a broad range of experts to develop cross-sectoral visions in Europe. The approach is based on (i) combination of software tools and facilitation techniques to stimulate engagement and creativity; (ii) methodical selection of stakeholders; (iii) use of land attributes to deconstruct the multifaceted sectoral visions into land-use changes that can be clustered into few cross-sectoral visions, and (iv) a rigorous iterative process. Three cross-sectoral visions of sustainable land use in Europe in 2040 emerged from applying the approach in participatory workshops involving experts in nature conservation, recreation, agriculture, forestry, settlements, energy, and water. The three visions— Best Land in Europe , Regional Connected and Local Multifunctional —shared a wish to achieve a land use that is sustainable through multifunctionality, resource use efficiency, controlled urban growth, rural renewal and widespread nature. However, they d</w:t>
      </w:r>
    </w:p>
    <w:p>
      <w:pPr>
        <w:pStyle w:val="Heading2"/>
      </w:pPr>
      <w:r>
        <w:t>Occupational Structure in European Countries: What do Forecasts Predict?</w:t>
      </w:r>
    </w:p>
    <w:p>
      <w:r>
        <w:t>Original source (2017): https://doi.org/10.17323/1996-7845-2017-04-109</w:t>
      </w:r>
    </w:p>
    <w:p>
      <w:r>
        <w:t>Original wording (abstract; indexed_source_text_not_full_document_verified): The paper demonstrates that the main occupational trend over the next decade will consist in the increasing importance of professionals, as well as technicians and associate professionals. The increase in demand for health professionals and representatives of occupations providing scientific and technological innovation will be most significant.</w:t>
      </w:r>
    </w:p>
    <w:p>
      <w:r>
        <w:t>POSSIBLE 2026: Digital communication and occupational well-being in 25 European countries — https://doi.org/10.1007/s10111-026-00902-4</w:t>
      </w:r>
    </w:p>
    <w:p>
      <w:r>
        <w:t>Shared claim-specific concepts: occupational, over, well; EU scope visible. This is a provisional connection, not an outcome finding.</w:t>
      </w:r>
    </w:p>
    <w:p>
      <w:r>
        <w:t>Available abstract (not full text): Abstract This paper examines the association between digital communication at work and employee well-being, moderated by occupational status and the fulfillment of basic psychological needs. Two studies were conducted to investigate these relationships. Study 1 utilized data from the European Social Survey, encompassing 25 countries ( N = 24,331). Study 2 involved a longitudinal survey of Finnish workers ( N = 1817) collected at nine time points over 6-month intervals from 2019 to 2023. Multilevel regression models were employed to analyze the data. Study 1 found that digital communication positively correlates with job satisfaction in Europe, with a stronger effect observed among lower-position workers. Study 2 revealed that the use of digital platforms was associated with higher work engagement and women reported significantly higher work engagement than men. However, for higher-position office workers, particularly those in supervisory roles, increased use of organizational social media platforms and excessive social media use were linked to decreased work engagement. Several interaction effects indicated that the association between digital communication as well as digital tool use and work engagement and job satisfaction is contingent on basic psychological need satisfaction and occupational status. Organizations should tailor their digital communication strategies to acco</w:t>
      </w:r>
    </w:p>
    <w:p>
      <w:r>
        <w:t>POSSIBLE 2025: Telework and Occupational Segregation in Europe — https://doi.org/10.3390/economies13100292</w:t>
      </w:r>
    </w:p>
    <w:p>
      <w:r>
        <w:t>Shared claim-specific concepts: occupational, well, occupations; EU scope visible. This is a provisional connection, not an outcome finding.</w:t>
      </w:r>
    </w:p>
    <w:p>
      <w:r>
        <w:t>Available abstract (not full text): Occupational segregation between men and women and between rural and urban areas is a persistent driver of labor market inequality in Europe. Women and rural workers are often overrepresented in lower-paid and lower-status occupations, reflecting structural barriers to occupational mobility. This paper investigates how occupational segregation varies across gender, space, and telework status and examines the potential of telework to reduce these inequalities. Using microdata from the 2023 European Labor Force Survey, we calculate segregation indices to measure occupational segregation and monetary gains, as well as losses due to segregation. We further analyze the relationship of segregation and telework. We find the highest segregation and economic disadvantages due to segregation for rural men. Female teleworkers are less clustered in feminized roles compared to non-teleworking women, suggesting that remote work can broaden occupational opportunities. Telework shows reduced segregation when primarily working remotely, but not in hybrid settings. Our findings contribute to a better understanding of spatial and gendered labor market disparities. We further identify the potential of telework to promote a more equitable occupational integration across gender and space.</w:t>
      </w:r>
    </w:p>
    <w:p>
      <w:r>
        <w:t>POSSIBLE 2025: INTEGRATION OF EUROPEAN STANDARDS OF OCCUPATIONAL HEALTH AND SAFETY, ENVIRONMENTAL MANAGEMENTAND SOCIAL SUSTAINABILITY INTO THE MANAGEMENT SYSTEMOF MARITIME INFRASTRUCTURE IN UKRAINE — https://doi.org/10.15589/smi2025.2(21).12</w:t>
      </w:r>
    </w:p>
    <w:p>
      <w:r>
        <w:t>Shared claim-specific concepts: demonstrates, main, occupational, health; EU scope visible. This is a provisional connection, not an outcome finding.</w:t>
      </w:r>
    </w:p>
    <w:p>
      <w:r>
        <w:t>Available abstract (not full text): This article explores the pressing issues surrounding the integration of European approaches to occupational health and safety, environmental protection, and social responsibility into the management systems of maritime infrastructure enterprises in Ukraine.It is emphasized that the implementation of a comprehensive, integrated approach based on international standards ISO 14001, ISO 45001, and ISO 26000 is a necessary condition for ensuring the effective functioning and sustainable development of the sector.An analysis of the current state of Ukraine's seaport system enterprises is conducted, along with a review of key strategic documents and regulatory acts that define the main directions of them reform on the example of the State Enterprise "Ukrainian Sea Ports Authority".Particular attention is paid to the positive dynamics in the functioning of seaports under martial law, which demonstrates their resilience and adaptability to external challenges.The study substantiates the application of the PDCA (Plan-Do-Check-Act) cycle as a mechanism for continuous improvement of occupational health and safety management, environmental management, and social responsibility within maritime infrastructure enterprises.The proposed PDCA implementation model facilitates the integration of relevant processes and standards into a unified management system, enabling timely Iryna V. Remeshevska</w:t>
      </w:r>
    </w:p>
    <w:p>
      <w:r>
        <w:t>POSSIBLE 2024: Immigration and Occupational Shortage in Western European Countries — https://openalex.org/W7200861707</w:t>
      </w:r>
    </w:p>
    <w:p>
      <w:r>
        <w:t>Shared claim-specific concepts: occupational, over, increase, occupations; EU scope visible. This is a provisional connection, not an outcome finding.</w:t>
      </w:r>
    </w:p>
    <w:p>
      <w:r>
        <w:t>Available abstract (not full text): In Western European countries where immigration rates are rising and labour shortages persist, the former could potentially serve as a solution to the latter. We examine the impact of an exogenous increase in migrant workers on occupational shortages in 14 Western European countries over the period 2006- 2018. We construct an occupational shortage indicator that includes five components representing supply and demand for each country and occupation at the 2-digit level each year. In our model, which assesses the influence of the migrant share on the occupational shortage index and identifies occupations facing shortages, we show that immigration flows reduce occupational shortages, with a more pronounced effect observed for migrants from non-EU countries. By recognising the contribution of migrants to addressing occupational shortages, policymakers can implement more effective strategies for managing migration flows and harnessing the potential of migrant workers not only in the EU but globally. Note:</w:t>
      </w:r>
    </w:p>
    <w:p>
      <w:r>
        <w:t>POSSIBLE 2022: Occupational Therapists and COVID-19 Pandemic: An Observational Survey in Europe — https://doi.org/10.15453/2168-6408.1923</w:t>
      </w:r>
    </w:p>
    <w:p>
      <w:r>
        <w:t>Shared claim-specific concepts: main, occupational, professionals, well, health; EU scope visible. This is a provisional connection, not an outcome finding.</w:t>
      </w:r>
    </w:p>
    <w:p>
      <w:r>
        <w:t>Available abstract (not full text): Background: The COVID-19 pandemic has resulted in a health care emergency in Europe since the first wave in 2020. Several challenges have arisen for occupational therapists, as well as all the health care professionals. The aim of this study was to determine what occupational therapists have changed to adapt their therapeutic processes for this catastrophic situation. Method: An online survey was developed and sent in conjunction with the Council of Occupational Therapy for European Countries (COTEC) to European national associations of occupational therapists. Results: The study was based on a sample of 65 occupational therapists who worked with people with COVID-19. More than half of the occupational therapists (54.8%) had changed departments. The main needs patients expressed (n = 136) during hospitalization were to have social contacts (30.9%), and the main clinical complaints (n = 144) were motor impairment and fatigue (35.4%) and depression (25.7%). The most frequently reported goal (n = 141) was recovery of physical performance and fatigue management (32.6%). Among the emotions mentioned by occupational therapists, negative emotions (76%) were the most common. Conclusion: European occupational therapists demonstrated flexibility and resilience to deal with clinical and organizational challenges during the COVID-19 emergency.</w:t>
      </w:r>
    </w:p>
    <w:p>
      <w:r>
        <w:t>POSSIBLE 2022: Occupational COPD —The most under‐recognized occupational lung disease? — https://doi.org/10.1111/resp.14272</w:t>
      </w:r>
    </w:p>
    <w:p>
      <w:r>
        <w:t>Shared claim-specific concepts: main, occupational, health, providing; EU scope not established. This is a provisional connection, not an outcome finding.</w:t>
      </w:r>
    </w:p>
    <w:p>
      <w:r>
        <w:t>Available abstract (not full text): Chronic obstructive pulmonary disease (COPD) is caused by exposure to noxious particles and gases. Smoking is the main risk factor, but other factors are also associated with COPD. Occupational exposure to vapours, gases, dusts and fumes contributes to the development and progression of COPD, accounting for a population attributable fraction of 14%. Workplace pollutants, in particular inorganic dust, can initiate airway damage and inflammation, which are the hallmarks of COPD pathogenesis. Occupational COPD is still underdiagnosed, mainly due to the challenges of assessing the occupational component of the disease in clinical settings, especially if other risk factors are present. There is a need for specific education and training for clinicians, and research with a focus on evaluating the role of occupational exposure in causing COPD. Early diagnosis and identification of occupational causes is very important to prevent further decline in lung function and to reduce the health and socio-economic burden of COPD. Establishing details of the occupational history by general practitioners or respiratory physicians could help to define the occupational burden of COPD for individual patients, providing the first useful interventions (smoking cessation, best therapeutic management, etc.). Once patients are diagnosed with occupational COPD, there is a wide international variation in a</w:t>
      </w:r>
    </w:p>
    <w:p>
      <w:r>
        <w:t>POSSIBLE 2021: Occupational Exposure to Diisocyanates in the European Union — https://doi.org/10.1093/annweh/wxab021</w:t>
      </w:r>
    </w:p>
    <w:p>
      <w:r>
        <w:t>Shared claim-specific concepts: main, occupational, health; EU scope visible. This is a provisional connection, not an outcome finding.</w:t>
      </w:r>
    </w:p>
    <w:p>
      <w:r>
        <w:t>Available abstract (not full text): OBJECTIVES: Diisocyanates are a chemical group that are widely used at workplaces in many sectors. They are also potent skin- and respiratory sensitizers. Exposure to diisocyanates is a main cause of occupational asthma in the European Union. To reduce occupational exposure to diisocyanates and consequently the cases of diisocyanate-induced asthma, a restriction on diisocyanates was recently adopted under the REACH Regulation in the European Union. METHODS: A comprehensive evaluation of the data on occupational exposure to the most important diisocyanates at workplaces was made and is reported here. The diisocyanates considered are methylene diphenyl diisocyanate (MDI), toluene diisocyanate (TDI), and hexamethylene diisocyanate (HDI), accounting for more than 95% of the market volume in the EU. The exposure assessment is based on data from Chemical Safety Reports (CSRs) of REACH Registration Dossiers, workplace air monitoring data from Germany, from the UK Health and Safety Executive (HSE), and literature data relevant for the EU, and the USA. RESULTS: Occupational exposure to diisocyanates is particularly relevant in: (i) C.A.S.E. applications (Coatings, Adhesives, Sealants, Elastomers), (ii) production of polyurethanes (PUs) (e.g. slab-stock foam), (iii) handling of partly uncured PU products (e.g. cutting, demoulding, spray application of foam), and (iv) when diisocyanates/P</w:t>
      </w:r>
    </w:p>
    <w:p>
      <w:r>
        <w:t>POSSIBLE 2021: Occupational Exposure to Electromagnetic Fields and Health Surveillance according to the European Directive 2013/35/EU — https://doi.org/10.3390/ijerph18041730</w:t>
      </w:r>
    </w:p>
    <w:p>
      <w:r>
        <w:t>Shared claim-specific concepts: occupational, well, health; EU scope visible. This is a provisional connection, not an outcome finding.</w:t>
      </w:r>
    </w:p>
    <w:p>
      <w:r>
        <w:t>Available abstract (not full text): In the European Union, health surveillance (HS) of electromagnetic fields (EMF)-exposed workers is mandatory according to the Directive 2013/35/EU, aimed at the prevention of known direct biophysical effects and indirect EMF’s effects. Long-term effects are not addressed in the Directive as the evidence of a causal relationship is considered inadequate. Objectives of HS are the prevention or early detection of EMF adverse effects, but scant evidence is hitherto available on the specific procedures. A first issue is that no specific laboratory tests or medical investigations have been demonstrated as useful for exposure monitoring and/or prevention of the effects. Another problem is the existence of workers at particular risk (WPR), i.e., subjects with specific conditions inducing an increased susceptibility to the EMF-related risk (e.g., workers with active medical devices or other conditions); exposures within the occupational exposure limit values (ELVs) are usually adequately protective against EMF’s effects, but lower exposures can possibly induce a health risk in WPR. Consequently, the HS of EMF-exposed workers according to the EU Directive should be aimed at the early detection and monitoring of the recognized adverse effects, as well as an early identification of WPR for the adoption of adequate preventive measures.</w:t>
      </w:r>
    </w:p>
    <w:p>
      <w:r>
        <w:t>POSSIBLE 2020: Occupational Exposure to Non-Ionizing radiation. Main effects and criteria for health surveillance of workers according to the European Directives — https://doi.org/10.1109/eeeic/icpseurope49358.2020.9160831</w:t>
      </w:r>
    </w:p>
    <w:p>
      <w:r>
        <w:t>Shared claim-specific concepts: main, occupational, health, significant; EU scope visible. This is a provisional connection, not an outcome finding.</w:t>
      </w:r>
    </w:p>
    <w:p>
      <w:r>
        <w:t>Available abstract (not full text): Occupational exposure to Non-Ionizing radiation (NIR), including Electromagnetic fields (EMF) and Optical radiation (OR), is almost ubiquitous. EMF may induce various effects: in the case of direct short term effects, static and low-frequency fields interact with the biological tissues through the induction of currents, while high frequency fields through thermal mechanisms. EMF can also induce indirect effects, as interference, causing a specific risk e.g. in workers with active medical devices as pacemakers. The induction of various long term effects has also been proposed, but up now data supporting a causal effect are considered insufficient by almost all authoritative international agencies. Moving to OR, sources can be artificial (incoherent or coherent in the case of LASER) or natural; the main source of occupational OR exposure is natural: the Sun, exposing millions of outdoor workers worldwide. The main targets of OR effects are the skin and the eye. Among OR bands, the ultraviolet component is of particular relevance, inducing photochemical alterations in human cells that can cause both acute and long term effects as burns and skin cancers or cataract. For all workers NIR risk should be evaluated and, in case of significant risk, an adequate health surveillance (HS) should be implemented, also considering the possible presence of workers with conditions inducing a hig</w:t>
      </w:r>
    </w:p>
    <w:p>
      <w:r>
        <w:t>POSSIBLE 2019: Development of Occupational Competence of Employees — https://doi.org/10.31649/2524-1079-2019-4-2-141-159</w:t>
      </w:r>
    </w:p>
    <w:p>
      <w:r>
        <w:t>Shared claim-specific concepts: demonstrates, main, occupational, health; EU scope visible. This is a provisional connection, not an outcome finding.</w:t>
      </w:r>
    </w:p>
    <w:p>
      <w:r>
        <w:t>Available abstract (not full text): The article deals with the main problems that exist in the field of labor protection in Ukraine, including: insufficient financing of measures and means of labor protection, lack of management system in executive branches, improper working conditions, etc. Statistical data demonstrates the state of safety of labor, where most of the main productive assets are physically worn out, morally outdated, and new domestic machines, in absolute majority do not meet safety requirements. It is noted that much attention is paid to occupational safety and health at work in the countries of the European Union, in its structure there are several bodies specially dealing with the problems of working life. Among the topics that are especially studied in the EU, the stress of the workplace has been noted. The modern directions of development of this sphere are analyzed, aimed at updating the state policy of labor protection, introduction of the latest technologies and software, paying special attention to the individual experience of workers and their psychological state. The directions of activity that are dominant in the modern system of labor protection in Ukraine and in the world and ways of using modern technologies to improve the safety of workers in the workplace, namely, the introduction of the concept of digital jobs. The main directions of international cooperation of Ukraine in the fi</w:t>
      </w:r>
    </w:p>
    <w:p>
      <w:r>
        <w:t>POSSIBLE 2018: Occupational risk factors for idiopathic pulmonary fibrosis in Southern Europe: a case-control study — https://doi.org/10.1186/s12890-018-0644-2</w:t>
      </w:r>
    </w:p>
    <w:p>
      <w:r>
        <w:t>Shared claim-specific concepts: occupational, increasing, occupations; EU scope visible. This is a provisional connection, not an outcome finding.</w:t>
      </w:r>
    </w:p>
    <w:p>
      <w:r>
        <w:t>Available abstract (not full text): BACKGROUND: Idiopathic pulmonary fibrosis (IPF) is a chronic, progressive fibrosing interstitial pneumonia of unknown cause associated with the histopathologic and/or radiologic pattern of usual interstitial pneumonia (UIP). Occupational risk factors have been proposed to be associated with UIP. The aim of this case-control study is to evaluate the relationship between UIP pattern and occupational exposure in Southern Europe. METHODS: Sixty nine cases with a UIP radiological pattern at CT-scan were selected from a clinical database of the University Hospital of Perugia, Umbria, between January 2010 and December 2013. Controls (n = 277) not reporting doctor diagnosed pulmonary fibrosis, were ascertained casually among general population from the same catching area of cases. Data were collected by a questionnaire used previously in a similar study. Logistic regression models, adjusted for gender, age and smoking, were performed to evaluate the association between UIP and occupational exposure. RESULTS: Farmers, veterinarians and gardeners (OR = 2.73, 95%CI = 1.47-5.10), metallurgical and steel industry workers (OR = 4.80, 95%CI = 1.50-15.33) were occupations associated with UIP. Metal dust and fumes and organic dust were risk factors for UIP. Increasing the length of occupational exposure in jobs at risk of pulmonary fibrosis, increased the risk of having UIP. CONCLUSIONS: This c</w:t>
      </w:r>
    </w:p>
    <w:p>
      <w:pPr>
        <w:pStyle w:val="Heading2"/>
      </w:pPr>
      <w:r>
        <w:t>Pathways to Decarbonise the European Car Fleet: A Scenario Analysis Using the Backcasting Approach</w:t>
      </w:r>
    </w:p>
    <w:p>
      <w:r>
        <w:t>Original source (2017): https://doi.org/10.3390/en11010020</w:t>
      </w:r>
    </w:p>
    <w:p>
      <w:r>
        <w:t>Original wording (abstract; indexed_source_text_not_full_document_verified): This paper analyses decarbonisation scenarios for the European passenger car fleet in 2050. The analysis showed that if car mobility and ownership continue to increase as expected in a ‘business as usual’ case, a share of 97% plug-in hybrid or battery electric vehicles might be required by 2050, together with a substantial decrease in greenhouse gas emission from electricity production.</w:t>
      </w:r>
    </w:p>
    <w:p>
      <w:r>
        <w:t>POSSIBLE 2026: An Integrated Approach to Assessing Road Passenger Transport Decarbonisation Pathways — https://doi.org/10.7250/9789934373589</w:t>
      </w:r>
    </w:p>
    <w:p>
      <w:r>
        <w:t>Shared claim-specific concepts: analyses, decarbonisation, passenger; EU scope not established. This is a provisional connection, not an outcome finding.</w:t>
      </w:r>
    </w:p>
    <w:p>
      <w:r>
        <w:t>Available abstract (not full text): The Doctoral Thesis develops an integrated approach to assessing road passenger transport decarbonisation pathways by combining technological, behavioural, and multi-level policy implementation factors. Using system dynamics modelling and other assessment methods, the study analyses the deployment of alternative technologies, factors influencing transport mode choice, and interactions between national and municipal policy measures. The developed approach enables a more comprehensive assessment of decarbonisation pathways and supports coordinated transport decarbonisation planning.</w:t>
      </w:r>
    </w:p>
    <w:p>
      <w:r>
        <w:t>POSSIBLE 2026: Global trajectories for urban passenger transport decarbonisation: a policy-based modelling approach — https://doi.org/10.1038/s44333-026-00092-6</w:t>
      </w:r>
    </w:p>
    <w:p>
      <w:r>
        <w:t>Shared claim-specific concepts: decarbonisation, passenger, hybrid; EU scope not established. This is a provisional connection, not an outcome finding.</w:t>
      </w:r>
    </w:p>
    <w:p>
      <w:r>
        <w:t>Available abstract (not full text): Abstract Understanding the impact of public policy measures on urban transport outcomes is essential for the development of evidence-based transport decarbonisation strategies. This paper presents a modelling framework to estimate the evolution of urban passenger travel and related social externalities for each of the 9234 urban areas in the world. It builds on a hybrid four-step model and systems dynamic modelling approach considering socio-economic projections and forecasts of urban growth, transport supply provision and policy assumptions to estimate transport outcomes for 19 world regions. As a result of its detailed representation of 18 transport modes and 20 policy measures, the model can be used to identify effective levers for reducing carbon emissions while improving urban public health, safety, and access to opportunities. An Increased Ambition policy scenario explores the impact of greater climate ambition on global carbon emissions from transport and other transport externalities relative to the status quo.</w:t>
      </w:r>
    </w:p>
    <w:p>
      <w:r>
        <w:t>POSSIBLE 2025: Battery electric vehicles show the lowest carbon footprints among passenger cars across 1.5–3.0 °C energy decarbonisation pathways — https://doi.org/10.1038/s43247-025-02447-2</w:t>
      </w:r>
    </w:p>
    <w:p>
      <w:r>
        <w:t>Shared claim-specific concepts: decarbonisation, passenger, car, plug-in, hybrid, battery; EU scope not established. This is a provisional connection, not an outcome finding.</w:t>
      </w:r>
    </w:p>
    <w:p>
      <w:r>
        <w:t>Available abstract (not full text): Passenger car carbon footprints are highly sensitive to future energy systems, a factor often overlooked in life cycle assessment. We use a time-dependent prospective life cycle assessment to enhance carbon footprints under four 1.5-3.0 °C decarbonisation pathways for electricity, fuel, and hydrogen from an energy-based integrated assessment model. Across 5000 comparative cases, battery electric vehicles consistently have the lowest carbon footprints compared to hybrid, plug-in hybrid, and fuel-cell vehicles. For example, battery electric vehicles show an average 32 to 47% lower footprint than hybrid combustion in 3.0 °C and 1.5 °C climate-compatible futures, respectively. This is driven by greater projected decarbonisation of electricity compared to fossil-dominated fuels and hydrogen. Battery electric vehicles meaningfully retain their advantage for mileages over 100,000 km, even in regions with carbon-intensive electricity since these are anticipated to decarbonise the most. Although our study supports battery electric vehicles as the most reliable climate-mitigation option for passenger cars, reducing their high manufacturing footprint remains important.</w:t>
      </w:r>
    </w:p>
    <w:p>
      <w:r>
        <w:t>POSSIBLE 2024: EU Railways: Contribution to Decarbonisation Solution — https://doi.org/10.31857/s0201708324020062</w:t>
      </w:r>
    </w:p>
    <w:p>
      <w:r>
        <w:t>Shared claim-specific concepts: analyses, decarbonisation, passenger, increase, greenhouse; EU scope visible. This is a provisional connection, not an outcome finding.</w:t>
      </w:r>
    </w:p>
    <w:p>
      <w:r>
        <w:t>Available abstract (not full text): The EU transport system is entering the next phase of fundamental transformation. The railways are becoming one of the key tools for implementing the Green Deal and solving ecological problems for the period up to 2050. A range of documents aimed at advancing the realisation of the Trans-European Transport Network (TEN-T) was adopted at the Union level in recent years. Transfer a large proportion of transport from road and aviation to rail, multimodal transportation, advanced construction and modernisation of high-speed railway lines (HSR) are the priorities of the policy. This article has a twofold objective. First, it analyses the condition and market environment of the railways. Second, it investigates the possibilities of implementing the TEN-T program to reduce greenhouse gas (GHG) emissions, increase multimodal transportation and the construction/upgrading new HSR. The results suggest that a set of obstacles impede GHG emissions reduction in the shifting of transport from road and aviation to rail, multimodal transportation and the construction of HSR. The main trend is that rail transport activity in the EU remained almost constant from 2010 to 2022 with a slight increase in passenger transport and some structural changes. Within the next 25 years, the most tangible impact for the EU economy, ecology and society of all modes of transport can be provided by HSR expansion.</w:t>
      </w:r>
    </w:p>
    <w:p>
      <w:r>
        <w:t>POSSIBLE 2024: Models and methods for transport demand and decarbonisation: a review — https://doi.org/10.1088/1748-9326/ad6b3a</w:t>
      </w:r>
    </w:p>
    <w:p>
      <w:r>
        <w:t>Shared claim-specific concepts: decarbonisation, greenhouse; EU scope not established. This is a provisional connection, not an outcome finding.</w:t>
      </w:r>
    </w:p>
    <w:p>
      <w:r>
        <w:t>Available abstract (not full text): Abstract Rising global greenhouse gas emissions from the transport sector pose a major challenge to meeting the targets of the Paris Agreement. This raises questions of how technology, infrastructure and societal trends and policies can influence transport demand and thus also emissions, energy demand and service levels. Here, we review the literature on factors relevant to shifting total transport activity and mode shares, categorised into exogenous drivers, socio-behavioural, infrastructural and technological aspects. For each factor, we summarise current approaches to modelling and measuring the impact of each factor on transport systems, resulting in a proposed taxonomy to classify transport demand modelling approaches. We then comment on the suitability and sufficiency of existing modelling approaches for representing scenarios consistent with the Paris Agreement targets in models of the entire global energy system. Factors that affect transport demand are currently insufficiently represented in integrated assessment modelling approaches and thus emission reduction pathways. Improving the comprehension and representation of diverse factors that affect transport demand in global energy systems models, by incorporating features of complementary models with high resolution representations of transport, holds promise for generating well informed policy recommendations. Accordi</w:t>
      </w:r>
    </w:p>
    <w:p>
      <w:r>
        <w:t>POSSIBLE 2023: “The impact of energy efficiency and decarbonisation policies on the European road transport sector” — https://doi.org/10.1016/j.tra.2023.103623</w:t>
      </w:r>
    </w:p>
    <w:p>
      <w:r>
        <w:t>Shared claim-specific concepts: analyses, decarbonisation, passenger, fleet, vehicles; EU scope visible. This is a provisional connection, not an outcome finding.</w:t>
      </w:r>
    </w:p>
    <w:p>
      <w:r>
        <w:t>Available abstract (not full text): This paper analyses historical energy consumption trends of the EU road transport sector and examines the role of key determinants, such as economic and population growth, fuel prices, passenger and tonne-kilometres and vehicle fleet characteristics. In light of the EU 2030 and 2050 energy and climate targets, the paper assesses the energy efficiency and decarbonisation progress from 2000 to 2018. A detailed analysis is carried out using a balanced panel dataset from 1995 to 2018 and a test for causality between energy consumption and the selected explanatory variables. The results suggest that the declining trend of the normalised energy consumption of cars, trucks and light vehicles, which both dropped significantly in 2018 compared to 2000, can be related to energy efficiency and decarbonisation policies adopted by the EU and its Member States over the studied period. Decomposition analysis based on the Logarithmic Mean Divisia Index technique confirms the role of energy efficiency gains in curbing energy consumption of road transport, even with the strong upward force exerted by motorisation and population effects, especially in passenger transport. It also suggests that during the recession years (2008–2013), road transport consumption fell due to a sharp drop in the mileage but not in the motorisation effect, which continued to drive up consumption even in this period. De</w:t>
      </w:r>
    </w:p>
    <w:p>
      <w:r>
        <w:t>POSSIBLE 2023: Rapid decarbonisation of Paris, Lyon and Marseille's power, transport and building sectors by coupling rooftop solar PV and electric vehicles — https://doi.org/10.1016/j.esd.2023.04.002</w:t>
      </w:r>
    </w:p>
    <w:p>
      <w:r>
        <w:t>Shared claim-specific concepts: decarbonisation, electric, vehicles; EU scope not established. This is a provisional connection, not an outcome finding.</w:t>
      </w:r>
    </w:p>
    <w:p>
      <w:r>
        <w:t>Available abstract (not full text): Unavailable</w:t>
      </w:r>
    </w:p>
    <w:p>
      <w:r>
        <w:t>POSSIBLE 2022: Decarbonisation of passenger light-duty vehicles using spatially resolved TIMES-Ireland Model — https://doi.org/10.1016/j.apenergy.2022.119078</w:t>
      </w:r>
    </w:p>
    <w:p>
      <w:r>
        <w:t>Shared claim-specific concepts: decarbonisation, passenger, car, fleet, mobility, electric; EU scope visible. This is a provisional connection, not an outcome finding.</w:t>
      </w:r>
    </w:p>
    <w:p>
      <w:r>
        <w:t>Available abstract (not full text): Higher spatial resolution is becoming a key component of energy system analysis. Existing multi-regional national scale energy systems optimisation models (ESOMs) facilitate an improved understanding of spatial dynamics. Yet, region-specific characteristics of transport technologies and infrastructures along with consumer heterogeneity have remained under-investigated. The current paper addresses this gap by developing a multi-regional transport sector within the system-wide TIMES-Ireland Model (TIM). The transport sector is divided into 26 sub-regions, and each region is characterised by the existing vehicle fleet, public transport availability, scrappage rate, annual mileage, vehicle fuel economy and the corresponding passenger and freight mobility demand. The consumers (car buyers) are disaggregated based on their income level to incorporate a more realistic representation of their behaviour in vehicle purchasing decisions. While TIM ensures carbon neutrality across the whole energy system by mid-century, this study mainly explores the decarbonisation of passenger Light-Duty Vehicles (LDVs). It shows to what extent different measures (i.e, LDV improvements, monetary incentives, modal shift, biofuel obligation, carbon tax and occupancy rate) can contribute to meeting ambitious mitigation targets by 2030. Spatially resolved analysis as the main novelty of this research present</w:t>
      </w:r>
    </w:p>
    <w:p>
      <w:r>
        <w:t>POSSIBLE 2022: Electrifying passenger road transport in India requires near-term electricity grid decarbonisation — https://doi.org/10.1038/s41467-022-29620-x</w:t>
      </w:r>
    </w:p>
    <w:p>
      <w:r>
        <w:t>Shared claim-specific concepts: decarbonisation, passenger, mobility, increase, battery, electric; EU scope not established. This is a provisional connection, not an outcome finding.</w:t>
      </w:r>
    </w:p>
    <w:p>
      <w:r>
        <w:t>Available abstract (not full text): Battery-electric vehicles (BEV) have emerged as a favoured technology solution to mitigate transport greenhouse gas (GHG) emissions in many non-Annex 1 countries, including India. GHG mitigation potentials of electric 4-wheelers in India depend critically on when and where they are charged: 40% reduction in the north-eastern states and more than 15% increase in the eastern/western regions today, with higher overall GHGs emitted when charged overnight and in the summer. Self-charging gasoline-electric hybrids can lead to 33% GHG reductions, though they haven't been fully considered a mitigation option in India. Electric 2-wheelers can already enable a 20% reduction in GHG emissions given their small battery size and superior efficiency. India's electrification plan demands up to 125GWh of annual battery capacities by 2030, nearly 10% of projected worldwide productions. India requires a phased electrification with a near-term focus on 2-wheelers and a clear trajectory to phase-out coal-power for an organised mobility transition.</w:t>
      </w:r>
    </w:p>
    <w:p>
      <w:r>
        <w:t>POSSIBLE 2022: Just Transition: A whole-systems approach to decarbonisation — https://doi.org/10.1080/14693062.2022.2108365</w:t>
      </w:r>
    </w:p>
    <w:p>
      <w:r>
        <w:t>Shared claim-specific concepts: decarbonisation; EU scope not established. This is a provisional connection, not an outcome finding.</w:t>
      </w:r>
    </w:p>
    <w:p>
      <w:r>
        <w:t xml:space="preserve">Available abstract (not full text): Transition to a post-carbon economy implies changes that are both far-reaching and unprecedented. The notion that a decarbonization transition must encompass multiple forms of justice is gaining ground. In response, the concept of Just Transition has become ever more popular – and confusion about its meaning ever greater. We argue in this paper that the term Just Transition needs a rigorous updating to develop its full conceptual power for the analysis and evaluation of the rapid and extensive energy transitions already underway. After reviewing the different uses of Just Transition in practice and scholarship, we propose that the term be used as an analytical concept for an ongoing process of transition. The Just Transition concept can provide an integrated, whole-system perspective on justice (procedural, distributive, recognition, and restorative) that can help in identifying systemic solutions to address environmental and socio-economic concerns. This would differ from reductionist approaches that derive from legacy silo-sectoral or technologically driven approaches; these too often overlook negative side-effects and wider justice implications of reorganizing economic practice. An examination of COVID-19 pandemic responses illustrates our operationalization of the Just Transition concept, highlighting the importance of designing whole-system policies that are equitable, as </w:t>
      </w:r>
    </w:p>
    <w:p>
      <w:r>
        <w:t>POSSIBLE 2022: Decarbonisation Pathways for Transport — https://doi.org/10.1007/978-3-030-99177-7_8</w:t>
      </w:r>
    </w:p>
    <w:p>
      <w:r>
        <w:t>Shared claim-specific concepts: decarbonisation, passenger; EU scope not established. This is a provisional connection, not an outcome finding.</w:t>
      </w:r>
    </w:p>
    <w:p>
      <w:r>
        <w:t>Available abstract (not full text): Abstract An overview of the main drivers of the transport energy demand and the assumed socio-economic development (population and GDP) until 2050 for ten world regions are given. The countries in each world region are tabulated. Detailed documentation of projected shifts in transport modes for all world regions, including technological assumptions and energy intensities, by vehicle type is presented. This section contains the OECM 1.5 °C transport scenarios for aviation, shipping, road, and rail, each broken down into passenger and freight transport. The calculated energy demands and energy-related carbon emissions for all transport modes are provided.</w:t>
      </w:r>
    </w:p>
    <w:p>
      <w:r>
        <w:t>POSSIBLE 2022: Decarbonisation of Transport – A Challenge for Inland Navigation — https://doi.org/10.35808/ersj/2984</w:t>
      </w:r>
    </w:p>
    <w:p>
      <w:r>
        <w:t>Shared claim-specific concepts: decarbonisation, showed, increase; EU scope visible. This is a provisional connection, not an outcome finding.</w:t>
      </w:r>
    </w:p>
    <w:p>
      <w:r>
        <w:t>Available abstract (not full text): Purpose: The purpose of the article is to identify the directions of activities conducive to the development of low-carbon inland navigation in the EU with a particular focus on Poland.This goal is being pursued taking into account existing regulations at the EU and national levels. Design/Methodology/Approach: The article compares selected research results from the fields of inland navigation and low-carbon economy.A method of analysing found data, a comparative analysis using statistical data, and an analysis of the compatibility of regulations at the EU and national levels were used.Findings: Inland navigation in many countries is undervalued, forgotten and underutilized as an efficient, environmentally friendly means of transportation.The article outlines the formation of transportation policy, the original goal of which was to increase the efficiency of river transportation, stimulate the economy and have a positive impact on the labour market.As the EU's goals have evolved, priorities in the area of transport policy have also changed.There is a growing need to increase eco-efficiency, build intermodal transportation networks, connect systems, or modernize transportation infra-and infostructures.The possibility of integrating Poland's rivers into the TEN-T network is both a challenge and an opportunity for Poland to develop modern, zero-emission inland navigation.Practical</w:t>
      </w:r>
    </w:p>
    <w:p>
      <w:pPr>
        <w:pStyle w:val="Heading2"/>
      </w:pPr>
      <w:r>
        <w:t>Policy insights and modelling challenges: The case of passenger car powertrain technology transition in the European Union</w:t>
      </w:r>
    </w:p>
    <w:p>
      <w:r>
        <w:t>Original source (2017): https://doi.org/10.1007/s12544-017-0252-x</w:t>
      </w:r>
    </w:p>
    <w:p>
      <w:r>
        <w:t>Original wording (abstract; indexed_source_text_not_full_document_verified): We then transfer the policy scenarios to other EU member states and assess the transferability of the policies.</w:t>
      </w:r>
    </w:p>
    <w:p>
      <w:r>
        <w:t>POSSIBLE 2026: Media Policy Transfer in Europe — https://doi.org/10.1017/9781009568159.013</w:t>
      </w:r>
    </w:p>
    <w:p>
      <w:r>
        <w:t>Shared claim-specific concepts: transfer, member, states, policies; EU scope visible. This is a provisional connection, not an outcome finding.</w:t>
      </w:r>
    </w:p>
    <w:p>
      <w:r>
        <w:t>Available abstract (not full text): The Audiovisual Media Services Directive (AVMSD) serves as a cornerstone of the EU’s efforts to align audiovisual media policies across Member States and candidate countries. Central to the Europeanisation process, the AVMSD aims to safeguard media freedom, pluralism, and cultural diversity while addressing emerging challenges in the digital landscape. However, the transfer of EU media policy has faced significant hurdles, particularly in candidate countries such as Serbia, Ukraine, and Georgia. These challenges include weak institutional capacity, limited independence of national regulatory authorities (NRAs), and the misalignment of EU policies with local contexts. The 2018 AVMSD revision introduced rules extending regulatory frameworks to video-sharing platforms and reinforced NRA independence. Yet enforcement remains inconsistent within the EU, complicating its transfer to countries grappling with systemic political and economic pressures. Furthermore, geopolitical tensions, disinformation, and internal governance failures amplify the risks of exporting untested or problematic EU practices. This chapter critically examines the EU’s media policy transfer mechanisms, highlighting their inadequacies in fostering resilient governance structures. It underscores the need for reciprocal feedback during the accession process, advocating for reforms that integrate diverse cultural a</w:t>
      </w:r>
    </w:p>
    <w:p>
      <w:r>
        <w:t>POSSIBLE 2026: Transfer of Green Policies from European Union to its Member States — https://openalex.org/W7165424889</w:t>
      </w:r>
    </w:p>
    <w:p>
      <w:r>
        <w:t>Shared claim-specific concepts: transfer, member, states, policies; EU scope visible. This is a provisional connection, not an outcome finding.</w:t>
      </w:r>
    </w:p>
    <w:p>
      <w:r>
        <w:t>Available abstract (not full text): The environmental degradation and climate change are among the most threatening issues to the humanity of 21st century. EU is among the most capable actors on the stage of international politics to tackle these issues effectively. The most important initiative from EU green policy framework is the European Green Deal as it includes the most ambitious goals and robust systems for implementation and monitoring. Policies from EGD however have some issues with implementation in EU member states and academic studies showed numerous times that rural areas face many hinderances with implementation. To fill in the research gap of successful EU green policy implementation this work studies EU policy documents with qualitative content analysis methodology while utilizing theories form the field of policy transfer and urban studies. The findings from EU policy documents show solid green policy transfer framework.</w:t>
      </w:r>
    </w:p>
    <w:p>
      <w:r>
        <w:t>POSSIBLE 2024: Social transfer policies and child poverty in European countries: Evaluating policy alternatives through a multiobjective programming model — https://doi.org/10.1016/j.seps.2024.101892</w:t>
      </w:r>
    </w:p>
    <w:p>
      <w:r>
        <w:t>Shared claim-specific concepts: transfer, assess, policies; EU scope visible. This is a provisional connection, not an outcome finding.</w:t>
      </w:r>
    </w:p>
    <w:p>
      <w:r>
        <w:t>Available abstract (not full text): Child poverty remains a significant concern across Europe and citizens regard policy interventions that effectively address this issue to be of utmost importance. In this work, we analyse the potential of social transfer policy alternatives to alleviate child and overall poverty simultaneously in European countries. Using a logistic regression to define the objective functions and constraints, we rely on multiobjective programming to assess key features of national social transfer systems that can minimize child and overall poverty and tend to equal both levels downwards. Taking into account the starting levels of each country, the results underline the importance of finding an adequate combination of pro-child and pro-poor targeting of social transfer policies. For most European countries, an increase in the level of cash benefits for children is advisable – particularly universal benefits – except in Croatia, the Netherlands, and Norway. Nonetheless, in France, Greece, Italy, Ireland, the Netherlands, and Spain, the recommended proportion of GDP allocated to universal cash benefits is lower than the proportion allocated to means-tested benefits. In this regard, our research provides an innovative approach for policymakers to optimize poverty reduction strategies by contributing valuable insights for the design and implementation of effective social transfer policies to combat</w:t>
      </w:r>
    </w:p>
    <w:p>
      <w:r>
        <w:t>POSSIBLE 2023: Agents and Impacts of Interorganizational Transfers between the Council of Europe and the European Union in the Area of Cultural Policy — https://doi.org/10.4000/bssg.3433</w:t>
      </w:r>
    </w:p>
    <w:p>
      <w:r>
        <w:t>Shared claim-specific concepts: transfer, other; EU scope visible. This is a provisional connection, not an outcome finding.</w:t>
      </w:r>
    </w:p>
    <w:p>
      <w:r>
        <w:t>Available abstract (not full text): This article analyses the transfer dynamics between the Council of Europe and the European Community/Union in the domain of cultural policy. The analysis is based on two case studies. One centres on audiovisual policy (1980s), and the other on the development of cultural programmes within the European Union in the wake of the Maastricht Treaty (1990s-2000s). In the 1980s, when relations between the Council of Europe and the European Community were only very weakly institutionalized, the circulation of norms between the two institutions was facilitated by informal exchanges on the margins of negotiations between senior officials mandated by their governments. In the 1990s and 2000s, although the circulation of norms and practices had been institutionalized through agreements, it was nevertheless the multipositioning of government delegates and the mobility of some high-level officials between the two organizations and between the institutional and cultural management spheres that opened up key channels for the transfer of norms and practices between the Council of Europe and the European Union.</w:t>
      </w:r>
    </w:p>
    <w:p>
      <w:r>
        <w:t>POSSIBLE 2022: Dual vocational education and training and policy transfer in the European Union policy: the case of work-based learning and apprenticeships — https://doi.org/10.1080/2331186x.2022.2154496</w:t>
      </w:r>
    </w:p>
    <w:p>
      <w:r>
        <w:t>Shared claim-specific concepts: transfer, member, states; EU scope visible. This is a provisional connection, not an outcome finding.</w:t>
      </w:r>
    </w:p>
    <w:p>
      <w:r>
        <w:t>Available abstract (not full text): In the search for solutions to national skill formation challenges, the central and northern Europeans models of good practices in dual vocational education and training (VET) permeated the imaginary of the southern countries. Particularly, the German dual VET system has been predominant in the discourse of policy-makers. This research analyses the role played by the European Union (EU) in the promotion of this model as the reference for the reforming Member States during the policy transfer stage of cross-national attraction. This paper develops a reflexive Thematic Analysis among the fundamental documentation related to VET resulting from the EU Governance Triangle. Its aim is to interpret the EU proposal for the reform of VET, with a focus on the characteristics which shape the way in which the training is developed. This Thematic Analysis reveals that the EU promotes a VET training model based in work-based learning as a pillar, preferably articulated in the form of apprenticeships. This, along with the general principles for the regulation of apprenticeships promoted by the EU, proves the agency role exercised by the EU in the dissemination of dual VET as a model of good practice.</w:t>
      </w:r>
    </w:p>
    <w:p>
      <w:r>
        <w:t>POSSIBLE 2021: Policy transfer within the European Union and beyond: Europeanization in times of stability and crises — https://doi.org/10.4337/9781789905601.00026</w:t>
      </w:r>
    </w:p>
    <w:p>
      <w:r>
        <w:t>Shared claim-specific concepts: then, transfer, member, states, policies; EU scope visible. This is a provisional connection, not an outcome finding.</w:t>
      </w:r>
    </w:p>
    <w:p>
      <w:r>
        <w:t>Available abstract (not full text): The European Union is a sui generis polity in which policy transfer shapes the relationship between supra-national institutions and domestic actors across different contexts. Scholars have defined this specific type of policy transfer as Europeanization. This chapter explores how this concept has been used to understand the effects of EU integration on the polity, policies and politics of EU member states, and how EU integration has extended to the field of foreign policy, then outside the EU, through enlargement and neighbourhood policies, to scrutinize the relations of the EU with the rest of the world. The chapter is organised as follows: the first section traces the origins of this concept, its definition and research designs. Empirical illustrations show that since the early 1990s, fast-forward integration has given rise to uneven forms of Europeanization within the EU and beyond. The chapter also examines how Europeanization has been challenged by resistance to integration and how recent crises have shaped not only EU integration, but also Europeanization processes.</w:t>
      </w:r>
    </w:p>
    <w:p>
      <w:r>
        <w:t>POSSIBLE 2021: Community Sponsorship in Europe: Taking Stock, Policy Transfer and What the Future Might Hold — https://doi.org/10.3389/fhumd.2021.564084</w:t>
      </w:r>
    </w:p>
    <w:p>
      <w:r>
        <w:t>Shared claim-specific concepts: transfer, states; EU scope visible. This is a provisional connection, not an outcome finding.</w:t>
      </w:r>
    </w:p>
    <w:p>
      <w:r>
        <w:t>Available abstract (not full text): This article explores the recent emergence of community sponsorship of refugees in Europe, an approach which shares responsibility between civil society and the state for the admission and/or integration of refugees. Originally a Canadian model developed to support the resettlement of Indochinese refugees, the model has gained momentum in Europe, with a number of states piloting or establishing community sponsorship schemes. This proliferation, while generally seen as positive for international protection of refugees, has led to conceptual confusion and a significant range of approaches under the “umbrella” concept of community sponsorship. As a result, community sponsorship today may be understood both as a form of resettlement and a complementary pathway to protection. While interest and momentum around community sponsorship is high, little work currently exists mapping and analysing how jurisdictions adopt the community sponsorship model. With reference to existing work on policy transfer, this contribution takes stock of community sponsorship models in Europe; analyses how community sponsorship may become a viable policy option in European states as a form of transnational policy transfer; and sets out a number of challenges for the future development of community sponsorship in Europe.</w:t>
      </w:r>
    </w:p>
    <w:p>
      <w:r>
        <w:t>POSSIBLE 2021: Audiovisual policy transfer between Mercosur and the European Union has gone offtrack — https://doi.org/10.1177/17480485211052169</w:t>
      </w:r>
    </w:p>
    <w:p>
      <w:r>
        <w:t>Shared claim-specific concepts: transfer, policies; EU scope visible. This is a provisional connection, not an outcome finding.</w:t>
      </w:r>
    </w:p>
    <w:p>
      <w:r>
        <w:t>Available abstract (not full text): This article analyses the Audiovisual Mercosur Program as a case of policy transfer between Mercosur and the European Union. A qualitative document analysis, expert interviews and the use of policy transfer theory and its constraints made possible the critical evaluation of the program and its impacts. By focusing on the constraints that led to an incomplete and uninformed transfer, we were able to identify an alignment between the underlying ideas of audiovisual policies in Mercosur and the European Union, but also inadequate governance within Mercosur, unbalanced interests between the two trade blocks, and a lack of policy learning. As a result, the transfer of European Union policies reproduced well-documented failures of the European Union's internal market policies relating to the audiovisual sector.</w:t>
      </w:r>
    </w:p>
    <w:p>
      <w:r>
        <w:t>POSSIBLE 2021: Technology Transfer to Eastern Europe: Paradoxes, Policies, Prospects — https://doi.org/10.4324/9780429033162-4</w:t>
      </w:r>
    </w:p>
    <w:p>
      <w:r>
        <w:t>Shared claim-specific concepts: transfer, states, policies; EU scope visible. This is a provisional connection, not an outcome finding.</w:t>
      </w:r>
    </w:p>
    <w:p>
      <w:r>
        <w:t>Available abstract (not full text): The United States is concerned about its technological prowess compared to that of Japan; and Western Europe realizes that it is technologically behind the United States in some microelectronic fields. The West wants to maintain its technological lead over the East, although there is disagreement within the North Atlantic Treaty Organization about how great that lead is and should be. The allied disputes highlight the problems in postwar Western policy toward Eastern Europe that go beyond economics. The Federal Republic of Germany is the only Western country that has consistently pursued an active policy toward one Eastern European country in the postwar era, the German Democratic Republic. The United States and Western Europe would have a variety of technologies to offer Eastern Europe if there were no restrictions on technology exports; but a range of export controls limits the nature of the East-West technological exchange.</w:t>
      </w:r>
    </w:p>
    <w:p>
      <w:r>
        <w:t>POSSIBLE 2020: Variegated Europeanization and urban policy: Dynamics of policy transfer in France, Italy, Spain and the UK — https://doi.org/10.1177/0969776419898508</w:t>
      </w:r>
    </w:p>
    <w:p>
      <w:r>
        <w:t>Shared claim-specific concepts: transfer, member, states, policies; EU scope visible. This is a provisional connection, not an outcome finding.</w:t>
      </w:r>
    </w:p>
    <w:p>
      <w:r>
        <w:t>Available abstract (not full text): This paper explores the dynamics of urban policy transfer in the European Union (EU), critically examining the process of Europeanization in relation to urban issues. The paper takes a comparative approach, analysing the evolution of urban policy and Europeanization in four member states: France, Italy, Spain and the UK from the 1990s up to the current Cohesion Policy period (2014–2020). Using an analytical framework based on three dimensions of Europeanization (direction, object and impact), we examine the extent to which urban policies are moving towards an integrated approach to sustainable urban development, as supported by the EU. The paper highlights the contradictions between processes of convergence through Europeanization, and path-dependent systems and trajectories that forge alternative paths. In doing so, it advances wider debates on the impact of Europeanization in a neo-liberal context by arguing that member states more likely to be affected by Europeanization are those most impacted by national austerity measures. A process of ‘variegated Europeanization’ is proposed to capture the differential practices taking place within the EU with regard to the circulation of the EU’s approach to urban policy.</w:t>
      </w:r>
    </w:p>
    <w:p>
      <w:r>
        <w:t>POSSIBLE 2019: University patenting and the quest for technology transfer policy models in Europe — https://doi.org/10.4337/9781784715717.00015</w:t>
      </w:r>
    </w:p>
    <w:p>
      <w:r>
        <w:t>Shared claim-specific concepts: transfer, policies; EU scope visible. This is a provisional connection, not an outcome finding.</w:t>
      </w:r>
    </w:p>
    <w:p>
      <w:r>
        <w:t>Available abstract (not full text): European universities have gradually taken a more aggressive stance towards IP appropriation. The policies behind these changes have been largely inspired in a linear model of university knowledge transfer and emulations of the US Bayh Dole Act. Our aim in this chapter is to highlight the heterogeneity of university technology transfer across European countries and the differences with respect to US universities, and describe the impact of policy changes, such as the abolition of the professor’s privilege, in the light of new data and evidence. We challenge the linear model of university technology transfer and show how complex the relations between the actors involved can be, as well as the role that patents play in those relations.</w:t>
      </w:r>
    </w:p>
    <w:p>
      <w:r>
        <w:t>POSSIBLE 2019: Policy transfer: the case of European Union–China cooperation in public administration reform — https://doi.org/10.1177/0020852319841427</w:t>
      </w:r>
    </w:p>
    <w:p>
      <w:r>
        <w:t>Shared claim-specific concepts: transfer, states, policies; EU scope visible. This is a provisional connection, not an outcome finding.</w:t>
      </w:r>
    </w:p>
    <w:p>
      <w:r>
        <w:t xml:space="preserve">Available abstract (not full text): This article addresses the Chinese government’s accelerated process of administrative reform and focuses on the decade-long effort by China to develop transfer policies with selected European nations. Providing more efficient public services and building a broad policy capacity in the face of growing internal and external challenges have prompted the Chinese government’s active engagement in this policy-oriented learning and capacity transfer. New systems of governance through international cooperation programs have been explored, and new initiatives have been adopted. This article presents a case study of the China–Europe Public Administration program, which has served as a rich source of information for government department reform in China. The China–Europe Public Administration program is a policy hub that provides various examples of policy transfer regarding public management from the European Union to China. This article expands the voluntary policy transfer network model as a heuristic approach for understanding the administration reform process, especially regarding personnel sector development in China, and suggests that policy transfer is a rational analytical framework for studying progressive administrative reform in transitional states. In addition, it is observed that policy hubs, like the China–Europe Public Administration program, have become key tools for the </w:t>
      </w:r>
    </w:p>
    <w:p>
      <w:pPr>
        <w:pStyle w:val="Heading2"/>
      </w:pPr>
      <w:r>
        <w:t>Pressures on soil functions from soil management in Germany. A foresight review</w:t>
      </w:r>
    </w:p>
    <w:p>
      <w:r>
        <w:t>Original source (2017): https://doi.org/10.1007/s13593-017-0473-3</w:t>
      </w:r>
    </w:p>
    <w:p>
      <w:r>
        <w:t>Original wording (abstract; indexed_source_text_not_full_document_verified): We analyzed socio-economic, biophysical and technological drivers and identified two types of future management changes: (1) Quantitative changes, i.e., more or less of the same input factors, such as fertilizers, as part of a moderate intensification. Positive practices may be reinforced by a behavioral trend towards sustainable soil management, driven by increasing awareness, knowledge, and consumer demand.</w:t>
      </w:r>
    </w:p>
    <w:p>
      <w:r>
        <w:t>POSSIBLE 2025: Socio-economic and Biophysical Resource Characterization in Gur Watershed, Girar Jarso District, North Shewa Zone, Oromia — https://doi.org/10.11648/j.ijema.20251303.14</w:t>
      </w:r>
    </w:p>
    <w:p>
      <w:r>
        <w:t>Shared claim-specific concepts: analyzed, socio-economic, biophysical, management; EU scope not established. This is a provisional connection, not an outcome finding.</w:t>
      </w:r>
    </w:p>
    <w:p>
      <w:r>
        <w:t xml:space="preserve">Available abstract (not full text): Socio-economic and biophysical resource characterization builds necessary foundation for the plan and obtains proper information for elective planning, implementation and monitoring of the research in the field of natural resources. The objective of the study was to identify and characterize existing socio-economic and biophysical resources and document baseline information on socio-economic and biophysical aspects used as benchmark for planning and impact monitoring in the watershed. The site was selected depending on agro-ecological representation, prevalence of resource management and land degradation problems. The data were collected through field observations, HH survey, FGD and KII’s and the collected data were analyzed using SPSS software. Results of study indicated that, decline of soil fertility, soil erosion, and shortage of agricultural inputs are the major crop production constraints in the watershed. According to the results, the farmers majorly implemented physical SWC measures such as stone bund, stone faced soil bund, water ways. About 97.7%, of the sample farmers in the Gur watershed were participating in construction of SWC measures by their own interest respectively. Analysis of the result shows that the major constraints in practicing of physical SWC structures were serves as breed and hiding places of rodents, it requires large number of labors and lack of </w:t>
      </w:r>
    </w:p>
    <w:p>
      <w:r>
        <w:t>POSSIBLE 2025: ADVANCEMENTS AND INTEGRATION OF BIOPHYSICAL, SOCIO-ECONOMIC, AND LOCAL KNOWLEDGE IN AGRICULTURAL LAND SUITABILITY ASSESSMENTS: A SYSTEMATIC LITERATURE REVIEW — https://doi.org/10.33899/mja.2025.156944.1531</w:t>
      </w:r>
    </w:p>
    <w:p>
      <w:r>
        <w:t>Shared claim-specific concepts: socio-economic, biophysical, identified, management, factors, practices; EU scope not established. This is a provisional connection, not an outcome finding.</w:t>
      </w:r>
    </w:p>
    <w:p>
      <w:r>
        <w:t>Available abstract (not full text): Land suitability assessments are pivotal for sustainable land use planning, agricultural productivity, and environmental management. Despite substantial advancements, a comprehensive understanding of methodologies, applications, and sustainability challenges across diverse contexts remains limited. This systematic literature review aims to address these gaps by examining advancements, regional practices, and adaptation strategies in land suitability assessments. Using the PRISMA framework, an advanced search of Scopus and Web of Science databases identified 34 eligible studies (n=34) for analysis. These studies were categorized into three key themes: (1) advancements in methodologies, including GIS-based multi-criteria decision-making (MCDM), machine learning, and hybrid models; (2) applications of land suitability for specific crops and regions, highlighting varying ecological and socio-economic factors influencing implementation; and (3) sustainability and adaptation in land use planning, focusing on the integration of climate resilience and resource conservation. Results indicate that GIS-MCDM approaches dominate, representing 65% of the studies, with machine learning and hybrid methods contributing 20% and 15%, respectively. The review underscores the increasing role of advanced technologies such as remote sensing and IoT in improving precision, yet challenges persist in pa</w:t>
      </w:r>
    </w:p>
    <w:p>
      <w:r>
        <w:t>POSSIBLE 2025: GOVERNANCE OF HOUSING SPATIAL PLANNING OF SEMARANG CITY IN LANDSLIDE MITIGATION AND THE INFLUENCE OF BIOPHYSICAL, CLIMATIC, AND SOCIO-ECONOMIC FACTORS — https://doi.org/10.21837/pm.v23i38.1783</w:t>
      </w:r>
    </w:p>
    <w:p>
      <w:r>
        <w:t>Shared claim-specific concepts: socio-economic, biophysical, factors; EU scope not established. This is a provisional connection, not an outcome finding.</w:t>
      </w:r>
    </w:p>
    <w:p>
      <w:r>
        <w:t>Available abstract (not full text): The highland areas of Semarang City are vulnerable to landslide disasters. This study investigated the governance of Semarang's spatial planning and the factors that influence the mitigation of landslide disasters. We used spatial and descriptive analysis to evaluate the data. This study found that most of the designated housing areas in highland areas of Semarang City are laid on vulnerable landslides. Biophysical factors such as steepness levels of up to 40 percent, volcanic rock formations that are susceptible to landslides, and the changes in rainfall intensity due to climatic change have caused vulnerability to landslides. Poor mitigation governance such as land use conversion, unsuitability of spatial plans, huge extraction of groundwater, and weak evaluation and monitoring of spatial planning also increase landslide disasters and risk in Semarang. Incorporating hazard assessment into spatial planning and tightening the implementation of spatial plans are very important to be noticed by the government to reduce landslides.</w:t>
      </w:r>
    </w:p>
    <w:p>
      <w:r>
        <w:t>POSSIBLE 2023: Climate policy must account for community-specific socio-economic, health, and biophysical conditions—evidence from coastal Alaska — https://doi.org/10.1007/s10113-023-02080-9</w:t>
      </w:r>
    </w:p>
    <w:p>
      <w:r>
        <w:t>Shared claim-specific concepts: socio-economic, biophysical, management, factors, moderate; EU scope not established. This is a provisional connection, not an outcome finding.</w:t>
      </w:r>
    </w:p>
    <w:p>
      <w:r>
        <w:t>Available abstract (not full text): Abstract Climate warming, sea level rise, and extreme weather events are creating intensifying and more frequent hazards for human populations inhabiting the coast. In Alaska’s remote coastal communities, flooding and erosion are rapidly increasing due to the combined effect of sea level rise, more frequent storm surges, and increasingly powerful wave action from lack of sea ice. This paper presents survey results documenting socio-economic and psychological livelihood impacts and relocation preferences as reported by residents of a remote coastal Indigenous community. We quantified direct costs of lost or damaged private property, affected community infrastructure, and interruption of public services and found that the resulting financial hardship adds to existing economic challenges and climate stressors. Findings underline a community-level preoccupation with coastal climate threats that manifests primarily in intrusive and distressing thoughts of consequences from storms and other destructive climatic events. We highlight the need to monitor more broadly livelihood impacts to inform the design of innovative risk management tools to moderate financial hardship and strengthen community-driven action. We conclude that new policy responding to the needs of remote Indigenous communities affected by repetitive environmental disasters needs to account for a complex array of commun</w:t>
      </w:r>
    </w:p>
    <w:p>
      <w:r>
        <w:t>POSSIBLE 2023: Integration matters: Combining socio-cultural and biophysical methods for mapping ecosystem service bundles — https://doi.org/10.1007/s13280-023-01830-7</w:t>
      </w:r>
    </w:p>
    <w:p>
      <w:r>
        <w:t>Shared claim-specific concepts: biophysical, two, management, sustainable; EU scope visible. This is a provisional connection, not an outcome finding.</w:t>
      </w:r>
    </w:p>
    <w:p>
      <w:r>
        <w:t>Available abstract (not full text): Ecosystem services (ESs) play an important role in sustainable landscape management. People value ESs in diverse ways encompassing social and ecological domains and we need to bring these different values together. We used social-cultural and biophysical methods to map a diverse set of ESs at two spatial scales in a UNESCO Biosphere Reserve in Norway. The ESs bundled into three distinct social-ecological system archetypes which were similar in their distribution and relative ES values at both spatial scales. The bundles were also well matched to relative ESs values of the Biosphere Reserve zones (core, buffer, and transition) indicating that the bundles capture the social-ecological systems of the zones. We argue that it is important to consider the social-ecological context of the zones to provide sufficient knowledge to inform management. Our work has the capacity to contribute to sustainable land management that takes biocultural values into consideration.</w:t>
      </w:r>
    </w:p>
    <w:p>
      <w:r>
        <w:t>POSSIBLE 2023: Working in (Slow) Progress: Socio-Environmental and Economic Dynamics in the Forestry Sector and the Contribution to Sustainable Development in Europe — https://doi.org/10.3390/su151310271</w:t>
      </w:r>
    </w:p>
    <w:p>
      <w:r>
        <w:t>Shared claim-specific concepts: management, same, practices, sustainable; EU scope visible. This is a provisional connection, not an outcome finding.</w:t>
      </w:r>
    </w:p>
    <w:p>
      <w:r>
        <w:t>Available abstract (not full text):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r>
        <w:t>POSSIBLE 2021: Analyzing Wildfires and their Socio-economic Factors in Sardinia — https://doi.org/10.21203/rs.3.rs-1131301/v1</w:t>
      </w:r>
    </w:p>
    <w:p>
      <w:r>
        <w:t>Shared claim-specific concepts: socio-economic, less, factors; EU scope not established. This is a provisional connection, not an outcome finding.</w:t>
      </w:r>
    </w:p>
    <w:p>
      <w:r>
        <w:t>Available abstract (not full text): Abstract In the last decades, wildfire hazards have increased to dangerous levels, becoming the focus of debate among policymakers both at the local and national levels. This paper proposes a Spatio-temporal approach to study the determinants of fire size distributions taking Sardinia as a case study in the time span 1998-2009. Special attention is devoted to socioeconomic factors of local communities where wildfires occurred. The main finding of this study is that the proportion of public lands in a given municipality tends to mitigate the extent of the burned area. In addition, communities with a higher percentage of people employed in the primary sector are less likely to experience large burned extents.</w:t>
      </w:r>
    </w:p>
    <w:p>
      <w:r>
        <w:t>POSSIBLE 2021: Contrasting biophysical and societal impacts of hydro-meteorological extremes — https://doi.org/10.1088/1748-9326/ac4139</w:t>
      </w:r>
    </w:p>
    <w:p>
      <w:r>
        <w:t>Shared claim-specific concepts: biophysical, types, management; EU scope visible. This is a provisional connection, not an outcome finding.</w:t>
      </w:r>
    </w:p>
    <w:p>
      <w:r>
        <w:t>Available abstract (not full text): Abstract Extreme hydrological and meteorological conditions can severely affect ecosystems, parts of the economy, and consequently society. These impacts are expected to be aggravated by climate change. Here we analyze and compare the impacts of multiple types of extreme events across several domains in Europe, to reveal corresponding impact signatures. We characterize the distinct impacts of droughts, floods, heat waves, frosts and storms on a variety of biophysical and social variables at national level and half-monthly time scale. We find strong biophysical impacts of droughts, floods, heat waves and frosts, while public attention and property damage are more affected by storms and floods. We show unexpected impact patterns such as reduced human mortality during floods and storms. Comparing public attention anomalies with impacts across all other considered domains we find that attention on droughts is comparatively low despite the significant overall impacts. Resolving these impact patterns highlights large-scale vulnerability and supports regional extreme event management to consequently reduce disaster risks.</w:t>
      </w:r>
    </w:p>
    <w:p>
      <w:r>
        <w:t>POSSIBLE 2020: Sustainability as an Economic Issue: A BioPhysical Economic Perspective — https://doi.org/10.3390/su12010364</w:t>
      </w:r>
    </w:p>
    <w:p>
      <w:r>
        <w:t>Shared claim-specific concepts: biophysical, part, behavioral, sustainable; EU scope not established. This is a provisional connection, not an outcome finding.</w:t>
      </w:r>
    </w:p>
    <w:p>
      <w:r>
        <w:t>Available abstract (not full text): This essay focuses upon how questions of sustainability are integrated into the teaching of introductory economics. While economics is insufficient by itself to understand the efforts we must take in order to live within nature’s limits, an understanding of economic theory is a vital part of a larger interdisciplinary whole. Yet sustainability is not well integrated into economic theory, especially mainstream, neoclassical, economics. Allocative efficiency and the rate of economic growth are the fundamental metrics while sustainability questions such as the stability of earth systems and the quality of energy resources are relegated to secondary status, if addressed at all. However, in order to address questions such as the earth’s continuing ability to support life, economists need to consider a variety of theoretical perspectives. In the late 1970s, Robert Carson published Economic Issues Today. It presents various economic topics from liberal, radical, and conservative viewpoints, and looking at crucial issues such as sustainability from various ideological perspectives could be an important teaching tool in this era of polarization. This article contends that environmental concerns today are no longer simply microeconomic but biophysical. Biophysical economics sees a sustainable economic theory as one that is grounded in the unity of social and natural sciences. The economy</w:t>
      </w:r>
    </w:p>
    <w:p>
      <w:r>
        <w:t>POSSIBLE 2020: Environmental pressure of the European agricultural system: Anticipating the biophysical consequences of internalization — https://doi.org/10.1016/j.ecoser.2020.101195</w:t>
      </w:r>
    </w:p>
    <w:p>
      <w:r>
        <w:t>Shared claim-specific concepts: biophysical, quantitative, practices; EU scope visible. This is a provisional connection, not an outcome finding.</w:t>
      </w:r>
    </w:p>
    <w:p>
      <w:r>
        <w:t>Available abstract (not full text): In the European Union, national-scope efforts to protect local ecosystem services are greatly helped by the externalization of agricultural production. Domestic environmental pressures such as pesticide residue, fertilizer leakage and waterbody overdraft would all significantly increase if European agricultural production were to be re-localized. Those increases would add additional stress on local habitats, soils and freshwater reserves. This work addresses such concerns by anticipating pressure increases associated with a near-complete re-internalization of agricultural production in the European Union. Our results could prove relevant in the event of an end of the era of cheap food imports, or when considering the plausibility of economic circularization efforts (such as suggested by the European Green Deal). Rather than produce quantitative results determined by a given set of supposedly uncontested pre-analytical assumptions, this work presents an innovative approach to scientific representation capable of accommodating several possible results driven by contradictory yet equally legitimate insights. According to our characterization of the option space, which builds on current trade profiles and assumes business as usual change in technical coefficients, a near-complete re-internalization of agricultural production by European Union member states is not environmentally fe</w:t>
      </w:r>
    </w:p>
    <w:p>
      <w:r>
        <w:t>POSSIBLE 2019: Climate change induced socio-economic tipping points: review and stakeholder consultation for policy relevant research — https://doi.org/10.1088/1748-9326/ab6395</w:t>
      </w:r>
    </w:p>
    <w:p>
      <w:r>
        <w:t>Shared claim-specific concepts: socio-economic, biophysical, drivers, less, factors; EU scope visible. This is a provisional connection, not an outcome finding.</w:t>
      </w:r>
    </w:p>
    <w:p>
      <w:r>
        <w:t>Available abstract (not full text): Abstract Tipping points have become a key concept in research on climate change, indicating points of abrupt transition in biophysical systems as well as transformative changes in adaptation and mitigation strategies. However, the potential existence of tipping points in socio-economic systems has remained underexplored, whereas they might be highly policy relevant. This paper describes characteristics of climate change induced socio-economic tipping points (SETPs) to guide future research on SETPS to inform climate policy. We review existing literature to create a tipping point typology and to derive the following SETP definition: a climate change induced, abrupt change of a socio-economic system, into a new, fundamentally different state. Through stakeholder consultation, we identify 22 candidate SETP examples with policy relevance for Europe. Three of these are described in higher detail to identify their tipping point characteristics (stable states, mechanisms and abrupt change): the collapse of winter sports tourism, farmland abandonment and sea-level rise-induced migration. We find that stakeholder perceptions play an important role in describing SETPs. The role of climate drivers is difficult to isolate from other drivers because of complex interplays with socio-economic factors. In some cases, the rate of change rather than the magnitude of change causes a tipping point</w:t>
      </w:r>
    </w:p>
    <w:p>
      <w:r>
        <w:t>POSSIBLE 2019: Multi-Temporal Analysis of Forest Fire Probability Using Socio-Economic and Environmental Variables — https://doi.org/10.3390/rs11010086</w:t>
      </w:r>
    </w:p>
    <w:p>
      <w:r>
        <w:t>Shared claim-specific concepts: socio-economic, factors; EU scope not established. This is a provisional connection, not an outcome finding.</w:t>
      </w:r>
    </w:p>
    <w:p>
      <w:r>
        <w:t xml:space="preserve">Available abstract (not full text): As most of the forest fires in South Korea are related to human activity, socio-economic factors are critical in estimating their probability. To estimate and analyze how human activity is influencing forest fire probability, this study considered not only environmental factors such as precipitation, elevation, topographic wetness index, and forest type, but also socio-economic factors such as population density and distance from urban area. The machine learning Maximum Entropy (Maxent) and Random Forest models were used to predict and analyze the spatial distribution of forest fire probability in South Korea. The model performance was evaluated using the receiver operating characteristic (ROC) curve method, and models’ outputs were compared based on the area under the ROC curve (AUC). In addition, a multi-temporal analysis was conducted to determine the relationships between forest fire probability and socio-economic or environmental changes from the 1980s to the 2000s. The analysis revealed that the spatial distribution was concentrated in or around cities, and the probability had a strong correlation with variables related to human activity and accessibility over the decades. The AUC values for validation were higher in the Random Forest result compared to the Maxent result throughout the decades. Our findings can be useful for developing preventive measures for forest fire </w:t>
      </w:r>
    </w:p>
    <w:p>
      <w:pPr>
        <w:pStyle w:val="Heading2"/>
      </w:pPr>
      <w:r>
        <w:t>Projections of Future Precipitation Extremes Over Europe: A Multimodel Assessment of Climate Simulations</w:t>
      </w:r>
    </w:p>
    <w:p>
      <w:r>
        <w:t>Original source (2017): https://doi.org/10.1002/2017jd027176</w:t>
      </w:r>
    </w:p>
    <w:p>
      <w:r>
        <w:t>Original wording (abstract; indexed_source_text_not_full_document_verified): Abstract Projections of precipitation and its extremes over the European continent are analyzed in an extensive multimodel ensemble of 12 and 50 km resolution EURO‐CORDEX Regional Climate Models (RCMs) forced by RCP2.6, RCP4.5, and RCP8.5 (Representative Concentration Pathway) aerosol and greenhouse gas emission scenarios. The projected changes of the European hydrological cycle may have substantial impact on environmental and anthropogenic systems.</w:t>
      </w:r>
    </w:p>
    <w:p>
      <w:r>
        <w:t>POSSIBLE 2026: European summer precipitation — https://doi.org/10.5194/acp-26-2041-2026</w:t>
      </w:r>
    </w:p>
    <w:p>
      <w:r>
        <w:t>Shared claim-specific concepts: abstract, projections, precipitation, over, regional, climate; EU scope visible. This is a provisional connection, not an outcome finding.</w:t>
      </w:r>
    </w:p>
    <w:p>
      <w:r>
        <w:t>Available abstract (not full text): Abstract. Observations indicate that parts of Europe have experienced summer drying over recent decades. There is, however, substantial uncertainty in terms of precipitation changes projected by global climate models, underscoring the need for improved understanding to guide adaptation. Here, we analyse changes in European summer precipitation with global warming in 35 CMIP6 Earth system Models using a regional atmospheric energy budget framework. Over the historical period we compare these models to two reanalysis datasets, ERA5 and MERRA-2, as well as the E-OBS daily gridded observational dataset. Although ERA5 and MERRA-2 compares well to observed precipitation, both reanalysis datasets exhibit large discrepancies with the CMIP6 models when evaluating other terms in the atmospheric energy. In future projections, the model spread is increased compared to historical diversity for the change in precipitation, sensible heat and the dry static energy flux divergence, highlighting the uncertainties in the magnitude of these terms. Nevertheless, the models show consistent agreement on the projection of summer drying over continental Europe with anthropogenic forcing over time.</w:t>
      </w:r>
    </w:p>
    <w:p>
      <w:r>
        <w:t>POSSIBLE 2026: Persisting Modulation of Interdecadal Pacific Oscillation on Near‐Future Winter Precipitation Projections in Northern Europe — https://doi.org/10.1029/2025gl119484</w:t>
      </w:r>
    </w:p>
    <w:p>
      <w:r>
        <w:t>Shared claim-specific concepts: abstract, projections, precipitation, ensemble, regional, climate; EU scope visible. This is a provisional connection, not an outcome finding.</w:t>
      </w:r>
    </w:p>
    <w:p>
      <w:r>
        <w:t>Available abstract (not full text): Abstract European winter precipitation profoundly influences regional hydroclimate, yet the relative roles of internal variability and external forcing in its decadal changes remain elusive. Using large‐ensemble climate simulations, we identify the Interdecadal Pacific Oscillation (IPO) as a potential driver of interdecadal changes in winter northern European precipitation. During the 1980–2014 IPO phase transition, internal variability induced a drying trend of −0.07 mm day −1 (35 years) −1 , offsetting a concurrent externally forced wetting trend of +0.19 mm day −1 (35 years) −1 . This influence arises from IPO‐related modulation of atmospheric circulation and moisture transport. The persistence of IPO–WNEP linkages into 2015–2050 suggests that internal variability may continue to shape near‐future hydroclimate. Accounting for IPO‐related influences reduces projection uncertainty by 30% historically and 20% in the near future. These results highlight the critical role of internal variability in long‐term European precipitation trends and emphasize its relevance for regional water resource planning.</w:t>
      </w:r>
    </w:p>
    <w:p>
      <w:r>
        <w:t>POSSIBLE 2025: Too‐stable North Atlantic climate system in CMIP6 experiments undermines precipitation projections in Europe — https://doi.org/10.1002/qj.4999</w:t>
      </w:r>
    </w:p>
    <w:p>
      <w:r>
        <w:t>Shared claim-specific concepts: abstract, projections, precipitation, over, analyzed, climate; EU scope visible. This is a provisional connection, not an outcome finding.</w:t>
      </w:r>
    </w:p>
    <w:p>
      <w:r>
        <w:t>Available abstract (not full text): Abstract This study investigates fluctuations in the spatial pattern of the North Atlantic Oscillation (NAO) during the Industrial Era. NAO variability was analyzed over successive 30‐year periods, clustering its spatial patterns using two metrics: the gradient (g) between its action centres and flux direction (fd). Three distinct NAO patterns were identified, each exhibiting significant implications for NAO–precipitation modulation in the North Atlantic region. Coupled Model Intercomparison Project (CMIP6) climate models were evaluated for their ability to replicate these observed patterns. While many models accurately reproduce all three patterns, they frequently misinterpret their frequencies, favouring a disproportionately stable NAO. This bias, consistent across historical, natural‐only, and greenhouse gas forcings (GHG only), as well as piControl simulations, appears intrinsic to the models. This misinterpretation is significantly reduced in ssp585 scenarios, suggesting a potential link between forcing levels and improved multidecadal NAO variability in models. The occurrence of those different NAO patterns introduces uncertainty in precipitation projections, as this bias can persist in future scenarios. These findings highlight the need for improved model representation of NAO spatial variability to enhance the reliability of precipitation projections, particularly for E</w:t>
      </w:r>
    </w:p>
    <w:p>
      <w:r>
        <w:t>POSSIBLE 2025: Decadal predictions outperform climate projections in forecasting Mediterranean wintertime precipitation — https://doi.org/10.1088/1748-9326/adb59e</w:t>
      </w:r>
    </w:p>
    <w:p>
      <w:r>
        <w:t>Shared claim-specific concepts: abstract, projections, precipitation, over, ensemble, climate; EU scope visible. This is a provisional connection, not an outcome finding.</w:t>
      </w:r>
    </w:p>
    <w:p>
      <w:r>
        <w:t>Available abstract (not full text): Abstract The Mediterranean region is highly sensitive to climate change, having experienced an intense warming and drying trend in recent decades. In the context of decision-making processes, there is growing interest in understanding the near-term climate evolution of this region. Climate change projections consistently indicate that Southern Europe and the Mediterranean region will undergo significantly drier conditions in the latter half of the 21st century. However, in considering the upcoming decade, a critical question arises: Are climate change projections the best product for understanding climate evolution in the near future? This is a matter of great importance for numerous stakeholders and decision-makers. In this study, using retrospective forecasts from eight decadal prediction systems contributing to the CMIP6 Decadal Climate Prediction Project and the corresponding ensemble of non-initialized simulations (historical and projections), we compare the capabilities of the state-of-the-art climate models in predicting the near-term climate anomalies of the wintertime Mediterranean region for some key quantities, also assessing the added value of initialization. Our findings indicate the superior performance of the decadal predictions, exhibiting higher skill than uninitialized historical simulations and projections, particularly over the North Atlantic subpolar gyre f</w:t>
      </w:r>
    </w:p>
    <w:p>
      <w:r>
        <w:t>POSSIBLE 2024: Reversal of Projected European Summer Precipitation Decline in a Stabilizing Climate — https://doi.org/10.1029/2023gl107448</w:t>
      </w:r>
    </w:p>
    <w:p>
      <w:r>
        <w:t>Shared claim-specific concepts: abstract, projections, precipitation, over, climate; EU scope visible. This is a provisional connection, not an outcome finding.</w:t>
      </w:r>
    </w:p>
    <w:p>
      <w:r>
        <w:t>Available abstract (not full text): Abstract Precipitation projections in transient climate change scenarios have been extensively studied over multiple climate model generations. Although these simulations have also been used to make projections at specific Global Warming Levels (GWLs), dedicated simulations are more appropriate to study changes in a stabilizing climate. Here, we analyze precipitation projections in six multi‐century experiments with fixed atmospheric concentrations of greenhouse gases, conducted with the UK Earth System Model and which span a range of GWLs between 1.5 and 5°C of warming. Regions are identified where the sign of precipitation trends in high‐emission transient projections is reversed in the stabilization experiments. For example, stabilization reverses a summertime precipitation decline across Europe. This precipitation recovery occurs concurrently with changes in the pattern of Atlantic sea surface temperature trends due to a slow recovery of the Atlantic Meridional Overturning Circulation in the stabilization experiments, along with changes in humidity and atmospheric circulation.</w:t>
      </w:r>
    </w:p>
    <w:p>
      <w:r>
        <w:t>POSSIBLE 2023: Historical assessment and future projection of extreme precipitation in CMIP6 models: Global and continental — https://doi.org/10.1002/joc.8077</w:t>
      </w:r>
    </w:p>
    <w:p>
      <w:r>
        <w:t>Shared claim-specific concepts: abstract, precipitation, over, ensemble, climate, pathway; EU scope visible. This is a provisional connection, not an outcome finding.</w:t>
      </w:r>
    </w:p>
    <w:p>
      <w:r>
        <w:t>Available abstract (not full text): Abstract In this study, the new gridded daily precipitation dataset REGEN (Rainfall Estimates on a Gridded Network) was used to verify the performance of 23 global climate models participating in the 6th phase of the Coupled Model Intercomparison Project (CMIP6) in terms of extreme precipitation over global and continents during 1950–2014. Projected changes were also evaluated using CMIP6 multi‐model ensemble (MME) under different Shared Socioeconomic Pathway (SSP) by the end of the 21st century. Although positive biases exist in the climatology of most extreme precipitation indices simulated by the CMIP6 MME compared with observations, most of the CMIP6 models can reproduce the spatial distribution characteristics and temporal evolution trends of global extreme precipitation. The simulation is improved by using the CMIP6 MME, relative to the results from individual models. The projected results showed that in most regions of the world, extreme precipitation will significantly increase in the future, with more significant increase under higher SSPs. By the end of the 21st century, total precipitation of wet days (PRCPTOT), simple daily intensity (SDII), the number of very heavy rain days (R20mm), maximum 1‐day precipitation (Rx1day) and maximum consecutive 5‐day precipitation (Rx5day) over the global will increase by up to 50%, 20%, 70%, 50% and 50%, respectively, under the SSP</w:t>
      </w:r>
    </w:p>
    <w:p>
      <w:r>
        <w:t>POSSIBLE 2023: An assessment of CMIP6 climate signals and biases in temperature, precipitation and soil moisture over Europe — https://doi.org/10.1002/joc.8169</w:t>
      </w:r>
    </w:p>
    <w:p>
      <w:r>
        <w:t>Shared claim-specific concepts: abstract, projections, precipitation, over, ensemble, regional; EU scope visible. This is a provisional connection, not an outcome finding.</w:t>
      </w:r>
    </w:p>
    <w:p>
      <w:r>
        <w:t xml:space="preserve">Available abstract (not full text): Abstract The CMIP6 projections constitute the basis of our latest understanding of the climate response to anthropogenic forcing. However, there is still considerable uncertainty in the projections, especially at the regional scale. One way to constrain the uncertainty is by comparing the models historical climate change signals against observations and investigate the physical reasons for divergences. Here, we assess the signal‐to‐noise ratio (S/N) of surface air temperature (SAT), precipitation (PREC) and soil moisture (SM) over Europe for a set of CMIP6 historical simulations and compare them against the E‐OBS observational product and the ERA5 reanalysis. We found considerable divergences between the CMIP6 ensemble mean S/N and that of E‐OBS and ERA5, as well as between ERA5 and E‐OBS. The latter indicates that the S/N is affected by data coverage. We show that the differences among model signals are associated with different atmospheric circulation responses. We also investigate the potential relationships between the models' signals and climatological biases, and we found evidence that the models with a warm climatological bias in southern Europe tend to have smaller SAT signals (warm less). Finally, we found no apparent relationship between SM biases and the warming signal, suggesting that the mechanism by which SM–atmosphere interactions affect climate variability does </w:t>
      </w:r>
    </w:p>
    <w:p>
      <w:r>
        <w:t>POSSIBLE 2022: The Role of the North Atlantic Oscillation for Projections of Winter Mean Precipitation in Europe — https://doi.org/10.1029/2022gl099083</w:t>
      </w:r>
    </w:p>
    <w:p>
      <w:r>
        <w:t>Shared claim-specific concepts: abstract, projections, precipitation, extremes, multimodel, ensemble; EU scope visible. This is a provisional connection, not an outcome finding.</w:t>
      </w:r>
    </w:p>
    <w:p>
      <w:r>
        <w:t>Available abstract (not full text): Abstract Climate models generally project an increase in the winter North Atlantic Oscillation (NAO) index under a future high‐emissions scenario, alongside an increase in winter precipitation in northern Europe and a decrease in southern Europe. The extent to which future forced NAO trends are important for European winter precipitation trends and their uncertainty remains unclear. We show using the Multimodel Large Ensemble Archive that the NAO plays a small role in northern European mean winter precipitation projections for 2080–2099. Conversely, half of the model uncertainty in southern European mean winter precipitation projections is potentially reducible through improved understanding of the NAO projections. Extreme positive NAO winters increase in frequency in most models as a consequence of mean NAO changes. These extremes also have more severe future precipitation impacts, largely because of mean precipitation changes. This has implications for future resilience to extreme positive NAO winters, which frequently have severe societal impacts.</w:t>
      </w:r>
    </w:p>
    <w:p>
      <w:r>
        <w:t>POSSIBLE 2022: Changes in temperature–precipitation correlations over Europe: are climate models reliable? — https://doi.org/10.1007/s00382-022-06436-5</w:t>
      </w:r>
    </w:p>
    <w:p>
      <w:r>
        <w:t>Shared claim-specific concepts: abstract, projections, precipitation, over, ensemble, climate; EU scope visible. This is a provisional connection, not an outcome finding.</w:t>
      </w:r>
    </w:p>
    <w:p>
      <w:r>
        <w:t>Available abstract (not full text): Abstract Inter-variable correlations (e.g., between daily temperature and precipitation) are key statistical properties to characterise probabilities of simultaneous climate events and compound events. Their correct simulations from climate models, both in values and in changes over time, is then a prerequisite to investigate their future changes and associated impacts. Therefore, this study first evaluates the capabilities of one 11-single run multi-model ensemble (CMIP6) and one 40-member single model initial-condition large ensemble (CESM) over Europe to reproduce the characteristics of a reanalysis dataset (ERA5) in terms of temperature–precipitation correlations and their historical changes. Next, the ensembles’ correlations for the end of the 21st century are compared. Over the historical period, both CMIP6 and CESM ensembles have season-dependent and spatially structured biases. Moreover, the inter-variable correlations from both ensembles mostly appear stationary. Thus, although reanalysis displays significant correlation changes, none of the ensembles can reproduce them, with internal variability representing only 30% on the inter-model variability. However, future correlations show significant changes over large spatial patterns. Yet, those patterns are rather different for CMIP6 and CESM, reflecting a large uncertainty in changes. In addition, for historical and futu</w:t>
      </w:r>
    </w:p>
    <w:p>
      <w:r>
        <w:t>POSSIBLE 2021: Can we trust CMIP5/6 future projections of European winter precipitation? — https://doi.org/10.1088/1748-9326/abf28a</w:t>
      </w:r>
    </w:p>
    <w:p>
      <w:r>
        <w:t>Shared claim-specific concepts: abstract, projections, precipitation, over, resolution, regional; EU scope visible. This is a provisional connection, not an outcome finding.</w:t>
      </w:r>
    </w:p>
    <w:p>
      <w:r>
        <w:t>Available abstract (not full text): Abstract IPCC models project a likely increase in winter precipitation over northern Europe under a high-emission scenario. These projections, however, typically rely on relatively coarse ∼100 km resolution models that can misrepresent important processes driving precipitation, such as extratropical cyclone activity, and ocean eddies. Here, we show that a pioneering 50 km atmosphere–1/12° ocean global coupled model projects a substantially larger increase in winter precipitation over northwestern Europe by mid-century than lower-resolution configurations. For this increase, both the highest ocean and atmosphere model resolutions are essential: only the eddy-rich (1/12°) ocean projects a progressive northward shift of the Gulf Stream. This leads to a strong regional ocean surface warming that intensifies air–sea heat fluxes and baroclinicity. For this then to translate into a strengthening of North Atlantic extratropical cyclone activity, the 50 km atmosphere is essential, as it enables enhanced diabatic heating from water vapor condensation and an acceleration of the upper-level mean flow, which weaken vertical stability. Our results suggest that all recent IPCC climate projections using traditional ∼100 km resolution models could be underestimating the precipitation increase over Europe in winter and, consequently, the related potential risks.</w:t>
      </w:r>
    </w:p>
    <w:p>
      <w:r>
        <w:t>POSSIBLE 2021: Future projections of temperature and precipitation for Antarctica — https://doi.org/10.1088/1748-9326/ac43e2</w:t>
      </w:r>
    </w:p>
    <w:p>
      <w:r>
        <w:t>Shared claim-specific concepts: abstract, projections, precipitation, climate; EU scope not established. This is a provisional connection, not an outcome finding.</w:t>
      </w:r>
    </w:p>
    <w:p>
      <w:r>
        <w:t>Available abstract (not full text): Abstract Antarctica directly impacts the lives of more than half of the world’s population living in the coastal regions. Therefore it is highly desirable to project its climate for the future. But it is a region where the climate models have large inter-modal variability and hence it raises questions about the robustness of the projections available. Therefore, we have examined 87 global models from three modelling consortia (Coupled Model Intercomparison Project Phase 5 (CMIP5), Coupled Model Intercomparison Project Phase 6 (CMIP6), and NASA Earth Exchange Global Daily Downscaled Projections (NEX-GDDP)), characterized their fidelity, selected a set of ten models (MM10) performing satisfactorily, and used them to make the future projection of precipitation and temperature, and assessed the contribution of precipitation towards sea-levels. For the historical period, the multi-model mean (MMM) of CMIP5 performed slightly better than CMIP6 and was worse for NEX-GDDP, with negligible surface temperature bias of approximately 0.5 °C and a 17.5% and 19% biases in the mean precipitation noted in both CMIP consortia. These biases considerably reduced in MM10, with 21st century projections showing surface warming of approximately 5.1 °C–5.3 °C and precipitation increase approximately 44%–50% against ERA-5 under high-emission scenarios in both CMIP consortia. This projected precipitatio</w:t>
      </w:r>
    </w:p>
    <w:p>
      <w:r>
        <w:t>POSSIBLE 2021: How does the CMIP6 ensemble change the picture for European climate projections? — https://doi.org/10.1088/1748-9326/ac1ed9</w:t>
      </w:r>
    </w:p>
    <w:p>
      <w:r>
        <w:t>Shared claim-specific concepts: abstract, projections, precipitation, ensemble, regional, climate; EU scope visible. This is a provisional connection, not an outcome finding.</w:t>
      </w:r>
    </w:p>
    <w:p>
      <w:r>
        <w:t>Available abstract (not full text): Abstract We compare Coupled Model Intercomparison Project (CMIP) ensemble (CMIP6) projections for seasonal mean temperature and precipitation to CMIP5 for northern Europe, central Europe and the Mediterranean. The CMIP6 ensemble shows increased projected summer warming compared to CMIP5, which was found to be statistically significant in central Europe and the Mediterranean. Precipitation projections for Central Europe in CMIP6 were found to have a stronger drying trend in the summer months, there was also a substantially narrower projection range. Spatial comparisons indicate that this stronger drying trend also extends into a large part northern Europe. We show that warmer projected summer temperatures in northern Europe and the Mediterranean are largely driven by the higher global climate sensitivities in CMIP6 models, while regional changes are broadly similar. In central Europe a significant difference in the regional responses was found and in these cases the picture can be said to have changed. We find the difference in regional sensitivity is important in central Europe where it accounts for roughly 40 % of the differences between ensembles in projected regional temperature.</w:t>
      </w:r>
    </w:p>
    <w:p>
      <w:pPr>
        <w:pStyle w:val="Heading2"/>
      </w:pPr>
      <w:r>
        <w:t>Realising transition pathways for a more electric, low-carbon energy system in the United Kingdom: Challenges, insights and opportunities</w:t>
      </w:r>
    </w:p>
    <w:p>
      <w:r>
        <w:t>Original source (2017): https://doi.org/10.1177/0957650917695448</w:t>
      </w:r>
    </w:p>
    <w:p>
      <w:r>
        <w:t>Original wording (abstract; indexed_source_text_not_full_document_verified): The United Kingdom has placed itself on a transition towards a low-carbon economy and society, through the imposition of a legally-binding goal aimed at reducing its ‘greenhouse gas’ emissions by 80% by 2050 against a 1990 baseline. This provided a basis for integrating the analysis within a whole systems framework of electricity system development, together with the evaluation of future economic benefits, costs and uncertainties.</w:t>
      </w:r>
    </w:p>
    <w:p>
      <w:r>
        <w:t>POSSIBLE 2026: Open-Source AI and Market Competition: Why the United Kingdom Is Well Placed to Promote Openness as Competition Policy — https://doi.org/10.2139/ssrn.7431620</w:t>
      </w:r>
    </w:p>
    <w:p>
      <w:r>
        <w:t>Shared claim-specific concepts: united, kingdom, placed; EU scope not established. This is a provisional connection, not an outcome finding.</w:t>
      </w:r>
    </w:p>
    <w:p>
      <w:r>
        <w:t>Available abstract (not full text): Unavailable</w:t>
      </w:r>
    </w:p>
    <w:p>
      <w:r>
        <w:t>POSSIBLE 2025: United Kingdom — https://doi.org/10.1093/9780197758847.003.0031</w:t>
      </w:r>
    </w:p>
    <w:p>
      <w:r>
        <w:t>Shared claim-specific concepts: united, kingdom, placed, within; EU scope not established. This is a provisional connection, not an outcome finding.</w:t>
      </w:r>
    </w:p>
    <w:p>
      <w:r>
        <w:t xml:space="preserve">Available abstract (not full text): Abstract Improving outcomes for care leavers has been high on the policy agenda across the United Kingdom. This chapter provides a synopsis of these developments, which are oriented toward facilitating more extended and gradual transitions into adulthood and include statutory duties to assess youth’s support needs, allocate a personal adviser (aftercare worker) to provide or coordinate support, offer extended foster care post-18 (and extended residential placements in Scotland), and offer access to aftercare support up to 25 (or 26 years in Scotland). Drawing on a rich body of research in each nation, including participatory and coproduced studies with care experienced youth, findings illuminate significant gaps in implementation of reforms and the persistence of inequalities in outcomes within the care experienced community, and compared to the general population. Barriers to implementation include budget constraints, a shortage of suitable accommodation, high thresholds for access to services;, and limited investment to support implementation of reforms and to facilitate a cultural shift away from practice focused on preparing youth to be “independent” and toward broader support for interdependence in early adulthood. The situation in the United Kingdom highlights that legislation and policy guidance are not sufficient in themselves. At the micro level greater emphasis needs </w:t>
      </w:r>
    </w:p>
    <w:p>
      <w:r>
        <w:t>POSSIBLE 2025: The United Kingdom — https://doi.org/10.1017/9781009665872.008</w:t>
      </w:r>
    </w:p>
    <w:p>
      <w:r>
        <w:t>Shared claim-specific concepts: united, kingdom, within; EU scope not established. This is a provisional connection, not an outcome finding.</w:t>
      </w:r>
    </w:p>
    <w:p>
      <w:r>
        <w:t>Available abstract (not full text): This chapter explores the pronounced divide in England’s environmental and social policy implementation, painting a highly diverse picture of policy triage across organizations. The Environment Agency, initially envisaged as an integrated “one-stop shop,” now exemplifies frequent and severe triage. Chronic underfunding, staff attrition, and politically induced blame-shifting in combination with ever-increasing workloads undermine its monitoring, enforcement, and crisis-preparedness functions. In contrast, most local authorities sustain only moderate triage levels, where increasing implementations tasks are mitigated by a broader range of financing avenues and political networks. In the social sector, the Department for Work and Pensions displays striking levels of triage despite minimal formal policy growth, as unrelenting welfare reforms, departmental downsizing, and inadequate cross-agency collaboration spur severe and frequent trade-offs. Meanwhile, The Pensions Regulator remains a near-anomaly, effectively managing regulatory expansion. The English case study thus underscores how variation in blame-shifting, opportunities for resource mobilization, and organizational overload compensation can yield a highly diverse triage scenario — even within a country.</w:t>
      </w:r>
    </w:p>
    <w:p>
      <w:r>
        <w:t>POSSIBLE 2024: Teaching-Track Economists in the United Kingdom — https://doi.org/10.1257/pandp.20241034</w:t>
      </w:r>
    </w:p>
    <w:p>
      <w:r>
        <w:t>Shared claim-specific concepts: united, kingdom, placed; EU scope not established. This is a provisional connection, not an outcome finding.</w:t>
      </w:r>
    </w:p>
    <w:p>
      <w:r>
        <w:t>Available abstract (not full text): In this companion paper to Arico et al (2024), we use a mixed-methods approach to characterize teaching-track faculty positions in the United Kingdom. We find these roles are more prevalent in the United Kingdom compared to the United States or Canada, and notably more oriented toward scholarship and administration duties. A high value is placed by role holders on the existence of formal networks that connect teaching-track economists across universities. We provide some context to help understand these findings, which will be relevant for academics considering these roles as well as department and university leaders.</w:t>
      </w:r>
    </w:p>
    <w:p>
      <w:r>
        <w:t>POSSIBLE 2023: FORWARD Study of GORE VIABAHN Balloon-Expandable Endoprostheses and Bare Metal Stents in the United States, European Union, United Kingdom, Australia, and New Zealand When Placed to Treat Complex Iliac Occlusive Disease: Protocol for a Randomized Superiority Trial — https://doi.org/10.2196/51480</w:t>
      </w:r>
    </w:p>
    <w:p>
      <w:r>
        <w:t>Shared claim-specific concepts: united, kingdom, placed, baseline; EU scope visible. This is a provisional connection, not an outcome finding.</w:t>
      </w:r>
    </w:p>
    <w:p>
      <w:r>
        <w:t>Available abstract (not full text): BACKGROUND: The recommendations for the use of and selection of covered stent grafts in patients with aortoiliac occlusive disease are limited. OBJECTIVE: The GORE VBX FORWARD clinical study aims to demonstrate the superiority of the GORE VIABAHN VBX Balloon Expandable Endoprosthesis (VBX device) for primary patency when compared to bare metal stenting (BMS) for the treatment of complex iliac artery occlusive disease. METHODS: A prospective, multicenter, randomized control study in the United States, European Union, United Kingdom, Australia, and New Zealand will enroll patients with symptomatic, complex iliac artery occlusive disease. In this study, iliac artery occlusive disease is defined as a unilateral or bilateral disease with single or multiple lesions (with &gt;50% stenosis or chronic total occlusion) each between 4 and 11 cm in length. In an attempt to more closely match real-world practices, patients with minor tissue loss (Rutherford class 5) and patients requiring hemodialysis will be included. Baseline aortoiliac angiography will be performed to assess target lesion characteristics and determine final patient eligibility. Once the patient is confirmed and guidewires are in place across the target lesions, the patient will be randomized in a 1:1 format to treatment with either the VBX device or a BMS. The BMS can be balloon- or self-expanding and must be approved for t</w:t>
      </w:r>
    </w:p>
    <w:p>
      <w:r>
        <w:t>POSSIBLE 2023: Hybrid warfare management of the United Kingdom — https://doi.org/10.5937/nabepo28-43140</w:t>
      </w:r>
    </w:p>
    <w:p>
      <w:r>
        <w:t>Shared claim-specific concepts: united, kingdom, placed, within; EU scope not established. This is a provisional connection, not an outcome finding.</w:t>
      </w:r>
    </w:p>
    <w:p>
      <w:r>
        <w:t>Available abstract (not full text): The United Kingdom achieves national security by acting in accordance with the Fusion Doctrine, as a new approach to national security that should ensure the integration of all resources of national power. The Fusion Doctrine was officially accepted in 2021 within the new national security strategy. The new strategy integrated defence, security and foreign policies into a single act which reflects the Fusion Doctrine in the best manner. The new approach to security led to organizational changes of the entire state administration system, as well as within individual departments. Special emphasis was placed on the efficient coordination of the complex state apparatus.</w:t>
      </w:r>
    </w:p>
    <w:p>
      <w:r>
        <w:t>POSSIBLE 2023: United Kingdom — https://doi.org/10.5089/9798400248627.002</w:t>
      </w:r>
    </w:p>
    <w:p>
      <w:r>
        <w:t>Shared claim-specific concepts: united, kingdom, transition, against; EU scope not established. This is a provisional connection, not an outcome finding.</w:t>
      </w:r>
    </w:p>
    <w:p>
      <w:r>
        <w:t>Available abstract (not full text): The 2023 Article IV Consultation with the United Kingdom discusses that market stress following the September 2022 “mini-budget” has dissipated, in the context of a successful financial stability intervention by the Bank of England (BoE) and two prudent budgets. The post-pandemic recovery was disrupted by the sharp energy price shock due to Russia’s war in Ukraine; labor force participation has declined, mainly because of rising long-term illness; and large policy rate increases—needed to arrest high and sticky inflation—have tightened financial conditions. The overarching policy objectives are price and financial stability, while reforming the fiscal and financial frameworks, and boosting sustainable, medium-term growth. Monetary Policy will need to be tightened further to arrest inflationary pressures, which have shown greater-than-expected persistence, and durably bring inflation to the 2 percent target. Fiscal Policy should remain aligned with monetary policy in the fight against inflation and account for very significant medium-term pressures related to service delivery (especially healthcare), and needed investments in skills, innovation, infrastructure, and the green transition.</w:t>
      </w:r>
    </w:p>
    <w:p>
      <w:r>
        <w:t>POSSIBLE 2022: The United Kingdom — https://doi.org/10.1093/oso/9780192855534.003.0006</w:t>
      </w:r>
    </w:p>
    <w:p>
      <w:r>
        <w:t>Shared claim-specific concepts: united, kingdom, itself, provided, within; EU scope visible. This is a provisional connection, not an outcome finding.</w:t>
      </w:r>
    </w:p>
    <w:p>
      <w:r>
        <w:t>Available abstract (not full text): Abstract This chapter examines the British policy towards the North Atlantic Alliance. The United Kingdom has always been unambiguous in its position on NATO. London helped to establish the Alliance in 1949 and ever since has striven to be its most important European ally. In consequence, the United Kingdom has provided a significant material contribution to NATO missions and command and sees itself as at the forefront of debates on NATO strategy and purpose. With rare exception (the case of Scottish nationalism), NATO membership is beyond question in domestic politics—and the Alliance has never obtained the same controversial status as the European Union. UK foreign and defence policies retain pretensions towards global influence, evidenced in the 2021 Integrated Review of Security, Defence, Development and Foreign Policy. High standing within NATO is one means by which that influence is to be exercised. The United Kingdom has also traditionally seen NATO as an essential bridge in its relationship with the United States, and this is even more so after Brexit. For London, transatlanticism is key to the Alliance, but this has, at times, created tensions with Paris and occasionally with Berlin. Overall, the chapter portrays the United Kingdom as being amongst NATO’s most stalwart and reliable allies and predicts that this is likely to remain so for the foreseeable future.</w:t>
      </w:r>
    </w:p>
    <w:p>
      <w:r>
        <w:t>POSSIBLE 2021: The Growth of the Anti-Transgender Movement in the United Kingdom. The Silent Radicalization of the British Electorate — https://doi.org/10.1080/00207659.2021.1939946</w:t>
      </w:r>
    </w:p>
    <w:p>
      <w:r>
        <w:t>Shared claim-specific concepts: united, kingdom, placed, against, within; EU scope not established. This is a provisional connection, not an outcome finding.</w:t>
      </w:r>
    </w:p>
    <w:p>
      <w:r>
        <w:t>Available abstract (not full text): This article examines the development of anti-transgender debates within the United Kingdom, which have gained traction due to proposed amendments to the country’s Gender Recognition Act (GRA). A group of determined lobby groups, taking their lead from like-minded organizations in the United States, has protested vigorously against the proposed changes to the GRA, especially with respect to “single-sex spaces”. As a result of this furor, the lives of transgender people have become the subject of open debate. Trans people now see their legitimacy questioned, and their ability to access services increasingly being placed under the microscope. This article argues that the literature on radicalization – developed in response to domestic terrorism – can explain these developments. UK lobby groups are successfully pushing a radical agenda to deny the basic rights of trans people, and are doing so under the cover of “free speech” – a sacrosanct element of life in Anglo-Saxon countries.</w:t>
      </w:r>
    </w:p>
    <w:p>
      <w:r>
        <w:t>POSSIBLE 2020: Homebirthing in the United Kingdom during COVID-19 — https://doi.org/10.1177/0968533220955224</w:t>
      </w:r>
    </w:p>
    <w:p>
      <w:r>
        <w:t>Shared claim-specific concepts: united, kingdom, placed, within; EU scope not established. This is a provisional connection, not an outcome finding.</w:t>
      </w:r>
    </w:p>
    <w:p>
      <w:r>
        <w:t>Available abstract (not full text): COVID-19 has significantly impacted all aspects of maternity services in the United Kingdom, exacerbating the fact that choice is insufficiently centred within the maternity regime. In this article, we focus on the restrictions placed on homebirthing services by some National Health Service Trusts in response to the virus. In March 2020, around a third of Trusts implemented blanket policies suspending their entire homebirth service. We argue that the failure to protect choice about place of birth during the pandemic may not only be harmful to birthing people’s physical and mental health, but also that it is legally problematic as it may, in some instances, breach human rights obligations. We also voice concerns about the possibility that in the absence of available homebirthing services people might choose to freebirth. While freebirthing (birthing absent any medical or midwifery support) is not innately problematic, it is concerning that people may feel forced to opt for this.</w:t>
      </w:r>
    </w:p>
    <w:p>
      <w:r>
        <w:t>POSSIBLE 2020: Telehealth in the Context of COVID-19: Changing Perspectives in Australia, the United Kingdom, and the United States — https://doi.org/10.2196/19264</w:t>
      </w:r>
    </w:p>
    <w:p>
      <w:r>
        <w:t>Shared claim-specific concepts: united, kingdom, within; EU scope not established. This is a provisional connection, not an outcome finding.</w:t>
      </w:r>
    </w:p>
    <w:p>
      <w:r>
        <w:t>Available abstract (not full text): BACKGROUND: On March 12, 2020, the World Health Organization declared the coronavirus disease (COVID-19) outbreak a pandemic. On that date, there were 134,576 reported cases and 4981 deaths worldwide. By March 26, 2020, just 2 weeks later, reported cases had increased four-fold to 531,865, and deaths increased five-fold to 24,073. Older people are both major users of telehealth services and are more likely to die as a result of COVID-19. OBJECTIVE: This paper examines the extent that Australia, the United Kingdom, and the United States, during the 2 weeks following the pandemic announcement, sought to promote telehealth as a tool that could help identify COVID-19 among older people who may live alone, be frail, or be self-isolating, and give support to or facilitate the treatment of people who are or may be infected. METHODS: This paper reports, for the 2-week period previously mentioned and immediately prior, on activities and initiatives in the three countries taken by governments or their agencies (at national or state levels) together with publications or guidance issued by professional, trade, and charitable bodies. Different sources of information are drawn upon that point to the perceived likely benefits of telehealth in fighting the pandemic. It is not the purpose of this paper to draw together or analyze information that reflects growing knowledge about COVID-19, excep</w:t>
      </w:r>
    </w:p>
    <w:p>
      <w:r>
        <w:t>POSSIBLE 2019: United Kingdom — https://doi.org/10.4324/9781351066341-12</w:t>
      </w:r>
    </w:p>
    <w:p>
      <w:r>
        <w:t>Shared claim-specific concepts: united, kingdom, placed, systems; EU scope visible. This is a provisional connection, not an outcome finding.</w:t>
      </w:r>
    </w:p>
    <w:p>
      <w:r>
        <w:t>Available abstract (not full text): Are parents across the four nations of the United Kingdom (UK) expected to participate in education systems where all but the most privileged are disempowered and pathologised? This chapter argues that this is the case. This worrying contemporary positioning of parents as they engage with schools and education is foregrounded in legislative and political history, research trends and new research directions that are specific to the UK. The chapter charts the divergence between England and the devolved nations of Wales, Scotland and Northern Ireland in policies concerning parental engagement and involvement in education. It also reveals commonalities between the nations in contemporary political educational agendas and, therein, the expectations placed upon parents in respect of their involvement with their children’s learning. The differences and similarities are scrutinised in the context of educational and sociological research, which reveals that the enactment of policy through practice and the lived experiences of parents suggest a worrying culture of exclusion and inequality in which many are both disadvantaged and marginalised.</w:t>
      </w:r>
    </w:p>
    <w:p>
      <w:pPr>
        <w:pStyle w:val="Heading2"/>
      </w:pPr>
      <w:r>
        <w:t>Regulating the Use of Bisphenol A in Baby and Children's Products in the European Union: Current Developments and Scenarios for the Regulatory Future</w:t>
      </w:r>
    </w:p>
    <w:p>
      <w:r>
        <w:t>Original source (2017): https://doi.org/10.1017/s1867299x00000593</w:t>
      </w:r>
    </w:p>
    <w:p>
      <w:r>
        <w:t>Original wording (abstract; indexed_source_text_not_full_document_verified): Apart from regulatory exposure limits (Tolerable Daily Intake levels (TDI), Bisphenol A is currently not subject to any restrictions in use yet (although BPA will be subject to a ban on the EU level from spring 2011 onwards). However, with the REACH framework (Registration, Evaluation, Authorisation of Chemicals), a new regulatory framework for EU's chemical policy in place since June 2007, these exposure limits may be reviewed and BPA may face regulatory action.</w:t>
      </w:r>
    </w:p>
    <w:p>
      <w:r>
        <w:t>POSSIBLE 2026: Legal regulatory frameworks of radon spas in central Europe — https://doi.org/10.1007/s00411-026-01203-0</w:t>
      </w:r>
    </w:p>
    <w:p>
      <w:r>
        <w:t>Shared claim-specific concepts: regulatory, exposure, yet; EU scope visible. This is a provisional connection, not an outcome finding.</w:t>
      </w:r>
    </w:p>
    <w:p>
      <w:r>
        <w:t>Available abstract (not full text): This study synthesises publicly available information on legal regulatory frameworks that explicitly or implicitly govern radon spa designation and/or identification in six Central European countries: Austria, the Czech Republic, Germany, Hungary, Poland, and Slovakia. Employing analytical and comparative methods in Social Sciences and Humanities research, this study examines official documents, legal norms, and academic literature to address gaps in understanding radon spa regulation within, and partially beyond, the context of the RadoNorm project. Findings reveal substantial disparities in legally established thresholds distinguishing medicinal and non-medicinal bathing waters based on radon concentrations, ranging from as little as 74 Bq/L in Poland (and potentially only 37 Bq/L in Hungary) to as high as 1,500 Bq/L in the Czech Republic, with intermediate values of 370 Bq/L in Austria and 666 Bq/L in Germany and Slovakia. These pronounced differences present significant challenges for cross-national comparative research and broader conceptualisation efforts concerning radon spa academic definitions. As an incidental finding, this study also identifies varying approaches to workplace safety regulations for spa employees, with Austria and Germany following one approach and the Czech Republic another. Overall, the study contributes to the dissemination of RadoNorm project find</w:t>
      </w:r>
    </w:p>
    <w:p>
      <w:r>
        <w:t>POSSIBLE 2026: Regional Varieties of Regulatory Capitalism and Predatory Lending — https://doi.org/10.1017/s0003975626100393</w:t>
      </w:r>
    </w:p>
    <w:p>
      <w:r>
        <w:t>Shared claim-specific concepts: regulatory, not, use; EU scope visible. This is a provisional connection, not an outcome finding.</w:t>
      </w:r>
    </w:p>
    <w:p>
      <w:r>
        <w:t>Available abstract (not full text): Abstract Alternative financial institutions have grown as a source of credit for low-income borrowers deemed credit risks by banks. This article examines how predatory lending flourishes despite regulatory tightening. I theorize three varieties of regulatory capitalism in North America, the Asia-Pacific, and Europe, each shaped by its developmental history and each of which influences different forms of collateralization, regulatory evasion, and risk laundering that predatory lenders pursue for profit. In North America, a region characterized by liberal market economies and a fragmented regulatory environment, firms adopt tactics such as the use of scalable resale markets to collateralize borrowers’ goods through pawnshop chains, regulatory evasion through legal arbitrage, and risk laundering in the form of secondary market sales. In the Asia-Pacific, where microloans are historically entrenched and formal institutions are weak, firms adopt tactics such as collateralizing personal gold and personal jewelry to defy traceability, regulatory evasion through product substitution, and risk laundering by shifting operations across the region. In Europe, which is characterized by coordinated market economies with strong consumer protections and high institutional trust, firms largely pivot away from collateralization toward bundling their collateral with insurance as a means of evadin</w:t>
      </w:r>
    </w:p>
    <w:p>
      <w:r>
        <w:t>POSSIBLE 2025: Gloves Standards and Occupational Exposure to Antineoplastic Drugs in the European Context — https://doi.org/10.1002/hsr2.70592</w:t>
      </w:r>
    </w:p>
    <w:p>
      <w:r>
        <w:t>Shared claim-specific concepts: regulatory, exposure, not, any, use; EU scope visible. This is a provisional connection, not an outcome finding.</w:t>
      </w:r>
    </w:p>
    <w:p>
      <w:r>
        <w:t>Available abstract (not full text): Background and Aims: Over 12 million healthcare professionals in Europe are exposed to hazardous medicinal products, including antineoplastic drugs. Dermal route is recognized as the primary route of exposure to antineoplastic drugs, emphasizing the critical importance of skin protection provided by gloves, which necessitates a careful and specific selection process. This study aims to compare the current European standard EN 16523-1:2015 + A1:2018 with the ASTM D6978-05(2023) standard used in the United States. Methods: Firstly, the three main performance parameters to consider when selecting gloves are described: standardized breakthrough time, standardized permeation rate, and cumulative permeation. Subsequently, the current European and American standards are compared based on the following criteria: part of the glove tested, substances tested, standardized permeation rate, test duration, test temperature, and the information provided on the glove packaging. Additionally, and with a focus on safety, clear examples of how to interpret graphical symbols and indications available on glove packaging are provided to enhance the transferability of the information contained in this study to healthcare settings. Results: There is a significant disparity between the requirements of the two standards. Indeed, the only European standard applicable in the context of glove permeation by</w:t>
      </w:r>
    </w:p>
    <w:p>
      <w:r>
        <w:t>POSSIBLE 2024: Rare disease clinical trials in the European Union: navigating regulatory and clinical challenges — https://doi.org/10.1186/s13023-024-03146-5</w:t>
      </w:r>
    </w:p>
    <w:p>
      <w:r>
        <w:t>Shared claim-specific concepts: regulatory, not, any; EU scope visible. This is a provisional connection, not an outcome finding.</w:t>
      </w:r>
    </w:p>
    <w:p>
      <w:r>
        <w:t>Available abstract (not full text): BACKGROUND: Clinical development for orphan drugs presents significant difficulties and challenges. There is no unique or standard design, conduct, and outcome assessment methodology and it is sometimes impractical to fit design models of rare disease trials in any practiced and well-known framework. In the European Union (EU) these challenges encompass a broad array of subjects, including trial design, study outcomes, patient recruitment, trial conduct ethics, trial cost, and chances of success. This literature-based review study aims to provide a thorough overview of the critical aspects of rare disease trials in the EU by analyzing the current landscape of rare disease trials, highlighting key challenges, delving into regulatory and research initiatives and innovation in trial designs, and proposing multi-faceted solutions to implement effective rare disease clinical trials in the region. DISCUSSION: Traditional clinical trial designs, validation, and evaluation methodologies used for nonorphan drugs often prove unsuitable for orphan drugs, given the small patient populations, sometimes fewer than 1000 cases. There is an increasing need for accessible therapies and both regulators as well as industry are trying to develop affordable and effective drugs to address this need. Despite several steps that have been taken, the timely development of drugs remains a challenge. One o</w:t>
      </w:r>
    </w:p>
    <w:p>
      <w:r>
        <w:t>POSSIBLE 2024: Noise Exposure and Mitigation on High-Speed Craft: Assessing Acoustic Environment and Regulatory Compliance — https://doi.org/10.3390/jmse12122329</w:t>
      </w:r>
    </w:p>
    <w:p>
      <w:r>
        <w:t>Shared claim-specific concepts: regulatory, exposure, levels; EU scope visible. This is a provisional connection, not an outcome finding.</w:t>
      </w:r>
    </w:p>
    <w:p>
      <w:r>
        <w:t>Available abstract (not full text): High-speed craft (HSC) present unique challenges regarding on-board noise levels, affecting crew safety, comfort, and operational efficiency. This study investigates noise exposure and mitigation strategies aboard three Ro-Pax HSC vessels operating in southern Spain, with a focus on noise sources, regulatory compliance, and crew health. Full-scale experimental measurements were conducted in critical on-board locations, and noise maps were developed to identify areas where sound levels exceed International Maritime Organization (IMO) and European Directive 2003/10/EC thresholds. Results highlight that engine rooms and propulsion systems are the primary sources of excessive noise, with significant transmission to passenger and crew accommodation areas. Noise exposure calculations reveal that several crew roles, particularly engineers and deckhands, face exposure to hazardous noise levels during routine operations. Mitigation strategies, including improved insulation, noise mapping, and the implementation of hearing protection, are recommended to enhance on-board acoustic conditions. This research contributes to a deeper understanding of noise pollution on HSC vessels and proposes practical interventions to reduce exposure, improving overall maritime safety and occupational health.</w:t>
      </w:r>
    </w:p>
    <w:p>
      <w:r>
        <w:t>POSSIBLE 2022: Exposure modelling in Europe: how to pave the road for the future as part of the European Exposure Science Strategy 2020–2030 — https://doi.org/10.1038/s41370-022-00455-4</w:t>
      </w:r>
    </w:p>
    <w:p>
      <w:r>
        <w:t>Shared claim-specific concepts: regulatory, exposure, use; EU scope visible. This is a provisional connection, not an outcome finding.</w:t>
      </w:r>
    </w:p>
    <w:p>
      <w:r>
        <w:t>Available abstract (not full text): Exposure models are essential in almost all relevant contexts for exposure science. To address the numerous challenges and gaps that exist, exposure modelling is one of the priority areas of the European Exposure Science Strategy developed by the European Chapter of the International Society of Exposure Science (ISES Europe). A strategy was developed for the priority area of exposure modelling in Europe with four strategic objectives. These objectives are (1) improvement of models and tools, (2) development of new methodologies and support for understudied fields, (3) improvement of model use and (4) regulatory needs for modelling. In a bottom-up approach, exposure modellers from different European countries and institutions who are active in the fields of occupational, population and environmental exposure science pooled their expertise under the umbrella of the ISES Europe Working Group on exposure models. This working group assessed the state-of-the-art of exposure modelling in Europe by developing an inventory of exposure models used in Europe and reviewing the existing literature on pitfalls for exposure modelling, in order to identify crucial modelling-related strategy elements. Decisive actions were defined for ISES Europe stakeholders, including collecting available models and accompanying information in a living document curated and published by ISES Europe, as well as</w:t>
      </w:r>
    </w:p>
    <w:p>
      <w:r>
        <w:t>POSSIBLE 2022: European Regulatory and Insurance Aspects of Carbon Capture and Storage — https://doi.org/10.54648/eelr2022024</w:t>
      </w:r>
    </w:p>
    <w:p>
      <w:r>
        <w:t>Shared claim-specific concepts: regulatory, not, any, use, however; EU scope visible. This is a provisional connection, not an outcome finding.</w:t>
      </w:r>
    </w:p>
    <w:p>
      <w:r>
        <w:t>Available abstract (not full text): Carbon capture, use and storage (CCUS) has the potential to significantly reduce carbon emissions, however, because CCUS technology almost exclusively aims for carbon mitigation without co-benefits, this expensive technology has not been widely adopted. In order to make this technology viable, a robust regulatory and legal regime is required both internationally and within the European Union (EU). A comprehensive insurance system is also required to ensure that efficient running of CCUS. With this understanding in mind, this article analyses the regulatory regime governing CCUS both internationally and in the EU and also the law governing insurance of this technology. It argues that whilst European regulation has improved with respect to filling regulatory gaps, a number of gaps are identified which still need to be closed. In addition, the article will argue that special insurance coverage for specialized risks must be in place to diminish any environmental impact and hazard, including cyber-related risks that need to be identified and insured to be properly handled and adequately covered to allow for the successful deployment of CCUS. Carbon capture, use and storage; climate change; climate change mitigation; environmental insurance; cyber insurance; EU environmental law</w:t>
      </w:r>
    </w:p>
    <w:p>
      <w:r>
        <w:t>POSSIBLE 2022: Electromagnetic Fields Exposure Assessment in Europe Utilizing Publicly Available Data — https://doi.org/10.3390/s22218481</w:t>
      </w:r>
    </w:p>
    <w:p>
      <w:r>
        <w:t>Shared claim-specific concepts: exposure, limits, levels, use; EU scope visible. This is a provisional connection, not an outcome finding.</w:t>
      </w:r>
    </w:p>
    <w:p>
      <w:r>
        <w:t>Available abstract (not full text): The ever-increasing use of wireless communication systems during the last few decades has raised concerns about the potential health effects of electromagnetic fields (EMFs) on humans. Safety limits and exposure assessment methods were developed and are regularly updated to mitigate health risks. Continuous radiofrequency EMF monitoring networks and in situ measurement campaigns provide useful information about environmental EMF levels and their variations over time and in different microenvironments. In this study, published data from the five largest monitoring networks and from two extensive in situ measurement campaigns in different European countries were gathered and processed. Median electric field values for monitoring networks across different countries lay in the interval of 0.67-1.51 V/m. The median electric field value across different microenvironments, as evaluated from in situ measurements, varied from 0.10 V/m to 1.42 V/m. The differences between networks were identified and mainly attributed to variations in population density. No significant trends in the temporal evolution of EMF levels were observed. The influences of parameters such as population density, type of microenvironment, and height of measurement on EMF levels were investigated.</w:t>
      </w:r>
    </w:p>
    <w:p>
      <w:r>
        <w:t>POSSIBLE 2021: Malignant mesothelioma and asbestos exposure in Europe: Evidence of spatial clustering — https://doi.org/10.4081/gh.2021.951</w:t>
      </w:r>
    </w:p>
    <w:p>
      <w:r>
        <w:t>Shared claim-specific concepts: exposure, levels, not, use, yet, however; EU scope visible. This is a provisional connection, not an outcome finding.</w:t>
      </w:r>
    </w:p>
    <w:p>
      <w:r>
        <w:t xml:space="preserve">Available abstract (not full text):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r>
        <w:t>POSSIBLE 2021: Enhancing the use of exposure science across EU chemical policies as part of the European Exposure Science Strategy 2020–2030 — https://doi.org/10.1038/s41370-021-00388-4</w:t>
      </w:r>
    </w:p>
    <w:p>
      <w:r>
        <w:t>Shared claim-specific concepts: regulatory, exposure, use; EU scope visible. This is a provisional connection, not an outcome finding.</w:t>
      </w:r>
    </w:p>
    <w:p>
      <w:r>
        <w:t xml:space="preserve">Available abstract (not full text): BACKGROUND: A scientific framework on exposure science will boost the multiuse of exposure knowledge across EU chemicals-related policies and improve risk assessment, risk management and communication across EU safety, security and sustainability domains. OBJECTIVE: To stimulate public and private actors to align and strengthen the cross-policy adoption of exposure assessment data, methods and tools across EU legislation. METHODS: By mapping and analysing the EU regulatory landscape making use of exposure information, policy and research challenges and key areas of action are identified and translated into opportunities enhancing policy and scientific efficiency. RESULTS: Identified key areas of actions are to develop a common scientific exposure assessment framework, supported by baseline acceptance criteria and a shared knowledge base enhancing exchangeability and acceptability of exposure knowledge within and across EU chemicals-related policies. Furthermore, such framework will improve communication and management across EU chemical safety, security and sustainability policies comprising sourcing, manufacturing and global trade of goods and waste management. In support of building such a common framework and its effective use in policy and industry, exposure science innovation needs to be better embedded along the whole policymaking cycle, and be integrated into companies' </w:t>
      </w:r>
    </w:p>
    <w:p>
      <w:r>
        <w:t>POSSIBLE 2019: Intricacies in the Approval of Radiopharmaceuticals – Regulatory Perspectives and the Way Forward — https://doi.org/10.18520/cs/v116/i1/47-55</w:t>
      </w:r>
    </w:p>
    <w:p>
      <w:r>
        <w:t>Shared claim-specific concepts: regulatory, not, use, however; EU scope visible. This is a provisional connection, not an outcome finding.</w:t>
      </w:r>
    </w:p>
    <w:p>
      <w:r>
        <w:t>Available abstract (not full text): Extensive research by the global scientific fraternity has led to the production of many radiopharmaceuticals of immense clinical importance.However, this increasing availability has not been matched by adequate regulatory action to back up the legal foundation for their commercial use.It is imperative for a radiopharmaceutical to have a seal of regulatory authority approval to qualify for human use.The present article highlights various regulatory requirements for approval of radiopharmaceuticals in USA, Europe, and particularly India, which does not have guidelines for their approval, and intensifies the concern for a harmonized regulatory platform of global acceptance.</w:t>
      </w:r>
    </w:p>
    <w:p>
      <w:r>
        <w:t>POSSIBLE 2019: Traditional and Digital Biomarkers: Two Worlds Apart? — https://doi.org/10.1159/000502000</w:t>
      </w:r>
    </w:p>
    <w:p>
      <w:r>
        <w:t>Shared claim-specific concepts: apart, regulatory, however; EU scope not established. This is a provisional connection, not an outcome finding.</w:t>
      </w:r>
    </w:p>
    <w:p>
      <w:r>
        <w:t>Available abstract (not full text): The identification and application of biomarkers in the clinical and medical fields has an enormous impact on society. The increase of digital devices and the rise in popularity of health-related mobile apps has produced a new trove of biomarkers in large, diverse, and complex data. However, the unclear definition of digital biomarkers, population groups, and their intersection with traditional biomarkers hinders their discovery and validation. We have identified current issues in the field of digital biomarkers and put forth suggestions to address them during the DayOne Workshop with participants from academia and industry. We have found similarities and differences between traditional and digital biomarkers in order to synchronize semantics, define unique features, review current regulatory procedures, and describe novel applications that enable precision medicine.</w:t>
      </w:r>
    </w:p>
    <w:p>
      <w:pPr>
        <w:pStyle w:val="Heading2"/>
      </w:pPr>
      <w:r>
        <w:t>Scenarios for Chemistry Teacher Training and Practice in Romania in 2030: Views of Chemistry Students</w:t>
      </w:r>
    </w:p>
    <w:p>
      <w:r>
        <w:t>Original source (2017): https://doi.org/10.13187/ejced.2017.4.797</w:t>
      </w:r>
    </w:p>
    <w:p>
      <w:r>
        <w:t>Original wording (abstract; indexed_source_text_not_full_document_verified): Four scenarios regarding Chemistry teacher training and practice in Romania in 2030 were developed by using the 2x2 matrix design for scenario writing.The two driving forces taken in account for the design of scenarios were migration and consumerism.In two of the proposed scenarios teachers are trained to teach socioscientific courses at class.One aim of this study was to collect Chemistry students' views on the developed scenarios for Chemistry teacher training and practice in Romania in 2030.From the N=111 students tested, 51.35 % of students selected the most auspicious scenario as the scenario for teacher training and practice in 2030, a scenario which did not include teaching socioscientific courses at class.This result was confirmed to be statistically significant by the Kruskal-Wallis test (p&lt;0.01)and the Mann-Whitney U test (p &lt; 0.01).This made us wonder if the students are aware of the consequences in time of migration and consumerism and if a more comprehensive study was necessary, to identify the predictors for their selection of scenarios.</w:t>
      </w:r>
    </w:p>
    <w:p>
      <w:r>
        <w:t>POSSIBLE 2024: Envisioning chemistry education in the anthropocene — https://doi.org/10.24834/isbn.9789178775132</w:t>
      </w:r>
    </w:p>
    <w:p>
      <w:r>
        <w:t>Shared claim-specific concepts: four, regarding, chemistry, teacher, developed, two; EU scope visible. This is a provisional connection, not an outcome finding.</w:t>
      </w:r>
    </w:p>
    <w:p>
      <w:r>
        <w:t>Available abstract (not full text): The urgent and contemporary challenges of the Anthropocene declare humanity’s vulnerability through complex entanglements and uncertainty. The cause-and-effect relationships and temporality are disturbed; and human-decentred views and materiality come to the fore. Consequently, it becomes challenging to find a “common answer” for how to educate. This thesis engages with this challenge as a prospective-generating project and adopts the concept of Anthropocene as a framing in science education research. More specifically, this thesis focuses on school chemistry content and science teachers. The overarching aim of this thesis is to problematise school chemistry knowledge through the perspective of the Anthropocene. The ambition is to create knowledge about school chemistry knowledge when it is situated in the intersection of content, purposes, and relationships, framed by the challenges of the Anthropocene. Therefore, approaches to school chemistry knowledge in the Anthropocene were explored in this research. This overarching aim is addressed through two research purposes. These research purposes are addressed in four individual studies. Each study has its own theoretical and analytical focus and its own set of research questions. The first purpose is to theoretically elaborate desired school chemistry knowledge areas (Articles I and II). The second purpose is to empirically study</w:t>
      </w:r>
    </w:p>
    <w:p>
      <w:r>
        <w:t>POSSIBLE 2023: Team Chemistry and COVID in European Football — https://doi.org/10.2174/1875399x-v16-e230510-2022-37</w:t>
      </w:r>
    </w:p>
    <w:p>
      <w:r>
        <w:t>Shared claim-specific concepts: four, chemistry, two; EU scope visible. This is a provisional connection, not an outcome finding.</w:t>
      </w:r>
    </w:p>
    <w:p>
      <w:r>
        <w:t>Available abstract (not full text): Objective: This research investigates the influence of team chemistry and COVID on football matches. Methods: This is done by estimating the effect of both chemistryand COVID on match results and analysing the performance of prediction models where both effects are included and threshold intervals are usedfor classification. Four different chemistry measures are introduced and all are evaluated. Results: Chemistry has the expected positive effect on performance only for the top teams in the estimations where interaction effects are included for two different chemistry measures. COVID has the expected mitigating effect on home advantage. The inclusion of both effects in prediction models does not increase prediction accuracy consistently, although for various symmetric threshold intervals the prediction models with chemistry and COVID included outperforming the baseline models. Conclusion: Chemistry can have a positive influence on the perfomrance of a team and empty stadiums due to COVID mitigate the effect of home advantage. Including COVID and chemistry measures based on region in predictions is highly recommended.</w:t>
      </w:r>
    </w:p>
    <w:p>
      <w:r>
        <w:t>POSSIBLE 2022: Reticular Chemistry for Highly Porous Metal–Organic Frameworks: The Chemistry and Applications — https://doi.org/10.1021/acs.accounts.1c00707</w:t>
      </w:r>
    </w:p>
    <w:p>
      <w:r>
        <w:t>Shared claim-specific concepts: four, chemistry, developed, design, two, account; EU scope not established. This is a provisional connection, not an outcome finding.</w:t>
      </w:r>
    </w:p>
    <w:p>
      <w:r>
        <w:t xml:space="preserve">Available abstract (not full text): Conspectus Current global crises related to clean energy and the environment entail the development of materials that are capable of addressing these challenges. Metal–organic frameworks (MOFs), a class of functional materials assembled from metal-containing nodes and organic ligands via coordination bonds, have been successfully developed for various applications, including catalysis, toxic chemical removal, and gas storage and separation, as a result of their highly tailorable nature and precisely engineered pore structures. In particular, the exceptionally high surface areas and porosities of MOFs are two of their most attractive characteristics and place them among the best porous materials for the storage of clean energy gases, such as hydrogen and methane. Reticular chemistry stands out as a prominent approach to the design of MOFs as this strategy allows for the rational top-down design of frameworks guided by topological nets to afford extended framework structures with precise architectural arrangements at the molecular level. Bridging the gap between reticular chemistry design strategies and highly porous MOFs can facilitate the development of next-generation high-performance materials through state-of-the-art chemical design. In this Account, we summarize our group’s efforts over the past few years toward the synthesis and applications of highly porous MOFs inspired </w:t>
      </w:r>
    </w:p>
    <w:p>
      <w:r>
        <w:t>POSSIBLE 2018: A Framework for Learning in the Chemistry Laboratory — https://doi.org/10.1002/ijch.201800093</w:t>
      </w:r>
    </w:p>
    <w:p>
      <w:r>
        <w:t>Shared claim-specific concepts: four, regarding, chemistry, practice, two, taken; EU scope not established. This is a provisional connection, not an outcome finding.</w:t>
      </w:r>
    </w:p>
    <w:p>
      <w:r>
        <w:t>Available abstract (not full text): Abstract Designing laboratory activities is a real challenge for those working in higher education. There is often an acknowledged frustration with the status quo, but a lack of clear guidance on what strategies might be useful in considering a redesign. This article aims to address the question: what considerations should be taken into account when designing a laboratory activity? To address it, we first describe an overarching framework for laboratory learning, describing it as a complex learning environment. The reason for this is that two clear overarching guidelines emerge – the first is that the laboratory curriculum should be structured so that each new challenge for student is adequately supported by their prior learning so that they can draw on their knowledge to address the new learning situation, and the second is that guidelines for the kinds of preparation for laboratory learning emerge. Based on this framework, we advocate four core principles for laboratory learning that should be considered when designing a laboratory activity regarding the overall purpose, the role of preparation, the teaching of technique, and the consideration of affective dimensions of learning. We illustrate this framework in practice with examples from our own practice, with suggestions on using the literature on laboratory education as a source for curriculum reform within an institution.</w:t>
      </w:r>
    </w:p>
    <w:p>
      <w:pPr>
        <w:pStyle w:val="Heading2"/>
      </w:pPr>
      <w:r>
        <w:t>THE EUROPEAN MIGRATION CRISIS – ECONOMIC AND POLITICAL FACTORS AND CHALLENGES FOR THE FUTURE</w:t>
      </w:r>
    </w:p>
    <w:p>
      <w:r>
        <w:t>Original source (2017): https://doi.org/10.5755/j01.eis.0.11.18958</w:t>
      </w:r>
    </w:p>
    <w:p>
      <w:r>
        <w:t>Original wording (abstract; indexed_source_text_not_full_document_verified): The need for tight cooperation and support for the countries affected must lead to the development of a long-term strategy for the future. In 2015 alone, over a million migrants arrived in the EU, creating an urgent need to develop adequate solutions and mechanisms that would help to manage this influx and prevent its negative effects.</w:t>
      </w:r>
    </w:p>
    <w:p>
      <w:r>
        <w:t>POSSIBLE 2024: China-Central and Eastern European Countries Cooperation: Challenges and Restart — https://doi.org/10.18485/iipe_dijalozi_kina.2024.4.2.ch20</w:t>
      </w:r>
    </w:p>
    <w:p>
      <w:r>
        <w:t>Shared claim-specific concepts: cooperation, countries, must, over; EU scope visible. This is a provisional connection, not an outcome finding.</w:t>
      </w:r>
    </w:p>
    <w:p>
      <w:r>
        <w:t>Available abstract (not full text): The cooperation mechanism between China and Central and Eastern European countries has achieved significant results over the past 12 years.However, it now faces challenges and adjustments due to changes in the international landscape and factors such as the Russia-Ukraine conflict.The United States' geopolitical influence, various crises within and outside Europe, and the diverse interests of CEEC countries have all had an impact on the cooperation mechanism.At the same time, there is immense potential and opportunity for cooperation in areas such as trade, cultural exchange, and green cooperation.Future cooperation must be revitalised to achieve a win-win outcome through high-level leadership, economic and trade collaboration, and local partnerships.</w:t>
      </w:r>
    </w:p>
    <w:p>
      <w:r>
        <w:t>POSSIBLE 2022: European IoT International Cooperation in Research and Innovation — https://doi.org/10.1201/9781003337966-10</w:t>
      </w:r>
    </w:p>
    <w:p>
      <w:r>
        <w:t>Shared claim-specific concepts: cooperation, countries, solutions; EU scope visible. This is a provisional connection, not an outcome finding.</w:t>
      </w:r>
    </w:p>
    <w:p>
      <w:r>
        <w:t>Available abstract (not full text): The IoT is now a global happening that is requiring cooperation at international level to address its key challenges. Europe has established as a priority the international cooperation on IoT research and innovation. The work revolves around aligning strategies and plans for IoT globalisation but also exploring differentiations, and specificities for local exploitation of IoT. Notice: EU is cooperating with African countries on cost-effective open IoT innovation; Europe is supporting Brazil to build-up its IoT ecosystem supported onEUbest practices; the EU-China IoT Advisory Group is active on pushing global IoT standards while developing competitive IoT solutions; the EU-Japan joint cooperation follows-on on the integration/federation of IoT with Big Data and Cloud; and the EU-Korea engagement is looking at major global IoT standardisation activities; EU-US cooperation is active especially via the respective global IoT initiative frameworks, the AIOTI and IIC. And cooperation is expected to start with India on the vision of a connected and smart IoT based system for their economy, society, environment and global needs. This chapter reports on EU international cooperation activities with partner countries and regions on the Internet of Things (IoT) .</w:t>
      </w:r>
    </w:p>
    <w:p>
      <w:r>
        <w:t>POSSIBLE 2022: China and the transatlantic relationship: obstacles to deeper European–US cooperation — https://doi.org/10.55317/9781784135287</w:t>
      </w:r>
    </w:p>
    <w:p>
      <w:r>
        <w:t>Shared claim-specific concepts: cooperation, countries, over; EU scope visible. This is a provisional connection, not an outcome finding.</w:t>
      </w:r>
    </w:p>
    <w:p>
      <w:r>
        <w:t>Available abstract (not full text): The rise of China is one of the greatest challenges for the transatlantic relationship. European countries and the US have similar concerns over China, but fundamental obstacles hinder a more joined-up approach. Although no longer aiming for decoupling as under the Trump administration, the US under President Joe Biden still sees itself in ‘strategic competition’ with China, while the European Commission has identified China as a ‘systemic rival’. However, differences remain between Europe and US on the scale of the challenge, and also within the EU over the desired level of economic and political engagement with China and over policy responses on the national, bilateral and global levels. This paper presents results from a two-year joint research project by Chatham House and the Royal United Services Institute on a Transatlantic Dialogue on China. The project examined the transatlantic relationship in the context of the China challenge by looking at four different policy areas – trade and investment, digital technology, climate change and the global commons.</w:t>
      </w:r>
    </w:p>
    <w:p>
      <w:r>
        <w:t>POSSIBLE 2021: The relationship between cultural tightness–looseness and COVID-19 cases and deaths: a global analysis — https://doi.org/10.1016/s2542-5196(20)30301-6</w:t>
      </w:r>
    </w:p>
    <w:p>
      <w:r>
        <w:t>Shared claim-specific concepts: tight, countries, million, help; EU scope not established. This is a provisional connection, not an outcome finding.</w:t>
      </w:r>
    </w:p>
    <w:p>
      <w:r>
        <w:t>Available abstract (not full text): BACKGROUND: The COVID-19 pandemic is a global health crisis, yet certain countries have had far more success in limiting COVID-19 cases and deaths. We suggest that collective threats require a tremendous amount of coordination, and that strict adherence to social norms is a key mechanism that enables groups to do so. Here we examine how the strength of social norms-or cultural tightness-looseness-was associated with countries' success in limiting cases and deaths by October, 2020. We expected that tight cultures, which have strict norms and punishments for deviance, would have fewer cases and deaths per million as compared with loose cultures, which have weaker norms and are more permissive. METHODS: We estimated the relationship between cultural tightness-looseness and COVID-19 case and mortality rates as of Oct 16, 2020, using ordinary least squares regression. We fit a series of stepwise models to capture whether cultural tightness-looseness explained variation in case and death rates controlling for under-reporting, demographics, geopolitical factors, other cultural dimensions, and climate. FINDINGS: The results indicated that, compared with nations with high levels of cultural tightness, nations with high levels of cultural looseness are estimated to have had 4·99 times the number of cases (7132 per million vs 1428 per million, respectively) and 8·71 times the number of de</w:t>
      </w:r>
    </w:p>
    <w:p>
      <w:r>
        <w:t>POSSIBLE 2020: Interdependence and cooperation in daily life. — https://doi.org/10.1037/pspi0000253</w:t>
      </w:r>
    </w:p>
    <w:p>
      <w:r>
        <w:t>Shared claim-specific concepts: cooperation, affected, over; EU scope not established. This is a provisional connection, not an outcome finding.</w:t>
      </w:r>
    </w:p>
    <w:p>
      <w:r>
        <w:t>Available abstract (not full text): Philosophers and scientists have long debated the nature of human social interactions and the prevalence of mutual dependence, conflict of interests, and power asymmetry in social situations. Yet, there is surprisingly little empirical work documenting the patterns of interdependence that people experience in daily life. We use experience sampling to study how people think about three dimensions of interdependence in daily life and how these dimensions relate to cooperation. In Study 1, 139 romantic couples (n = 278) reported on situations experienced with their partner (k = 6,766); in Study 2, individuals (n = 284) reported on situations experienced with any other person (k = 7,248), over the course of one week. Across both samples, we found that most social interactions were perceived as containing moderate mutual dependence, equal power, and corresponding interests. When couples reported on the same situation (Study 1), they largely agreed on their experienced interdependence and cooperation, suggesting that their reports reflect an underlying shared reality. In daily interactions across both samples, higher mutual dependence and lower conflict of interests were associated with more cooperation, whereas relative power was not directly related to cooperation. These associations replicated in laboratory experiments (Study 2). In daily life, high mutual dependence and high rela</w:t>
      </w:r>
    </w:p>
    <w:p>
      <w:r>
        <w:t>POSSIBLE 2019: Legal Problems and Decisions in the Cooperation between National Ombudsmen in South – East Europe — https://openalex.org/W7131993177</w:t>
      </w:r>
    </w:p>
    <w:p>
      <w:r>
        <w:t>Shared claim-specific concepts: need, tight, cooperation, countries, urgent; EU scope visible. This is a provisional connection, not an outcome finding.</w:t>
      </w:r>
    </w:p>
    <w:p>
      <w:r>
        <w:t>Available abstract (not full text): Abstract: The ombudsman institution is traditionally linked to the concept of human rights protection. In addition to this general notion, for the countries from South–Eastern Europe the ombudsman is a body related to the process of transition to rule of law and democratic values. In these countries the ombudsman has also the specific task of maintaining the social and ethnic peace and security. The ombudsman institutions in this region have also a beneficial effect on the process of accession to the EU and adherence to the principles of the Council of Europe as the human rights protection is in the heart of these organisations. The cooperation among ombudsmen in South–Eastern Europe is of crucial importance for the successful achievement of their tasks, especially in the context of challenging human rights issues with trans-border connotations. However the lack of a common model for the ombudsmen institutions, the difference in the mandate and functions and even the diverse title of these bodies, proves to be a serious hindrance to efficient collaboration and hence to the efficient protection of human rights at regional level. This is why the existence of international and European standards for the ombudsmen institutions from South-Eastern Europe is important in view of the need to bring them closer to each other but also closer to the successful model of a human rights prote</w:t>
      </w:r>
    </w:p>
    <w:p>
      <w:r>
        <w:t>POSSIBLE 2019: A comparative approach to affect and cooperation — https://doi.org/10.1016/j.neubiorev.2019.09.027</w:t>
      </w:r>
    </w:p>
    <w:p>
      <w:r>
        <w:t>Shared claim-specific concepts: cooperation, develop, help; EU scope not established. This is a provisional connection, not an outcome finding.</w:t>
      </w:r>
    </w:p>
    <w:p>
      <w:r>
        <w:t>Available abstract (not full text): A central premise of the science of comparative affect is that we can best learn about the causes and consequences of affect by comparing affective phenomena across a variety of species, including humans. We take as a given that affect is widely shared across animals, but a key challenge is to accurately represent each species' affective experience. A common approach in the comparative study of behavior and cognition is to develop standardized experimental paradigms that can be used across species, with the assumption that if the same task is being used, we can directly compare behavioral responses. This experimental approach rests on two underlying assumptions: first, that different species' perception of and affective response to these paradigms are the same; and second, that behavioral and physiological (including endocrine and neural) responses to these paradigms are homologous; if either of these assumptions is not true, then the comparison becomes much less straightforward. Our goal in the present paper is to summarize the dominant paradigms that have been used for such comparative research, with a particular focus on paradigms common in the cooperation literature, and to critically discuss dominant assumptions about what affective states these tasks can or should measure. We then consider the advantages and drawbacks of this experimental method, and consider alternatives</w:t>
      </w:r>
    </w:p>
    <w:p>
      <w:r>
        <w:t>POSSIBLE 2019: Botswana's Ownership over the Development Cooperation with the European Union: Technical and Vocational Education and Training and the Cooperation of Stakeholders — https://openalex.org/W2975717296</w:t>
      </w:r>
    </w:p>
    <w:p>
      <w:r>
        <w:t>Shared claim-specific concepts: cooperation, support, over, solutions; EU scope visible. This is a provisional connection, not an outcome finding.</w:t>
      </w:r>
    </w:p>
    <w:p>
      <w:r>
        <w:t>Available abstract (not full text): The development research has stressed the importance of technical and vocational education and training for systemic progress in a society. However, proscribed donor-centred solutions often fail to deliver the expected result. As such enabling the local stakeholders and supporting their ideas rather than enforcing the donors' own visions is seen as a promising way to engage in development policy. By conceptualising ownership and examining the cooperation between the EU and key ministries in Botswana this study finds that there are regular exchanges between the EU and stakeholder ministries, which go beyond the usual diplomatic channels. While financial budget support limits the decision making possibilities of the Ministry of Finance and Development Planning the subject orientated cooperation with the government ministries in Botswana relies more on local expertise and is less prone to European influence where such external expertise is not deemed necessary.</w:t>
      </w:r>
    </w:p>
    <w:p>
      <w:r>
        <w:t>POSSIBLE 2018: Nuances in the Interplay of Competition and Cooperation: Towards a Theory of Coopetition — https://doi.org/10.1177/0149206318788945</w:t>
      </w:r>
    </w:p>
    <w:p>
      <w:r>
        <w:t>Shared claim-specific concepts: cooperation, lead, mechanisms, help; EU scope not established. This is a provisional connection, not an outcome finding.</w:t>
      </w:r>
    </w:p>
    <w:p>
      <w:r>
        <w:t xml:space="preserve">Available abstract (not full text): Progress in coopetition research is impeded by two problems in the literature: (a) superficial conceptualization of simultaneity and outcomes and (b) lack of theorizing about core properties of coopetition and how they influence outcomes. This paper addresses these interrelated problems and charts a path towards a theory of coopetition. We systematically analyze competition and cooperation and illuminate how the interplay between specific aspects of competition and cooperation manifests through unique coopetition mechanisms. We explicate a range of possible outcomes from coopetition—joint value creation for all firms, value creation for individual firms, and value destruction—and suggest that coopetition mechanisms help explain how and why coopetition may lead to varying outcomes. Furthermore, we explain how effective navigation of simultaneity and value creation intent, two fundamental elements of coopetition, may be instrumental in deriving beneficial outcomes. Navigating simultaneity involves balancing competition and cooperation and maintaining both at moderately strong levels, and navigating value creation consists of managing the trade-off between joint value creation and firm value creation without compromising overall value creation. By explaining how coopetition manifests, what its unique underlying properties are, and how such properties influence outcomes, our paper </w:t>
      </w:r>
    </w:p>
    <w:p>
      <w:pPr>
        <w:pStyle w:val="Heading2"/>
      </w:pPr>
      <w:r>
        <w:t>THREE INVESTMENT SCENARIOS FOR  FUTURE NUCLEAR REACTORS IN EUROPE</w:t>
      </w:r>
    </w:p>
    <w:p>
      <w:r>
        <w:t>Original source (2017): https://doi.org/10.15173/esr.v23i1.3312</w:t>
      </w:r>
    </w:p>
    <w:p>
      <w:r>
        <w:t>Original wording (abstract; indexed_source_text_not_full_document_verified): While nuclear power may experience a technological breakthrough in Europe with Generation IV nuclear reactors within a few decades (2040), several events and drivers could question this possibility, e.g. the Fukushima accident, climate issues and liberalization of the electricity market.This article analyzes how the conditions necessary for their industrial development from now up to 2040 can be either favorable or detrimental to future nuclear reactors compared with other technologies and according to four main investment drivers: 1) technical change, 2) policy, 3) market, and 4) power company drivers.Twenty-four scenarios have been identified through structural analysis, with only three proving to be favorable to the development of future nuclear reactors.</w:t>
      </w:r>
    </w:p>
    <w:p>
      <w:r>
        <w:t>POSSIBLE 2025: Atomic rivers. The (Un)sustainability of nuclear power in an age of climate change — https://doi.org/10.1016/j.enpol.2025.114631</w:t>
      </w:r>
    </w:p>
    <w:p>
      <w:r>
        <w:t>Shared claim-specific concepts: nuclear, power, climate, electricity, conditions; EU scope visible. This is a provisional connection, not an outcome finding.</w:t>
      </w:r>
    </w:p>
    <w:p>
      <w:r>
        <w:t>Available abstract (not full text): The sustainability of nuclear energy amidst climate change and environmental regulations poses critical challenges, particularly in European contexts where major rivers like the Rhine, the Danube, and the Rhône are experiencing declining water levels and rising temperatures. We scrutinise the operational difficulties nuclear power plants encounter, arising from insufficient cooling water and environmental mandates that prevent the discharge of overly warm cooling water into rivers. These conditions have led to partial or full shutdowns of nuclear facilities across France, Germany, Switzerland, Belgium, Spain, Romania, and other countries, emphasising the tension between nuclear energy as a low-carbon solution and its environmental impacts. We explore the concept of sustainability in the context of riverine nuclear energy from three angles: technical challenges posed by water scarcity, regulatory constraints on cooling water temperatures, and the ecological impacts of thermal discharges on riverine ecosystems. Our analysis reveals an emerging contradiction between ensuring electricity supply and adhering to environmental protection, highlighting the need for a reevaluation of nuclear energy's role in a future sustainable energy landscape. • The sustainability of riverine nuclear power plants is questionable. • Extreme weather, like heatwaves combined with water scarcity, threate</w:t>
      </w:r>
    </w:p>
    <w:p>
      <w:r>
        <w:t>POSSIBLE 2024: Can the European nuclear power industry compete with the Chinese nuclear power industry? — https://doi.org/10.24294/jipd.v8i11.8715</w:t>
      </w:r>
    </w:p>
    <w:p>
      <w:r>
        <w:t>Shared claim-specific concepts: nuclear, power, generation; EU scope visible. This is a provisional connection, not an outcome finding.</w:t>
      </w:r>
    </w:p>
    <w:p>
      <w:r>
        <w:t>Available abstract (not full text): European commissioner for the Internal Market, Thierry Breton, told Le Journal du Dimanche in January 2022, “Existing nuclear plants alone will need 50 billion euros of investment from now until 2030. And new generation ones will need 500 billion”. This paper considers whether these values are realistic. Further, it asks whether these investments would yield an internationally competitive European nuclear power infrastructure given that the nuclear power industries in the Organization for Economic Cooperation and Development member countries have lost global nuclear market share to Russian and Chinese firms since 1995.The paper investigates whether the European nuclear industry even with massive investment can compete with the Chinese nuclear industries. It concludes that the European (in particular, the French) nuclear power industry will be unlikely to be cost competitive with the Chinese nuclear power industry unless financing and new plant orders are immediately forthcoming. To achieve carbon neutrality, the issue becomes whether European Union countries can afford indigenous nuclear technologies or will need to import nuclear power plants from Asia.</w:t>
      </w:r>
    </w:p>
    <w:p>
      <w:r>
        <w:t>POSSIBLE 2023: Democracy and Nuclear Power in the Czech Republic — https://doi.org/10.4324/9781003421368-17</w:t>
      </w:r>
    </w:p>
    <w:p>
      <w:r>
        <w:t>Shared claim-specific concepts: nuclear, power, experience; EU scope visible. This is a provisional connection, not an outcome finding.</w:t>
      </w:r>
    </w:p>
    <w:p>
      <w:r>
        <w:t>Available abstract (not full text): This chapter explores the construction of the one-thousand megawatt Temelin nuclear power plant in the Czech Republic. The Czech Republic is in the first group of candidates in central and eastern Europe to join both the European Union and the North Atlantic Treaty Organization. The Czech experience with nuclear power is a test case that will affect the viability and future marketability of nuclear power in central and eastern Europe. Nuclear power advocates saw the opportunity and accepted the challenge. The former Soviet Union, with compliance or agreement from the states of central and eastern Europe, had planned dozens of nuclear power plants for the region. The most widely used definition of sustainable development is “development that meets the needs of the present without compromising the ability of future generations to meet their own needs”. Under communism, environmentalists were labeled right wing because they were accused of trying to destroy socialist dreams by imposing costly demands on the government.</w:t>
      </w:r>
    </w:p>
    <w:p>
      <w:r>
        <w:t>POSSIBLE 2023: Historical diffusion of nuclear, wind and solar power in different national contexts: implications for climate mitigation pathways — https://doi.org/10.1088/1748-9326/acf47a</w:t>
      </w:r>
    </w:p>
    <w:p>
      <w:r>
        <w:t>Shared claim-specific concepts: nuclear, power, climate, electricity; EU scope visible. This is a provisional connection, not an outcome finding.</w:t>
      </w:r>
    </w:p>
    <w:p>
      <w:r>
        <w:t>Available abstract (not full text): Abstract Climate change mitigation requires rapid expansion of low-carbon electricity but there is a disagreement on whether available technologies such as renewables and nuclear power can be scaled up sufficiently fast. Here we analyze the diffusion of nuclear (from the 1960s), as well as wind and solar (from the 1980–90s) power. We show that all these technologies have been adopted in most large economies except major energy exporters, but solar and wind have diffused across countries faster and wider than nuclear. After the initial adoption, the maximum annual growth for nuclear power has been 2.6% of national electricity supply (IQR 1.3%–6%), for wind − 1.1% (0.6%–1.7%), and for solar − 0.8% (0.5%–1.3%). The fastest growth of nuclear power occurred in Western Europe in the 1980s, a response by industrialized democracies to the energy supply crises of the 1970s. The European Union (EU), currently experiencing a similar energy supply shock, is planning to expand wind and solar at similarly fast rates. This illustrates that national contexts can impact the speed of technology diffusion at least as much as technology characteristics like cost, granularity, and complexity. In the Intergovernmental Panel on Climate Change mitigation pathways, renewables grow much faster than nuclear due to their lower projected costs, though empirical evidence does not show that the cost is the s</w:t>
      </w:r>
    </w:p>
    <w:p>
      <w:r>
        <w:t>POSSIBLE 2023: The Economy of the Countries of the World is Experiencing the Need for Nuclear Power Plants — https://openalex.org/W7219353948</w:t>
      </w:r>
    </w:p>
    <w:p>
      <w:r>
        <w:t>Shared claim-specific concepts: nuclear, power, electricity, article; EU scope not established. This is a provisional connection, not an outcome finding.</w:t>
      </w:r>
    </w:p>
    <w:p>
      <w:r>
        <w:t>Available abstract (not full text): This scientific article examines the sources on the need for nuclear power plants in the economies of the countries of the world. The existing nuclear power plants in the countries of the world, their capacity, the disadvantages and advantages of nuclear power plants, the role of nuclear power plants in the production of electricity, differences in the prices of electricity generated by them, the possibilities of achieving economic and social goals of low-cost sustainable development in the production of electricity using nuclear power are analyzed.</w:t>
      </w:r>
    </w:p>
    <w:p>
      <w:r>
        <w:t>POSSIBLE 2022: European energy transition: Decomposing the performance of nuclear power — https://doi.org/10.1016/j.energy.2022.123244</w:t>
      </w:r>
    </w:p>
    <w:p>
      <w:r>
        <w:t>Shared claim-specific concepts: nuclear, power, generation, electricity; EU scope visible. This is a provisional connection, not an outcome finding.</w:t>
      </w:r>
    </w:p>
    <w:p>
      <w:r>
        <w:t>Available abstract (not full text): The quest for safe energy in the EU has increasingly led to a policy of zero nuclear power and a shift towards renewable sources. The phasing out of nuclear power is being carefully undertaken, so as not create negative externalities, even though not all countries are ready to make this move, and despite the valuable role nuclear energy can play in backing up intermittent renewables. This paper examines the transition towards carbon-free electrification through the interactions between the various electricity sources, using the Harmonised Index of Consumer Prices and carbon dioxide emissions in countries with nuclear power generation in the European Union and Switzerland. Monthly data, from January 2014 to December 2018 was analysed by means of an Autoregressive Distributed Lag model using the Driscoll and Kraay estimator with fixed effects. This approach allowed the electricity generation processes of the selected countries to be analysed, as well as the long- and short-run impacts. Our findings suggest that nuclear energy can be effective in accommodating renewable electricity into these systems, whereas using fossil generation to back up renewable sources leads to higher prices for consumers.</w:t>
      </w:r>
    </w:p>
    <w:p>
      <w:r>
        <w:t>POSSIBLE 2022: Nuclear Power as a Response to the Climate Crisis: Focusing on the Development and Cooperation of the Nuclear Industry in Russia and France — https://doi.org/10.19170/eebs.2022.46.2.163</w:t>
      </w:r>
    </w:p>
    <w:p>
      <w:r>
        <w:t>Shared claim-specific concepts: nuclear, power, experience, generation, climate, analyzes; EU scope visible. This is a provisional connection, not an outcome finding.</w:t>
      </w:r>
    </w:p>
    <w:p>
      <w:r>
        <w:t>Available abstract (not full text): Concerns about global climate change such as ‘global warming’ and ‘greenhouse effects’ have evolved into a desperate expression “climate crisis” in today. Accordingly, the UN adopted the ‘Paris Agreement’ in 2015, and calling for all countries to implement concrete action plans and practices to realize the goal of the ‘Net Zero’(Carbon Neutral 2050). This is the reason why the voices claiming the usefulness of nuclear power generation or the inevitability of nuclear power generation are increasing at home and abroad in recent years. The European Union classified nuclear power plants as a green taxonomy, and the United States is reconsidering its interest in nuclear power plants. Korea has been pursuing a policy to phase out nuclear power for the past five years, but the new government is foreshadowing a policy shift to actively utilize nuclear power. This study examines the nuclear industry, which is attracting attention again as a way to cope with the climate crisis and meet realistic energy demand, through the cases of Russia and France. As of 2022, Russia is evaluated as a country with the world's best capabilities and competitiveness in the nuclear sector. The EU's nuclear powerhouse France has developed a nuclear industry as a driving force for its energy security and economic development. Furthermore, the two countries are highly trusted and boast the highest competitiven</w:t>
      </w:r>
    </w:p>
    <w:p>
      <w:r>
        <w:t>POSSIBLE 2022: The Economics of Nuclear Power — https://doi.org/10.22439/csei.pb.015</w:t>
      </w:r>
    </w:p>
    <w:p>
      <w:r>
        <w:t>Shared claim-specific concepts: nuclear, power, technological, electricity; EU scope not established. This is a provisional connection, not an outcome finding.</w:t>
      </w:r>
    </w:p>
    <w:p>
      <w:r>
        <w:t>Available abstract (not full text): The levelized costs of electricity from renewables have decreased by up to 90% in the past decade. During the same period, the cost of nuclear power has increased by more than a third. This led to a domination of renewables in new investments worldwide. Even when factoring in integration costs of renewables and new nuclear technologies, building new nuclear power remains multiple times more expensive than new solar or wind projects. Given the financial, project, and technological risks, the role of nuclear in the energy transition should be questioned.</w:t>
      </w:r>
    </w:p>
    <w:p>
      <w:r>
        <w:t>POSSIBLE 2019: Operating Experience for Valves at the Nuclear Power Plants of Ukraine and the European Union — https://doi.org/10.32918/nrs.2019.3(83).04</w:t>
      </w:r>
    </w:p>
    <w:p>
      <w:r>
        <w:t>Shared claim-specific concepts: nuclear, power, experience, within, events; EU scope visible. This is a provisional connection, not an outcome finding.</w:t>
      </w:r>
    </w:p>
    <w:p>
      <w:r>
        <w:t>Available abstract (not full text): The paper presents information on the results of analyzing operational events at nuclear power plants (NPP) of Ukraine and the European Union that were caused or related to the failures of valves. The first part of the paper provides a brief overview of the European Clearinghouse on Operational Feedback for Nuclear Power Plants study on operational events with failure of the valves important to NPP safety. The abovementioned study considered events for the period from 1997 to 2016, which were taken from the IAEA database, databases of technical support organizations of France and Germany, as well as those provided by the Swiss and Spanish regulatory authorities. The main results of the study were presented in the paper, and the main causes of operational events caused by valve failures were observed. In addition, technical areas that required the development of recommendations were indicated. The paper includes a statistical assessment and a detailed analysis of the root causes of operational events at Ukrainian NPPs caused by or related to the failure of valves of all types, regardless of the effect on safety, for the period from 1998 to 2018. The approach for the analysis of operational events at Ukrainian NPPs is similar to that used in the above-mentioned study. Within the framework of the statistical analysis, the distribution of operational events at Ukrainian NPPs relate</w:t>
      </w:r>
    </w:p>
    <w:p>
      <w:r>
        <w:t>POSSIBLE 2019: The Technological and Economic Future of Nuclear Power — https://doi.org/10.1007/978-3-658-25987-7</w:t>
      </w:r>
    </w:p>
    <w:p>
      <w:r>
        <w:t>Shared claim-specific concepts: nuclear, power, technological, generation, issues, electricity; EU scope visible. This is a provisional connection, not an outcome finding.</w:t>
      </w:r>
    </w:p>
    <w:p>
      <w:r>
        <w:t>Available abstract (not full text): In this open access book, the economics of nuclear power for electricity generation is discussed, as well as technical, legal, and political acceptance issues. The economic performance is eroding since in recent years the costs have skyrocketed, especially in European countries and North America.</w:t>
      </w:r>
    </w:p>
    <w:p>
      <w:r>
        <w:t>POSSIBLE 2019: Nuclear Power in a Clean Energy System — https://doi.org/10.3917/re1.097.0122</w:t>
      </w:r>
    </w:p>
    <w:p>
      <w:r>
        <w:t>Shared claim-specific concepts: nuclear, power, generation, several, electricity; EU scope not established. This is a provisional connection, not an outcome finding.</w:t>
      </w:r>
    </w:p>
    <w:p>
      <w:r>
        <w:t>Available abstract (not full text): Nuclear power, along with hydropower, forms the backbone of low carbon electricity generation today; together they provide three-quarters of global low-carbon generation today. Over the past 50 years, nuclear power has reduced CO2 emissions by over 60 gigatonnes – nearly two years’ worth of global energyrelated emissions. Yet in the advanced economies, nuclear power has begun to fade, with plants closing and little new investment, just when the world requires more low-carbon electricity. This paper focuses on the role of nuclear power in the advanced economies today and the factors that put nuclear power there at risk of decline tomorrow. The paper shows that without action nuclear power in the advanced economies could fall by two-thirds to 2040. It examines the implications of such a decline for emissions and for electricity security.Achieving the pace of CO2 emission reductions in line with the Paris Agreement is already a huge challenge, requiring large increases in efficiency and renewables investments, as well as an increase in nuclear power. This paper identifies the even-greater challenges of attempting to follow this path with much less nuclear power, including an additional USD 1.6 trillion in investment needs and 5% higher cost to consumers in advanced economies. This paper recommends several actions to governments open to nuclear power that aim to ensure existing pla</w:t>
      </w:r>
    </w:p>
    <w:p>
      <w:r>
        <w:t>POSSIBLE 2018: The diplomacy of resistance: power, hegemony and nuclear disarmament — https://doi.org/10.1080/14781158.2018.1467393</w:t>
      </w:r>
    </w:p>
    <w:p>
      <w:r>
        <w:t>Shared claim-specific concepts: nuclear, power, within, article; EU scope not established. This is a provisional connection, not an outcome finding.</w:t>
      </w:r>
    </w:p>
    <w:p>
      <w:r>
        <w:t>Available abstract (not full text): The humanitarian initiative for nuclear disarmament has challenged and transformed global nuclear politics. Aimed at delegitimising nuclear weapons as acceptable instruments of statecraft, the initiative has been backed by many civil society organisations and most non-nuclear-weapon states. The nuclear-weapon states, however, have opposed the initiative, accusing it of undermining the Nuclear Non-Proliferation Treaty and destabilising nuclear politics. Conceptualising a ‘diplomacy of resistance’, this article positions the humanitarian initiative as a transnational social movement and traces its development through practices of resistance and counter-resistance. Drawing on Robert Cox’s conception of resistance as counter-hegemonic and Michael Barnett and Raymond Duvall’s taxonomy of power, the article explores the nexus of power and resistance in global nuclear politics. We explain the humanitarian movement’s specific aims and practices as a function of its champion’s relative political weakness vis-à-vis the nuclear-weapon states. The movement’s coherence and effectiveness, in turn, was fostered by a coalitional logic that allowed different identities of resistance to be steered towards a nuclear ban treaty within the UN’s institutional framework.</w:t>
      </w:r>
    </w:p>
    <w:p>
      <w:pPr>
        <w:pStyle w:val="Heading2"/>
      </w:pPr>
      <w:r>
        <w:t>The European Union and Africa towards 2030: perspectives from transnational civil society organisations</w:t>
      </w:r>
    </w:p>
    <w:p>
      <w:r>
        <w:t>Original source (2017): https://doi.org/10.4000/151gv</w:t>
      </w:r>
    </w:p>
    <w:p>
      <w:r>
        <w:t>Original wording (abstract; indexed_source_text_not_full_document_verified): SDG17 sets the legal (morally binding) framework under which supranational actors, among others, are warmly invited to contribute to reach Sustainable Development by 2030. The rhetoric of aid as redeeming for the poor and redemptive for the rich, in line with an updated ‘white man’s burden’, might be transubstantiated in the narrative of a new EU-AU ‘equal partnership’.</w:t>
      </w:r>
    </w:p>
    <w:p>
      <w:r>
        <w:t>POSSIBLE 2026: In Search of a Global Approach to Air Pollution: Some Legal Reflections on the Role of the SDGs — https://doi.org/10.1177/18785395261435146</w:t>
      </w:r>
    </w:p>
    <w:p>
      <w:r>
        <w:t>Shared claim-specific concepts: legal, framework, actors, contribute, sustainable, poor; EU scope not established. This is a provisional connection, not an outcome finding.</w:t>
      </w:r>
    </w:p>
    <w:p>
      <w:r>
        <w:t xml:space="preserve">Available abstract (not full text): Air pollution is a major environmental problem, yet existing international legal responses fall short of adequately addressing the problem on a global scale. This article investigates if and how the Sustainable Development Goals (SDGs) fill the current legal and regulatory gap, and whether they can contribute to problem-solving. The SDGs do not have a separate goal that covers addressing poor air quality in its scope; however, they include several targets and indicators specific to the problem. The SDG framework is still far from offering a comprehensive approach to air pollution. Nonetheless, even in this limited capacity, the SDGs contribute meaningfully to legal responses to air pollution. First, the SDGs frame air pollution as a global development concern, given its impacts on health, the environment and economy worldwide. Second, the SDG framework proposes relatively precise targets and indicators on air quality that are globally applicable, which is significant given the absence of a global legal agreement on preventing air pollution. Third, the SDGs exhibit strong transnational legal characteristics and broadly define their norm addressees, thereby opening opportunities for a range of actors - nation-states, international organizations, and various stakeholders - to foster multi-stakeholder, multi-level cooperation to implement the Goals. Thus, the SDGs lay an important </w:t>
      </w:r>
    </w:p>
    <w:p>
      <w:r>
        <w:t>POSSIBLE 2025: Do European Social Funds Matter in Achieving the Sustainable Development Goals? — https://doi.org/10.3390/su17020381</w:t>
      </w:r>
    </w:p>
    <w:p>
      <w:r>
        <w:t>Shared claim-specific concepts: sdg17, sustainable; EU scope visible. This is a provisional connection, not an outcome finding.</w:t>
      </w:r>
    </w:p>
    <w:p>
      <w:r>
        <w:t>Available abstract (not full text): The aim and novelty of this study lie in analyzing the role of the European Social Fund (ESF) in supporting the implementation of the Sustainable Development Goals (SDGs) within European Union (EU) countries over the 2015–2023 period. EU Member States were grouped into two clusters: Cluster A (15 lower-income states) and Cluster B (12 higher-income states). The study used ESF payments as the explanatory variable and 17 SDG indicators as dependent variables. The methodology combined exploratory factor analysis (EFA) and robust regression to analyze the relationship between the ESF and the SDGs. The ESF has a significant impact on reducing poverty (SDG1), fostering economic growth (SDG8), and enhancing industry and innovation (SDG9), particularly in less-developed regions where its interventions address structural challenges through vocational training, job creation, and infrastructure development. However, its contributions to sustainability goals (SDGs 7, 12, and 13) are limited or even negative in some cases, as economic priorities often overshadow environmental objectives, especially in more-developed regions where climate and energy transitions rely on other funding sources. The ESF excels in fostering partnerships (SDG17) in less-developed regions by mobilizing resources and promoting collaboration, but its role is less impactful in developed regions where institutional fra</w:t>
      </w:r>
    </w:p>
    <w:p>
      <w:r>
        <w:t>POSSIBLE 2025: Sustainable Development Goal‐Related Innovations and Financial Performance: Evidence From European Grocery Retailers — https://doi.org/10.1002/csr.70013</w:t>
      </w:r>
    </w:p>
    <w:p>
      <w:r>
        <w:t>Shared claim-specific concepts: sustainable, line; EU scope visible. This is a provisional connection, not an outcome finding.</w:t>
      </w:r>
    </w:p>
    <w:p>
      <w:r>
        <w:t>Available abstract (not full text): ABSTRACT The grocery retail industry is of great economic importance, with millions of people employed in the sector and billions of customers served. Consequently, the sustainability initiatives undertaken by retailers have a substantial impact. This paper explores the impact of innovations related to the Sustainable Development Goals (SDGs) on retailers' financial performance. The findings of this study indicate that the 18 largest European grocery retailers introduced 2701 innovations between 2007 and 2021, of which 783 were SDG‐related. Furthermore, these SDG‐related innovations impacted financial performance positively. Innovations related to SDG2 (zero hunger), SDG9 (industry, innovation and infrastructure), and SDG12 (responsible consumption and production) had a significant and positive effect on the financial performance of grocery retailers, thereby inspiring a new wave of sustainability‐related practices in the industry. The present study contributes to the extant literature by demonstrating that profitable SDG‐related innovations have been identified in all three areas of the triple bottom line approach.</w:t>
      </w:r>
    </w:p>
    <w:p>
      <w:r>
        <w:t>POSSIBLE 2025: Globalization, glocalization, and Internationalization at Home from a Chinese perspective: case studies of China–Europe higher education cooperation — https://doi.org/10.1177/17454999251325120</w:t>
      </w:r>
    </w:p>
    <w:p>
      <w:r>
        <w:t>Shared claim-specific concepts: framework, sustainable; EU scope visible. This is a provisional connection, not an outcome finding.</w:t>
      </w:r>
    </w:p>
    <w:p>
      <w:r>
        <w:t>Available abstract (not full text): In a dynamic global environment, higher education cooperation is a driving force behind the advancement of scientific knowledge that offers potential solutions to world problems and global challenges. China and Europe have a long history of higher education exchange. In the literature, most papers on China–Europe higher education cooperation have focused on the development prior to the latest dramatic period of change. To fill this significant gap in knowledge and evidence, we develop a unified conceptual framework that links the modes of contemporary higher education cooperation in the context of China (globalization, glocalization, and Internationalization at Home), with the models of internationalized higher education institutions in the literature (classical, satellite, and co-founded). We then apply our analytical framework and examine three case studies: China Europe International Business School (CEIBS), Hainan Bielefeld University of Applied Sciences (BiUH), and Zhejiang University – University of Edinburgh Institute (ZJE). Overall, our paper sheds light on how each China–Europe higher education cooperation model can tackle the global challenges faced by global society as in the UN Sustainable Development Goals (SDGs).</w:t>
      </w:r>
    </w:p>
    <w:p>
      <w:r>
        <w:t>POSSIBLE 2023: Integrating the 17 SDGs into the European Green Deal, through Strategic and Financial Approaches — https://doi.org/10.21203/rs.3.rs-2697240/v1</w:t>
      </w:r>
    </w:p>
    <w:p>
      <w:r>
        <w:t>Shared claim-specific concepts: sdg17, sustainable; EU scope visible. This is a provisional connection, not an outcome finding.</w:t>
      </w:r>
    </w:p>
    <w:p>
      <w:r>
        <w:t>Available abstract (not full text): Abstract The European Green Deal (EGD) is the growth strategy for Europe, covering multiple domains, and aiming to an equitable, carbon neutral European Union by 2050. The UN Agenda 2030, with its 17 Sustainable Development Goals (SDGs) set the bases for a global sustainability transition. However, the integration of the SDGs into the EGD is an overlooked issue in the literature, although it is particularly important, given Europe’s slow progress to achieve the sustainability targets. In this paper, 22 central policies and strategies published during 2020–21 to support the EGD's implementation are assessed on how they align with Agenda’s 2030 aspirations, using novel text-mining methodologies: one human-based and one machine-learning-based. The results outline an alignment of EGD policies to the main SDGs themes relevant to Food, Land, Oceans, Energy, but also a strong indication that the progress towards sustainability passes through "Peace, Justice, and Strong Institutions" (SDG16) and international "Partnerships for the Goals" (SDG17). We further explain the underlying policy mechanisms of the established ‘necessary transformations’ to build a sustainable Europe, along with the relevance of valuing the natural capital and integrating it into future investment and financial decisions.</w:t>
      </w:r>
    </w:p>
    <w:p>
      <w:r>
        <w:t>POSSIBLE 2022: Measuring Progress towards Sustainability in the European Union within the 2030 Agenda Framework — https://doi.org/10.3390/math10122095</w:t>
      </w:r>
    </w:p>
    <w:p>
      <w:r>
        <w:t>Shared claim-specific concepts: framework, sustainable; EU scope visible. This is a provisional connection, not an outcome finding.</w:t>
      </w:r>
    </w:p>
    <w:p>
      <w:r>
        <w:t>Available abstract (not full text): The adoption of the 2030 Agenda and its 17 Sustainable Development Goals (SDGs) revived the challenge to efficiently address economic prosperity, environmental quality and social welfare goals. To fulfill such purposes, policymakers need to measure and monitor the global progress made by countries towards the achievement of the SDGs. Composite indicators have frequently been used for sustainability performance assessment in a range of areas related to Sustainable Development and recently some attempts have been made to analyze trends within the 2030 Agenda framework. The objective of this study is to propose a novel composite indicator approach to assess sustainability performance and evaluate whether progress is being made towards the SDGs. Some distinguishing features of the proposed approach involve the computation of weights for the indicators and the use of geometric average at the overall aggregation stage. The approach is applied to the evaluation of the SDGs in EU27 during the period 2010–2020 using the Eurostat SDG dataset. The results obtained suggest that all 27 Member States have progressed favorably, albeit not to the same extent, and differences between countries seem to be decreasing over the years.</w:t>
      </w:r>
    </w:p>
    <w:p>
      <w:r>
        <w:t>POSSIBLE 2021: Map and Track the Performance in Education for Sustainable Development across the European Union — https://doi.org/10.3390/su132313185</w:t>
      </w:r>
    </w:p>
    <w:p>
      <w:r>
        <w:t>Shared claim-specific concepts: framework, among, sustainable; EU scope visible. This is a provisional connection, not an outcome finding.</w:t>
      </w:r>
    </w:p>
    <w:p>
      <w:r>
        <w:t>Available abstract (not full text): The 17 sustainable development goals (SDG) established by 2030 Agenda cannot be achieved unless the learners are educated about sustainable development. Education for sustainable development (ESD) is a key component in preparing individuals to cope with sustainable challenges and paves the way towards a more sustainable aware society and life satisfaction. However, ESD is very complex as it depends on numerous factors and needs significant development all over the word. The paper aims to design an original and easy-to-apply framework which maps and tracks the actual performance in quality education across the European Union member states (EU27), focusing on SDG4—quality education from Agenda 30. The framework integrates three interventions—formal, non-formal, and essential education—and delivers a useful tool, a composite index, which maps and tracks the performance of the EU27 in the transition to ESD in a practical manner. The research categorizes four clusters of countries and tracks the Nordic countries of the EU27 among the high performers tier, allowing the identification of the best practices which can be spurred at European level. The findings of this paper may be used by educators, researchers, national and European authorities, and other stakeholders to monitor and accelerate progress in ESD, especially for low performers.</w:t>
      </w:r>
    </w:p>
    <w:p>
      <w:r>
        <w:t>POSSIBLE 2020: Proceedings of the European Union’s Contention in the Reshaping Global Economy — https://doi.org/10.14232/eucrge.2020.proc</w:t>
      </w:r>
    </w:p>
    <w:p>
      <w:r>
        <w:t>Shared claim-specific concepts: invited, rich; EU scope visible. This is a provisional connection, not an outcome finding.</w:t>
      </w:r>
    </w:p>
    <w:p>
      <w:r>
        <w:t>Available abstract (not full text): The fifth international PhD workshop at the conference entitled The European Union's Contention in the Reshaping Global Economy was planned in March 2020.Due to the pandemic situation, the organizer Faculty of Economics and Business Administration, University of Szeged had to cancel the conference just one week before the event.Unfortunately, the young researchers could not share their ideas in person, but the organizers decided to invite the registered participants to publish their research papers in the proceedings.This proceedings contains these selected and peerreviewed papers with authors coming from various doctoral schools and higher education institutions.This time we invited again papers, addressing a better understanding of the impacts of technological change, industry 4.0, the US-China trade war and changing trade relations on the economy and development inside and outside the EU.The broadly defined subject offered the possibility to the participants to concentrate on the topic, most relevant from the point of view of their theses.This is why the topics and approaches of the volume are rich and varied.The first chapter of the book include four papers and it deals with business and marketing analyzing online shopping, eating behavior, driverless cars and leadership characteristics.The next chapter analyses financial issues: monetary policy in emerging markets, banking</w:t>
      </w:r>
    </w:p>
    <w:p>
      <w:r>
        <w:t>POSSIBLE 2019: Strengthening International Water Security: The European Union’s proposal — https://doi.org/10.1002/wwp2.12014</w:t>
      </w:r>
    </w:p>
    <w:p>
      <w:r>
        <w:t>Shared claim-specific concepts: framework, sustainable; EU scope visible. This is a provisional connection, not an outcome finding.</w:t>
      </w:r>
    </w:p>
    <w:p>
      <w:r>
        <w:t>Available abstract (not full text): Abstract The UN World Health Organization reports that 80% of diseases are waterborne. Bacterial, viral, and parasitic diseases like typhoid, cholera, amebiasis, poliomyelitis, hepatitis A, skin infection, and gastrointestinal are spread through polluted water. In 2013, the UN Water defined water security as “The capacity of a population to safeguard sustainable access to adequate quantities of acceptable quality water for sustaining livelihoods, human well‐being, and socio‐economic development, for ensuring protection against water‐borne pollution and water‐related disasters, and for preserving ecosystems in a climate of peace and political stability”. The notion is quite new, but it does not mean that international law does not include rules and principles relevant to water security. Compared to some other regions in the world, most people living in Europe already enjoy very good access to high‐quality drinking water, in part thanks to over 30 years of European Union legislation for ensuring drinking water quality. On February 2018, pressed by the successful result of the first European Citizens' Initiative “Right2Water,” the European Commission proposed to revise the European Union legislation for improving access to higher quality of drinking water and provide better information to citizens. Considering the latest scientific knowledge and recommendations of the World Health</w:t>
      </w:r>
    </w:p>
    <w:p>
      <w:pPr>
        <w:pStyle w:val="Heading2"/>
      </w:pPr>
      <w:r>
        <w:t>The European forest sector: past and future carbon budget and fluxes under different management scenarios</w:t>
      </w:r>
    </w:p>
    <w:p>
      <w:r>
        <w:t>Original source (2017): https://doi.org/10.5194/bg-14-2387-2017</w:t>
      </w:r>
    </w:p>
    <w:p>
      <w:r>
        <w:t>Original wording (abstract; indexed_source_text_not_full_document_verified): Under the constant harvest rate scenario, our findings show an incipient aging process of the forests existing in 1990: although NPP increases (+7 %), heterotrophic respiration increases at a greater rate (+13 %) and this leads to a decrease in the sink in the forest pools (−6 %) in 2030 compared to the historical period. The detailed picture of the C fluxes condensed in this study, and their evolution under different harvest scenarios, may represent both a benchmark for similar studies and a basis for broader analyses (e.g., including substitution effects of wood) on the mitigation potential of the EU forest sector.</w:t>
      </w:r>
    </w:p>
    <w:p>
      <w:r>
        <w:t>POSSIBLE 2023: The carbon costs of global wood harvests — https://doi.org/10.1038/s41586-023-06187-1</w:t>
      </w:r>
    </w:p>
    <w:p>
      <w:r>
        <w:t>Shared claim-specific concepts: harvest, forests, although, forest; EU scope not established. This is a provisional connection, not an outcome finding.</w:t>
      </w:r>
    </w:p>
    <w:p>
      <w:r>
        <w:t>Available abstract (not full text): Abstract After agriculture, wood harvest is the human activity that has most reduced the storage of carbon in vegetation and soils 1,2 . Although felled wood releases carbon to the atmosphere in various steps, the fact that growing trees absorb carbon has led to different carbon-accounting approaches for wood use, producing widely varying estimates of carbon costs. Many approaches give the impression of low, zero or even negative greenhouse gas emissions from wood harvests because, in different ways, they offset carbon losses from new harvests with carbon sequestration from growth of broad forest areas 3,4 . Attributing this sequestration to new harvests is inappropriate because this other forest growth would occur regardless of new harvests and typically results from agricultural abandonment, recovery from previous harvests and climate change itself. Nevertheless some papers count gross emissions annually, which assigns no value to the capacity of newly harvested forests to regrow and approach the carbon stocks of unharvested forests. Here we present results of a new model that uses time discounting to estimate the present and future carbon costs of global wood harvests under different scenarios. We find that forest harvests between 2010 and 2050 will probably have annualized carbon costs of 3.5–4.2 Gt CO 2 e yr −1 , which approach common estimates of annual emissions from lan</w:t>
      </w:r>
    </w:p>
    <w:p>
      <w:r>
        <w:t>POSSIBLE 2020: Does harvest of the European grayling, Thymallus thymallus (Actinopterygii: Salmoniformes: Salmonidae), change over time with different intensity of fish stocking and fishing effort? — https://doi.org/10.3750/aiep/02643</w:t>
      </w:r>
    </w:p>
    <w:p>
      <w:r>
        <w:t>Shared claim-specific concepts: constant, harvest, period; EU scope visible. This is a provisional connection, not an outcome finding.</w:t>
      </w:r>
    </w:p>
    <w:p>
      <w:r>
        <w:t>Available abstract (not full text): Background. The European grayling, Thymallus thymallus (Linnaeus, 1758), is a fish species of high value in recreational fishing. The monitoring of changes in grayling populations is a high priority in fisheries. Data on the harvest of recreational anglers can potentially serve as an easy and inexpensive way to monitor changes in fish populations. This study aimed to assess spatio-temporal trends in catches of grayling in a larger geographical area. Materials and methods. This study analysed harvest rates of grayling by recreational anglers on 241 fishing grounds, in the Czech Republic, within 1986–2015 (30 years). Data from individual angling logbooks were used. The data were collected by individual anglers and processed by the Czech Fishing Union (Český rybářský svaz). Results. Over the period of 30 years, Czech anglers harvested a total of 9 928 grayling specimens weighing altogether 3 357 kg. Within the period surveyed, both parameters (the grayling biomass harvested and the representation of grayling in overall fish harvest) decreased to 10% of the initial values. The percentage of fishing grounds with a harvest of grayling decreased to 30% of the initial values. Harvest per effort decreased to 20% of the initial values over 11 years. There was only a weak correlation between fish stocking and fish harvest. There was a negative relation between the number of angler fishing</w:t>
      </w:r>
    </w:p>
    <w:p>
      <w:r>
        <w:t>POSSIBLE 2020: Harvesting reflective knowledge exchange for inbound open innovation in complex collaborative networks: an empirical verification in Europe — https://doi.org/10.1108/jkm-04-2020-0300</w:t>
      </w:r>
    </w:p>
    <w:p>
      <w:r>
        <w:t>Shared claim-specific concepts: findings, process, period; EU scope visible. This is a provisional connection, not an outcome finding.</w:t>
      </w:r>
    </w:p>
    <w:p>
      <w:r>
        <w:t xml:space="preserve">Available abstract (not full text): Purpose This study aims to investigate the effects of open innovation (OI) and big data analytics (BDA) on reflective knowledge exchange (RKE) within the context of complex collaborative networks. Specifically, it considers the relationships between sourcing knowledge from an external environment, transferring knowledge to an external environment and adopting solutions that are useful to appropriate returns from innovation. Design/methodology/approach This study analyzes the connection between the number of patent applications and the amount of OI, as well as the association between the number of patent applications and the use of BDA. Data from firms in the 27 European Union countries were retrieved from the Eurostat database for the period 2014–2019 and were investigated using an ordinary least squares regression analysis. Findings Because of its twofold lens based on both knowledge management and OI, this study sheds light on OI collaboration modes and highlights the crucial role they could play in innovation. In particular, the results suggest that OI collaboration modes have a strong effect on innovation performance, stimulating the search for RKE. Originality/value This study furthers a deeper understanding of RKE, which is shown to be an important mechanism that incentivizes firms to increase their efforts in the innovation process. Further, RKE supports firms in taking </w:t>
      </w:r>
    </w:p>
    <w:p>
      <w:r>
        <w:t>POSSIBLE 2020: Analyses of Work Efficiency of a Strawberry-Harvesting Robot in an Automated Greenhouse — https://doi.org/10.3390/agronomy10111751</w:t>
      </w:r>
    </w:p>
    <w:p>
      <w:r>
        <w:t>Shared claim-specific concepts: rate, show, process, compared; EU scope not established. This is a provisional connection, not an outcome finding.</w:t>
      </w:r>
    </w:p>
    <w:p>
      <w:r>
        <w:t>Available abstract (not full text): Protected cultivation systems such as greenhouses are becoming increasingly popular globally and have been adopted because of unpredictable climatic conditions and their ability to easily control micro- and macroenvironments. However, limitations such as hazardous work environments and shortages in labor are major concerns for agricultural production using these structures. This has led to the development and adoption of robotic systems. For the efficient use of robots in protected cultivation systems, we formulate the work efficiency problem and model a three-dimensional standard strawberry greenhouse to analyze the effectiveness of a strawberry-harvesting robot compared to different levels of human workforce (experienced, average, and beginner). Simulations are conducted using Quest software to compare the efficiency of different scenarios of robotics to humans. Different methods of improvement from battery capacity and charge rate to harvesting speed are investigated and optimal conditions are recommended. The average hourly production of the robot is about five times lower than that of skilled workers. However, robots are more productive due to their ability to work around the clock. Comparative analyses show that a reduction in harvesting time per strawberry from 3 to 1 s would result in an increase in daily production from 347.93 to 1021.30 kg. This would lead to a five-f</w:t>
      </w:r>
    </w:p>
    <w:p>
      <w:r>
        <w:t>POSSIBLE 2019: Estimating Sustainable Harvest Rates for European Hare (Lepus Europaeus) Populations — https://doi.org/10.3390/su11102837</w:t>
      </w:r>
    </w:p>
    <w:p>
      <w:r>
        <w:t>Shared claim-specific concepts: harvest, rate, compared; EU scope visible. This is a provisional connection, not an outcome finding.</w:t>
      </w:r>
    </w:p>
    <w:p>
      <w:r>
        <w:t>Available abstract (not full text): Hunting quotas are used to manage populations of game species in order to ensure sustainable exploitation. However, unpredictable climatic events may interact with hunting. We established a population model for European hares (Lepus europaeus) in Lower Austria. We compared the sustainability of voluntary quotas used by hunters—which are derived from hare-specific guidelines—with the actual numbers of hares shot and our recommended quotas for hares, which have been derived from climate and population modeling. We used population modeling based on vital rates and densities to adjust our recommended quotas in order to achieve sustainable harvest. The survival of age classes 1 and 3 had the highest impact on the population growth rate. Population viability analysis showed that a recommended quota with a harvest rate of 10% was sustainable for population densities of 45 hares/km2, and that the threshold for hunting should be raised from 10 hares/km2 so that hare populations with &lt;15 hares/km2 are not hunted. The recommended quota outperformed the voluntary hunting quota, since more hares could be harvested sustainably. Age Class 1 survival was strongly linked with weather: a single year with unfavorable weather conditions (low precipitation) negatively affected population densities. Game species, including the European hare, face increasingly frequent weather extremes due to climate</w:t>
      </w:r>
    </w:p>
    <w:p>
      <w:r>
        <w:t>POSSIBLE 2019: Harvest assessment for Taiga bean geese in the Central Management Unit: 2019 — https://openalex.org/W2963762313</w:t>
      </w:r>
    </w:p>
    <w:p>
      <w:r>
        <w:t>Shared claim-specific concepts: constant, harvest, rate, compared; EU scope visible. This is a provisional connection, not an outcome finding.</w:t>
      </w:r>
    </w:p>
    <w:p>
      <w:r>
        <w:t>Available abstract (not full text): In 2016 the European Goose Management International Working Group (EGM IWG) began development of an Adaptive Harvest Management (AHM) program for Taiga Bean Geese.In 2017, the IWG adopted an Interim Harvest Strategy consisting of a constant harvest rate (on adults) of 3% for the Central Management Unit (MU) of Taiga Bean Geese.The interim strategy is intended to provide limited hunting opportunity while rebuilding the population.Based on a January count of 41,927, the harvest quota for the 2019 hunting season is 1,740 Taiga Bean Geese (compared to 2,335 and 1,610 for the 2017 and 2018 seasons, respectively).We emphasize that these quotas include both, harvest during the regular season and derogation shooting.Going forward, we describe how an Integrated Population Model (IPM) will use counts at multiple times during the year, along with other demographic information, to estimate population size (and its precision).The IPM can be used to develop an adaptive harvest strategy if unambiguous management objectives can be agreed upon.We provide some initial guidance for formulating those objectives.1 This draft report is distributed solely for purposes of courtesy review and comments received will be addressed and treated as appropriate to ensure there is no conflict of interest.Its content is deliberative and pre-decisional, so it must not be disclosed or released by reviewers.Becaus</w:t>
      </w:r>
    </w:p>
    <w:p>
      <w:r>
        <w:t>POSSIBLE 2018: Harvesting the Commons — https://doi.org/10.1007/s10640-018-0221-4</w:t>
      </w:r>
    </w:p>
    <w:p>
      <w:r>
        <w:t>Shared claim-specific concepts: harvest, rate, findings, compared, historical; EU scope not established. This is a provisional connection, not an outcome finding.</w:t>
      </w:r>
    </w:p>
    <w:p>
      <w:r>
        <w:t>Available abstract (not full text): We study a socio-ecological model in which a continuum of consumers harvest a common property renewable natural resource. Markov perfect Nash equilibria of the corresponding non-cooperative game are derived and are compared with collectively optimal harvesting policies. The underlying mechanisms that drive open-access commons in our model are shaped by population size, harvesting costs, and the ecosystem’s productivity. If other things equal population is small relative to harvesting costs, unmanaged commons do not face destruction. More strikingly, they are harvested at the collectively optimal rate. Property rights do not matter in that parametric regime because the resource has no social scarcity value. However, if other things equal population is large relative to harvesting costs, open-access renewable natural resources suffer from the tragedy of the commons. Property rights matter there because the resource has a social scarcity price. The population size relative to harvesting costs at which the socio-ecological system bifurcates is an increasing function of the ecosystem’s productivity. A sudden crash in productivity, population overshoot, or decline in harvesting costs can tip an unmanaged common into ruin. The model provides a way to interpret historical and archaeological findings on the collapse of those societies that have been studied by scholars.</w:t>
      </w:r>
    </w:p>
    <w:p>
      <w:pPr>
        <w:pStyle w:val="Heading2"/>
      </w:pPr>
      <w:r>
        <w:t>The European pulp and paper industry in transition to a bio-economy: A Delphi study</w:t>
      </w:r>
    </w:p>
    <w:p>
      <w:r>
        <w:t>Original source (2017): https://doi.org/10.1016/j.futures.2017.02.002</w:t>
      </w:r>
    </w:p>
    <w:p>
      <w:r>
        <w:t>Original wording (abstract; indexed_source_text_not_full_document_verified): This study adopts a three-round dissensus-based Delphi approach in order to explore our key research question of how the pulp and paper industry may change strategically, and what is the potential for value creation in the year 2030. According to our expert panel, the main drivers of competitiveness in 2030 will include energy and material efficiency, sustainability, as well as new innovations in products to serve customer needs better.</w:t>
      </w:r>
    </w:p>
    <w:p>
      <w:r>
        <w:t>POSSIBLE 2024: Radical devices: Rethinking Art and Architecture as Forms of Dissensus in Urban Environments — https://doi.org/10.14198/uou.2024.8.12</w:t>
      </w:r>
    </w:p>
    <w:p>
      <w:r>
        <w:t>Shared claim-specific concepts: explore, potential, creation; EU scope not established. This is a provisional connection, not an outcome finding.</w:t>
      </w:r>
    </w:p>
    <w:p>
      <w:r>
        <w:t>Available abstract (not full text): The aim of this paper is to investigate the possibilities opened up by radical interventions in public space: is it possible to foster reflection and create a critical methodology for analysing the topic of Commons in the urban context? Presenting the project “Stente: Residual Zones” as an example, the aim is to explore these questions using Umeå School of Architecture as a case study. Through the creation of an art/architectural object, the project seeks to use artistic and architectural practices as tools to engage city residents in an active dialogue about Common spaces. Starting with a theoretical framework for situating the critical potential of art and architectural objects in public spaces, in this paper the project is seen as an example of a temporary critical moving device, gathering and amplifying the voices of the inhabitants through the city: it aims to represent an open-ended invitation to reinterpret the boundaries between nature and the city, posing itself as a radical (from the latin radicalis) form of dissensus (Rancière 2010) The experiment was conducted at the Umeå School of Architecture between March and May 2024 within the research group “Designing the Contemporary City” at Umeå University.</w:t>
      </w:r>
    </w:p>
    <w:p>
      <w:r>
        <w:t>POSSIBLE 2023: The expected speed and impacts of vehicle automation in passenger and freight transport: A Dissensus Delphi study among UK professionals — https://doi.org/10.1016/j.rtbm.2023.100973</w:t>
      </w:r>
    </w:p>
    <w:p>
      <w:r>
        <w:t>Shared claim-specific concepts: adopts, delphi, approach, potential; EU scope not established. This is a provisional connection, not an outcome finding.</w:t>
      </w:r>
    </w:p>
    <w:p>
      <w:r>
        <w:t>Available abstract (not full text): Vehicle automation is one of the most researched topics in transport studies but much remains uncertain about the speed of adoption and potential impacts, including if and how it can contribute to greater environmental sustainability. This study adopts a Delphi approach to examine the speed with which 15% of new vehicles will be automated (SAE-3, SAE-4 or SAE-5) and what impacts automation may have on motility, mobility, resource use and externalities in both passenger and freight transport. Although challenges with recruitment mean that all findings must be caveated and seen as exploratory, the analysis demonstrates considerable dissensus regarding the expected speed and impacts of vehicle automation in both passenger and freight transport among the participants. For both aspects, a diversity of views remains once participants were informed about the expectations of other panellists. The range of views is organised around the axes of optimism and certainty about what may happen. Considerable differences between passenger and freight transport can be identified for potential impacts of vehicle automation but not for speed of adoption.</w:t>
      </w:r>
    </w:p>
    <w:p>
      <w:r>
        <w:t>POSSIBLE 2022: Perceived drivers and barriers in the governance of wastewater treatment and reuse in India: Insights from a two-round Delphi study — https://doi.org/10.1016/j.resconrec.2022.106285</w:t>
      </w:r>
    </w:p>
    <w:p>
      <w:r>
        <w:t>Shared claim-specific concepts: delphi, key, drivers; EU scope not established. This is a provisional connection, not an outcome finding.</w:t>
      </w:r>
    </w:p>
    <w:p>
      <w:r>
        <w:t>Available abstract (not full text): Wastewater treatment and reuse practices are limited in India despite the known benefits of preventing water resources pollution and contributing to sustainable production and consumption systems. We identify the perceived key drivers and barriers to wastewater treatment and reuse governance in a two-round Delphi study, including literature and case study analyses and consultation with 75 panelists. Panelists indicated that the most significant driver for wastewater treatment and water reuse is persistent water scarcity that necessitates diversification to alternative water supplies. In contrast, the most significant barriers are the lack of enforcement of pollution monitoring and control, the lack of an umbrella directive for integrated water resources management, and insufficient collaboration between responsible governmental organizations, central and state water authorities. Given the absence of central guidelines, only a few Indian states such as Maharashtra, Gujarat or Punjab have adopted effective governance structures. These states showcase that defined reuse standards can create successful wastewater treatment and reuse practices but require target-based regulations which are enforced and regularly monitored and financing mechanisms for their long-term operation. The new effluent discharge standards by the National Green Tribunal, the government support programmes, and</w:t>
      </w:r>
    </w:p>
    <w:p>
      <w:r>
        <w:t>POSSIBLE 2019: Unravelling the Scientific Debate on How to Address Wolf-Dog Hybridization in Europe — https://doi.org/10.3389/fevo.2019.00175</w:t>
      </w:r>
    </w:p>
    <w:p>
      <w:r>
        <w:t>Shared claim-specific concepts: three-round, delphi, according; EU scope visible. This is a provisional connection, not an outcome finding.</w:t>
      </w:r>
    </w:p>
    <w:p>
      <w:r>
        <w:t>Available abstract (not full text): Anthropogenic hybridisation is widely perceived as a threat to the conservation of biodiversity. Nevertheless, to date, relevant policy and management interventions are unresolved and highly convoluted. While this is due to the inherent complexity of the issue, we hereby hypothesise that lack of agreement concerning management goals and approaches, within the scientific community, may explain the lack of social awareness on this phenomenon, and the absence of effective pressure on decision-makers. By focusing on wolf x dog hybridisation in Europe, we hereby (a) assess the state of the art of issues on wolf x dog hybridisation within the scientific community, (b) assess the conceptual bases for different viewpoints, and (c) provide a conceptual framework aiming at reducing the disagreement. We adopted the Delphi technique, involving a three-round iterative survey addressed to a selected sample of experts who published on Web of Science listed journals, in the last ten years on wolf x dog hybridisation and related topics. Consensus was reached that admixed individuals should always be defined according to their genetic profile, and that a reference threshold for admixture (i.e., q-value in assignment tests) should be formally adopted for their identification. To mitigate hybridisation, experts agreed on adopting preventive, proactive and, when concerning small and recovering wolf</w:t>
      </w:r>
    </w:p>
    <w:p>
      <w:pPr>
        <w:pStyle w:val="Heading2"/>
      </w:pPr>
      <w:r>
        <w:t>Towards the European Union's Foreign Policy 2025 – Taking Stock of the Dahrendorf Foresight Project</w:t>
      </w:r>
    </w:p>
    <w:p>
      <w:r>
        <w:t>Original source (2017): https://doi.org/10.1111/1758-5899.12438</w:t>
      </w:r>
    </w:p>
    <w:p>
      <w:r>
        <w:t>Original wording (abstract; indexed_source_text_not_full_document_verified): Based on an analysis of the current state of the Union, this paper takes stock of the outcomes of the Dahrendorf Foresight Project and looks ahead at the EU 's role in the world of 2025.</w:t>
      </w:r>
    </w:p>
    <w:p>
      <w:r>
        <w:t>POSSIBLE 2025: Analysis of the current state of sewage sludge treatment from the perspective of current European directives — https://doi.org/10.1186/s12302-025-01097-7</w:t>
      </w:r>
    </w:p>
    <w:p>
      <w:r>
        <w:t>Shared claim-specific concepts: based, current, state; EU scope visible. This is a provisional connection, not an outcome finding.</w:t>
      </w:r>
    </w:p>
    <w:p>
      <w:r>
        <w:t>Available abstract (not full text): Due to its produced quantity, sewage sludge is a serious environmental problem not only in Slovakia, but also on a global scale. The submitted study deals with the current state of sewage sludge treatment with a focus on assessing the advantages and disadvantages of selected technologies. The main objective of the review study is to evaluate the advantages and limitations of individual sewage sludge processing technologies. Based on the evaluation of the advantages and limitations, another objective of the study was to determine the most suitable, less suitable, or unsuitable technologies for sewage sludge processing. Another objective of the study was to evaluate innovative technologies (not only commonly used ones). The purpose of this objective was to monitor the most current trends in sewage sludge processing technologies and, by evaluating them, to expand knowledge in this scientific field. The presented analysis of sewage sludge treatment was carried out in accordance with current European directives. The main novelty of the review study is a comprehensive assessment of sludge processing technologies with a focus on their main advantages and limitations. Another novelty is the focus of the study on innovative methods of sewage sludge processing. As part of the analysis, the evaluated sludge treatment technologies were divided into three categories: conventional, alternati</w:t>
      </w:r>
    </w:p>
    <w:p>
      <w:r>
        <w:t>POSSIBLE 2024: Obesity: current state of the problem, multidisciplinary approach. (based on the consensus of the World Gastroenterological Organization “Obesity 2023” and the European guideline on obesity care in patients with gastrointestinal and liver diseases, 2022) — https://doi.org/10.31146/1682-8658-ecg-218-10-5-47</w:t>
      </w:r>
    </w:p>
    <w:p>
      <w:r>
        <w:t>Shared claim-specific concepts: based, current, state, world; EU scope visible. This is a provisional connection, not an outcome finding.</w:t>
      </w:r>
    </w:p>
    <w:p>
      <w:r>
        <w:t>Available abstract (not full text): Obesity is the largest pandemic in the world, and its prevalence continues to increase. The purpose of the presented publication is to raise awareness of doctors about modern methods of diagnosing obesity and approaches to therapy, using an interdisciplinary team approach similar to that used in other chronic diseases, such as diabetes, heart disease and cancer. The article presents data from the World Gastroenterological Organization (2023) and the European Guidelines for the Treatment of Obesity in patients with diseases of the gastrointestinal tract and liver (2022). According to modern approaches, obesity should be considered as a chronic recurrent progressive disease, the treatment of which requires a comprehensive interdisciplinary approach involving psychologists and psychiatrists, nutritionists/nutritionists, therapists, endoscopists and surgeons, including lifestyle changes, a well-defined diet and exercise regimen, drug therapy, endoscopic or surgical methods of treatment. Conclusions. In order to stop the growing wave of obesity and its many complications and costs, doctors, insurance companies and health authorities should make systematic efforts to raise public awareness of both the adverse health risks associated with obesity and the potential reduction of risks through a comprehensive approach to therapy.</w:t>
      </w:r>
    </w:p>
    <w:p>
      <w:r>
        <w:t>POSSIBLE 2024: Assessing Current Coastal Subsidence at Continental Scale: Insights From Europe Using the European Ground Motion Service — https://doi.org/10.1029/2024ef004523</w:t>
      </w:r>
    </w:p>
    <w:p>
      <w:r>
        <w:t>Shared claim-specific concepts: based, current, state; EU scope visible. This is a provisional connection, not an outcome finding.</w:t>
      </w:r>
    </w:p>
    <w:p>
      <w:r>
        <w:t>Available abstract (not full text):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r>
        <w:t>POSSIBLE 2022: Comparative Multidimensional Analysis of the Current State of European Economies Based on the Complex of Macroeconomic Indicators — https://doi.org/10.3390/math10050847</w:t>
      </w:r>
    </w:p>
    <w:p>
      <w:r>
        <w:t>Shared claim-specific concepts: based, current, state; EU scope visible. This is a provisional connection, not an outcome finding.</w:t>
      </w:r>
    </w:p>
    <w:p>
      <w:r>
        <w:t>Available abstract (not full text): The stability of the economy of any country is primarily determined by the totality of macroeconomic indicators that describe the current economic state. This article provides a multi-dimensional analysis of the macroeconomic situation in Europe according to the data of 2020. The purpose of the article is to give a clear idea of the relative position of the economies of European countries, their proximity or the significance of their differences to determine each country’s place in the overall European economic system. Research objectives: (1) to identify the necessary macroeconomic indicators for the research; (2) to determine the direction of the impact of these indicators on the economic situation of European countries; (3) to carry out a cluster division of the studied countries with the identification of the main characteristics of each cluster; (4) to identify the main macroeconomic indicators that determine the level of welfare of European countries, (5) to reduce the dimension of the multi-dimensional economic space using integrated latent factors, (6) to build a fuzzy mathematical model to predict the level of welfare of the country when the specified values of latent factors are achieved. The methodological basis of the analysis is the methods of processing multi-dimensional information, such as multi-dimensional scaling, cluster analysis, factor analysis, multivariat</w:t>
      </w:r>
    </w:p>
    <w:p>
      <w:r>
        <w:t>POSSIBLE 2022: The Current State of the “Green” Parties: Russia, Europe, the World — https://doi.org/10.22394/1726-1139-2022-8-15-27</w:t>
      </w:r>
    </w:p>
    <w:p>
      <w:r>
        <w:t>Shared claim-specific concepts: current, state, world; EU scope visible. This is a provisional connection, not an outcome finding.</w:t>
      </w:r>
    </w:p>
    <w:p>
      <w:r>
        <w:t>Available abstract (not full text): The article is devoted to the study of the current state of the «green» parties in the world as a whole, as well as in Europe and the Russian Federation in particular. The history of the formation of the «green» parties is also revealed and their common features are analyzed. In addition, the difference between the European «green» parties and the Russian ones is considered there. An important part of the study is the analysis of the percentage of representatives of «green» parties in the legislative authorities in the countries. As a result of the research, the author comes to several conclusions: currently, «green» parties exist in almost half of the countries where the existence of parties is possible as such. In a quarter of these countries, representatives of these parties are in the government, and about 4% of them are in the ruling coalitions. Nevertheless, for half a century, this is quite a great achievement for parties that were once considered oppositional. Most of these parties are represented in the European parliaments, but they have a number of differences from the «green» parties of the Russian Federation, which is also noted in this article.</w:t>
      </w:r>
    </w:p>
    <w:p>
      <w:r>
        <w:t>POSSIBLE 2021: Marine Citizen Science: Current State in Europe and New Technological Developments — https://doi.org/10.3389/fmars.2021.621472</w:t>
      </w:r>
    </w:p>
    <w:p>
      <w:r>
        <w:t>Shared claim-specific concepts: based, current, state, project; EU scope visible. This is a provisional connection, not an outcome finding.</w:t>
      </w:r>
    </w:p>
    <w:p>
      <w:r>
        <w:t>Available abstract (not full text): Marine citizen science is emerging with promising opportunities for science, policy and public but there is still no comprehensive overview of the current state in Europe. Based on 127 projects identified for the North Sea area we estimate there might be as much as 500 marine and coastal citizen science projects running in Europe, i.e., one marine citizen science project per ∼85 km of coastline, with an exponential growth since 1990. Beach-based projects are more accessible and hence most popular (60% of the projects), and the mean duration of the projects is 18–20 years. Current trends, topics, organizers, aims, and types of programme in terms of participation are presented in this overview. Progress in marine citizen science is specially enabled and promoted through technological developments. Recent technological advances and best practise examples are provided here, untapping the potential of smart mobile apps, do-it-yourself (DIY) technologies, drones, and artificial intelligence (AI) web services.</w:t>
      </w:r>
    </w:p>
    <w:p>
      <w:r>
        <w:t>POSSIBLE 2021: Addressing underwater noise in Europe: Current state of knowledge and future priorities — https://doi.org/10.5281/zenodo.5534223</w:t>
      </w:r>
    </w:p>
    <w:p>
      <w:r>
        <w:t>Shared claim-specific concepts: current, state, world; EU scope visible. This is a provisional connection, not an outcome finding.</w:t>
      </w:r>
    </w:p>
    <w:p>
      <w:r>
        <w:t>Available abstract (not full text): The Ocean presents a cacophony of sounds originating from natural as well as anthropogenic sources. Marine organisms heavily rely on sound to communicate and understand the world around them, and are therefore potentially impacted by anthropogenic sound. However, in developing our Blue Economy and in advancing our knowledge of marine environments and ecosystems, anthropogenic noise is sometimes unavoidable. Understanding the potential effects of anthropogenic noise is therefore integral to addressing this conflict, as it is needed to develop proportionate mitigation strategies and effective regulation. Next to providing an overview of our current knowledge about underwater noise, this publication highlights the priority areas for further research addressing the remaining knowledge gaps about the effects of anthropogenic noise. Furthermore, it points out the relevant actions needed to take in order to ensure ecosystem-based and precautionary legislation.</w:t>
      </w:r>
    </w:p>
    <w:p>
      <w:r>
        <w:t>POSSIBLE 2020: Current state of perinatal postmortem magnetic resonance imaging: European Society of Paediatric Radiology questionnaire-based survey and recommendations — https://doi.org/10.1007/s00247-020-04905-9</w:t>
      </w:r>
    </w:p>
    <w:p>
      <w:r>
        <w:t>Shared claim-specific concepts: based, current, state; EU scope visible. This is a provisional connection, not an outcome finding.</w:t>
      </w:r>
    </w:p>
    <w:p>
      <w:r>
        <w:t>Available abstract (not full text): BACKGROUND: Postmortem magnetic resonance imaging (MRI) in perinatal and childhood deaths is increasingly used as a noninvasive adjunct or alternative to autopsy. Imaging protocols vary between centres and consensus guidelines do not exist. OBJECTIVE: Our aim was to develop practical, standardised recommendations for perinatal postmortem MRI. MATERIALS AND METHODS: Recommendations were based on the results of two surveys regarding local postmortem MRI practices sent electronically to all 14 members of the European Society of Paediatric Radiology (ESPR) Postmortem Imaging Task Force and 17 members of the International Society of Forensic Radiology and Imaging Task Force (25 different centres). RESULTS: Overall, 11/14 (78.6%) respondents from different institutions perform postmortem MRI. All of these centres perform postmortem MRI for perinatal and neonatal deaths, but only 6/11 (54.5%) perform imaging in older children. CONCLUSION: We propose a clinical standard for postmortem MRI sequences plus optional sequences for neuroimaging and cardiac anatomy depending on available scanning time and referral indications.</w:t>
      </w:r>
    </w:p>
    <w:p>
      <w:r>
        <w:t>POSSIBLE 2019: BASED ON MATERIALS FROM THE 28TH CONGRESS OF THE EUROPEAN ACADEMY OF DERMATOLOGY AND VENEREOLOGY, OCTOBER 9-13, 2019, MADRID, VITILIGO, SPAIN. THE CURRENT STATE OF THE PROBLEM — https://doi.org/10.17816/dv42948</w:t>
      </w:r>
    </w:p>
    <w:p>
      <w:r>
        <w:t>Shared claim-specific concepts: based, current, state; EU scope visible. This is a provisional connection, not an outcome finding.</w:t>
      </w:r>
    </w:p>
    <w:p>
      <w:r>
        <w:t>Available abstract (not full text): Unavailable</w:t>
      </w:r>
    </w:p>
    <w:p>
      <w:r>
        <w:t>POSSIBLE 2019: Failure or progress?: The current state of the professionalisation of midwifery in Europe — https://doi.org/10.18332/ejm/115038</w:t>
      </w:r>
    </w:p>
    <w:p>
      <w:r>
        <w:t>Shared claim-specific concepts: based, current, state; EU scope visible. This is a provisional connection, not an outcome finding.</w:t>
      </w:r>
    </w:p>
    <w:p>
      <w:r>
        <w:t>Available abstract (not full text): INTRODUCTION: Throughout Europe midwives called for increasing professionalisation of midwifery during the 1980s and 1990s. While the Bologna Declaration, in 1999, supported this development in education and research, it remains unclear how other fields, such as practice, have fared so far. This study therefore aimed to explore the current state of professionalisation of midwifery in Europe. METHODS: An exploratory inquiry was conducted with an on-line semi-structured questionnaire. Its content was based on the Greenwood sociological criteria for a profession. Descriptive statistics and thematic content analysis were used to analyse the data. Participants were national delegates from member countries to the European Midwives Association. RESULTS: Delegates from 29 European countries took part. In most countries, progress towards professionalisation of midwifery has been made through the move of education into higher education, coupled with opportunities for postgraduate education and research. Lack of progress was noted, in particular in regard to midwifery practice, regulation, and leadership in health care provision and education. Most countries had a code of ethics for midwives as well as a midwifery association. Based on organisational collaborations with other disciplines, the sustainability of a distinct professional culture was unclear. An increased focus on future devel</w:t>
      </w:r>
    </w:p>
    <w:p>
      <w:pPr>
        <w:pStyle w:val="Heading2"/>
      </w:pPr>
      <w:r>
        <w:t>Transition pathways for a UK low-carbon electricity system: Comparing scenarios and technology implications</w:t>
      </w:r>
    </w:p>
    <w:p>
      <w:r>
        <w:t>Original source (2017): https://doi.org/10.1016/j.rser.2017.10.007</w:t>
      </w:r>
    </w:p>
    <w:p>
      <w:r>
        <w:t>Original wording (abstract; indexed_source_text_not_full_document_verified): This can aid an informed debate on the technical feasibility and social acceptability of realising transition pathways for decarbonising the UK energy sector by 2050. The United Kingdom (UK) has placed itself on a transition towards a low-carbon economy and society, through the imposition of a goal of reducing its ‘greenhouse’ gas emissions by 80% by 2050.</w:t>
      </w:r>
    </w:p>
    <w:p>
      <w:r>
        <w:t>POSSIBLE 2023: Foreign Aid — https://doi.org/10.4324/9781003265320</w:t>
      </w:r>
    </w:p>
    <w:p>
      <w:r>
        <w:t>Shared claim-specific concepts: aid, informed, debate; EU scope not established. This is a provisional connection, not an outcome finding.</w:t>
      </w:r>
    </w:p>
    <w:p>
      <w:r>
        <w:t>Available abstract (not full text): Foreign Aid: Policy and Practice offers a complete overview of the basics of foreign aid. Who is it for? Who pays for it? Why does it exist? What is it spent on? How much is it? And most important, does it work? The aid debate has been flooded by academic studies and popular books that either challenge or champion the effectiveness of aid. Most presume that the reader already knows the basic facts and characteristics of the aid industry. This book provides readers with a comprehensive summary of the background, actors, core principles and policies, and intended (and unintended) outcomes of foreign aid, followed by a more informed and balanced treatment of the key controversies and trends in aid today. Drawing on the author’s 25 years’ experience in development practice and 15 years in teaching, the book reflects on recent efforts to accelerate aid’s impact and concludes by taking a look at the future of aid and the headwinds it will face in the first half of the 21st century. Perfect for university teaching at advanced undergraduate and graduate levels, this book will also encourage development practitioners, policy makers, and members of the public to engage in more informed debates about aid and development finance.</w:t>
      </w:r>
    </w:p>
    <w:p>
      <w:r>
        <w:t>POSSIBLE 2023: Working Conditions in Legal Aid — https://doi.org/10.5040/9781509957835.ch-004</w:t>
      </w:r>
    </w:p>
    <w:p>
      <w:r>
        <w:t>Shared claim-specific concepts: aid, informed; EU scope visible. This is a provisional connection, not an outcome finding.</w:t>
      </w:r>
    </w:p>
    <w:p>
      <w:r>
        <w:t xml:space="preserve">Available abstract (not full text): Robert K Merton , ' On Sociological Th eories of the Middle Range ' , in Robert K Merton , On Th eoretical Sociology: Five Essays, Old and New ( Free Press , 1967 ) as cited by Martha A Fineman , ' Vulnerability and Social Justice ' ( 2019 ) 53 Valparaiso University Law Review 341 .18 Of course, it is entirely possible to consider the working conditions of legal aid lawyers through the kind of grand theory that is the apotheosis of a middle range theory.For example, Newman (2016) has elsewhere considered criminal legal aid lawyers applying perhaps the most famous grand theory of all, Marx and Engels ' historical materialism, particularly drawing out the notion of alienation.Powerful as a grand theory approach such as Marxism might be in providing impactful accounts of the issues faced by these lawyers in their practice, this chapter is informed by an approach that foregrounds the experiences of the lawyers to help give a fl avour of the reality of their working conditions.In doing so, it is hoped that an understanding of this lived reality will be valuable in informing broader debates, both later in this book and more widely amongst those who read it.See further Daniel Newman , ' Are Lawyers Alienated Workers ?' ( 2016 ) 22 European Journal of Current Legal Issues 1 .However, they go on to note that: Austerity justice under-funding key institutions such as the police and legal </w:t>
      </w:r>
    </w:p>
    <w:p>
      <w:r>
        <w:t>POSSIBLE 2023: The Ethics of Food Aid and Famine Relief — https://doi.org/10.1093/oso/9780197744727.003.0004</w:t>
      </w:r>
    </w:p>
    <w:p>
      <w:r>
        <w:t>Shared claim-specific concepts: aid, informed, debate; EU scope not established. This is a provisional connection, not an outcome finding.</w:t>
      </w:r>
    </w:p>
    <w:p>
      <w:r>
        <w:t>Available abstract (not full text): Abstract Peter Singer’s 1972 article “Famine, Affluence and Morality” set the stage for philosophical debate over food security and international development policy for a half century. Paired with articles criticizing the impact of food aid programs, philosophy professors approached the problem in terms of whether better-off people have an obligation to give aid. Though initially focused on food aid, the trend has been to subsume Singer’s original focus on famine relief with a more general emphasis on ending poverty. These analyses ignore aspects of hunger that are ethically significant, as well as facts about the structure and operation of international assistance operations and their use of agricultural commodities. As argued in From Field to Fork, food aid can be damaging to local producers, who are often among the most vulnerable members of their respective societies. However, this does not subvert Singer’s original argument, which was focused on a food emergency, rather than poverty relief. Indeed, we should maintain Singer’s early focus on food, supporting food aid in response to both natural and human-caused emergencies. Programs to promote economic and social development are more complex and must be subjected to more extensive and empirically informed ethical analysis.</w:t>
      </w:r>
    </w:p>
    <w:p>
      <w:r>
        <w:t>POSSIBLE 2020: State Aid for Independent News Journalism in the Public Interest? A Critical Debate of Government Funding Models and Principles, the Market Failure Paradigm, and Policy Efficacy — https://doi.org/10.1080/21670811.2020.1732227</w:t>
      </w:r>
    </w:p>
    <w:p>
      <w:r>
        <w:t>Shared claim-specific concepts: aid, informed, debate; EU scope not established. This is a provisional connection, not an outcome finding.</w:t>
      </w:r>
    </w:p>
    <w:p>
      <w:r>
        <w:t>Available abstract (not full text): This study critically reviews scholarly debates on state aid for independent, professional news journalism in the public interest, its funding models and principles, the market failure paradigm, and policy efficacy. State aid is handed out by government agencies which believe that their support can help independent, professional journalism thrive in the digital, mobile, and platform-dominated future. Government support mainly comes as direct financial grants or indirect tax offsets. It aims at engendering economic opportunity and prosperity, while safeguarding journalistic independence and quality of output. Ideally, this shall foster the production, distribution and consumption of original and high-quality news in the public interest, which, in turn, shall keep people informed, facilitate public debate, and hold power to account. Still, this study finds arguments that government funding models for independent journalism in the public interest are limited by several critical challenges that endanger their principles, do not avert failure in the news media market and prevent effective policy governance. These deficits may even be exacerbated in the digital era.</w:t>
      </w:r>
    </w:p>
    <w:p>
      <w:r>
        <w:t>POSSIBLE 2020: The Millenium Challenge Corporation – A Case Study of Foreign Aid as an Instrument of US Foreign Policy — https://openalex.org/W3042742112</w:t>
      </w:r>
    </w:p>
    <w:p>
      <w:r>
        <w:t>Shared claim-specific concepts: aid, informed, debate; EU scope not established. This is a provisional connection, not an outcome finding.</w:t>
      </w:r>
    </w:p>
    <w:p>
      <w:r>
        <w:t>Available abstract (not full text): Although foreign aid has been an important component of US foreign policy for many years, it has nevertheless been a constant source of debate and controversy. Academics offer differing views with respect to both its motivations and effectiveness. In addition, there has been considerable evolution in thinking as to the nature of reforms that recipient countries should prioritize to achieve sustainable development. This paper discusses these issues in the context of the Millennium Challenge Corporation, which was established in 2004. More specifically, the paper discusses the extent to which the approach taken by the MCC has been informed not only by the longstanding debates regarding the utility of US foreign aid but also by the lessons learned during previous major foreign aid initiatives, including the Marshall Plan and the Alliance for Progress. Drawing on both the academic literature and historical experiences, the paper focuses on key aspects of the MCC approach that are designed, among other things, to both de-politicize the aid eligibility process and ensure adequate country ownership. The paper uses two country case studies – Benin and the Philippines – to assess how this approach has been applied in practice. The overall conclusion highlights what may seem as a contradiction: although it is inevitable that one of the motivations of US foreign aid is political, the exte</w:t>
      </w:r>
    </w:p>
    <w:p>
      <w:r>
        <w:t>POSSIBLE 2018: Oxfam crisis: we need a more informed debate about NGOs and international aid — https://openalex.org/W2883252415</w:t>
      </w:r>
    </w:p>
    <w:p>
      <w:r>
        <w:t>Shared claim-specific concepts: aid, informed, debate, sector; EU scope not established. This is a provisional connection, not an outcome finding.</w:t>
      </w:r>
    </w:p>
    <w:p>
      <w:r>
        <w:t>Available abstract (not full text): Few would say that the alleged behaviour of aid workers in the Oxfam sexual exploitation scandal is acceptable. But the nature of the criticism that has followed these revelations, including government threats to cut Oxfam's funding, is driven more by politics than genuine understanding of the sector, explains David Lewis.</w:t>
      </w:r>
    </w:p>
    <w:p>
      <w:pPr>
        <w:pStyle w:val="Heading2"/>
      </w:pPr>
      <w:r>
        <w:t>An exploratory policy analysis of electric vehicle sales competition and sensitivity to infrastructure in Europe</w:t>
      </w:r>
    </w:p>
    <w:p>
      <w:r>
        <w:t>Original source (2016): https://doi.org/10.1016/j.techfore.2016.08.007</w:t>
      </w:r>
    </w:p>
    <w:p>
      <w:r>
        <w:t>Original wording (abstract; indexed_source_text_not_full_document_verified): Infrastructure provision is important for improving the utility of a PiEV, but we find that in the early market it may have a weaker correlation with uptake than other policy options, until the PiEV stock share is over around 5%. Furthermore, an attempt to install a ratio of much more than one charge point per 10 PiEV may lead to little gains and high costs.</w:t>
      </w:r>
    </w:p>
    <w:p>
      <w:r>
        <w:t>POSSIBLE 2026: Public Charging Infrastructure and Electrification Dynamics in Europe: A Descriptive Assessment of Infrastructure Strain — https://doi.org/10.3390/en19092063</w:t>
      </w:r>
    </w:p>
    <w:p>
      <w:r>
        <w:t>Shared claim-specific concepts: infrastructure, but, uptake, share, over; EU scope visible. This is a provisional connection, not an outcome finding.</w:t>
      </w:r>
    </w:p>
    <w:p>
      <w:r>
        <w:t>Available abstract (not full text): The transition to low-emission road transport in Europe depends not only on the growth of plug-in electric vehicle (PEV) uptake, but also on the timely expansion of publicly accessible charging infrastructure. This article provides a descriptive and diagnostic assessment of the relationship between electrification dynamics and public charging infrastructure development in Europe. The analysis combines a long-run descriptive window (2015–2024, with 2025 treated separately as a scenario observation) and a core diagnostic window (2020–2024) for which a consistent proxy of potential infrastructure strain—plug-in vehicles per public recharging point (VPP)—is available. The results show a strong increase in PEV share in new registrations, from 1.0% in 2015 to 20.92% in 2024, while the number of public recharging points rose from 67,064 to 900,000 over the same period. In the core sample, VPP declined from 15.24 in 2020 to 13.92 in 2024, which is consistent with a catch-up phase in infrastructure deployment after 2021. At the same time, the short-window relationship between PEV share, infrastructure scale and average CO2 emissions of newly registered cars remains weak and unstable, indicating the role of additional structural factors. The article contributes a transparent, replicable indicator-based framework for describing infrastructure strain in aggregate European data. In policy t</w:t>
      </w:r>
    </w:p>
    <w:p>
      <w:r>
        <w:t>POSSIBLE 2026: Mapping school food provision models in European cities: Operational, infrastructural, and financial insights — https://doi.org/10.1016/j.ypmed.2026.108515</w:t>
      </w:r>
    </w:p>
    <w:p>
      <w:r>
        <w:t>Shared claim-specific concepts: infrastructure, provision; EU scope visible. This is a provisional connection, not an outcome finding.</w:t>
      </w:r>
    </w:p>
    <w:p>
      <w:r>
        <w:t>Available abstract (not full text): OBJECTIVE: This study aims to provide a comparative overview of school food provision models in 17 cities across 12 European countries. It explores the operational, infrastructural, and financial dimensions of these models, identifying key trade-offs, challenges and opportunities for promoting healthy and sustainable school food environments. METHODS: Data were collected via an electronic questionnaire administered to SchoolFood4Change project partners in 2022. The questionnaire covered meal types and costs, operational and manufacturing models, and kitchen infrastructure. Supplementary desk research was conducted to clarify responses and gain a deeper understanding of the findings' context. RESULTS: The analysis reveals that school food provision models are more influenced by institutional, historical, and policy contexts than by city size. Contract catering dominates, yet in-house systems persist where welfare traditions and nutrition education policies emphasise child health and learning. Centralised kitchens often reflect historical planning or socialist legacies, while mixed systems arise in decentralised governance contexts. CONCLUSIONS: Organisational diversity stems from the interaction of governance structures, policy priorities, and infrastructure, illustrating how Europe's school food systems balance economic efficiency with social and educational goals for children'</w:t>
      </w:r>
    </w:p>
    <w:p>
      <w:r>
        <w:t>POSSIBLE 2024: Dynamics of Legal Framework for Public-Private Partnership (PPP) in Infrastructure Provision — https://openalex.org/W7219943541</w:t>
      </w:r>
    </w:p>
    <w:p>
      <w:r>
        <w:t>Shared claim-specific concepts: infrastructure, provision, but, other; EU scope not established. This is a provisional connection, not an outcome finding.</w:t>
      </w:r>
    </w:p>
    <w:p>
      <w:r>
        <w:t>Available abstract (not full text): The increasing demand for public infrastructure in Indonesia, coupled with national budget limitations, has elevated the importance of the Public-Private Partnership (PPP) scheme as an alternative financing mechanism. This study aims to analyze the legal framework and challenges associated with the implementation of PPP in infrastructure provision. Using a qualitative approach, the research examines existing regulations, including Presidential Regulation No. 38 of 2015, as well as other supporting policies that form the basis of PPP implementation in Indonesia. The findings reveal two critical aspects: first, the current legal framework for PPP provides a foundation for collaboration but requires enhancement to address gaps in clarity and effectiveness; second, significant challenges, including risk allocation, dispute resolution, and legal protection for parties, hinder the execution of PPP projects. The study concludes that an improved and accountable legal framework is essential to attract private sector investment and ensure the success of PPP projects. Strengthening regulatory certainty and addressing legal challenges are pivotal for fostering sustainable infrastructure development in Indonesia.</w:t>
      </w:r>
    </w:p>
    <w:p>
      <w:r>
        <w:t>POSSIBLE 2022: Technology Adoption and Early Network Infrastructure Provision in the Market for Electric Vehicles — https://doi.org/10.1007/s10640-022-00703-z</w:t>
      </w:r>
    </w:p>
    <w:p>
      <w:r>
        <w:t>Shared claim-specific concepts: infrastructure, provision, early, stock; EU scope not established. This is a provisional connection, not an outcome finding.</w:t>
      </w:r>
    </w:p>
    <w:p>
      <w:r>
        <w:t>Available abstract (not full text): We document non-linear stock effects in the relationship linking emerging technology adoption and network infrastructure increments. We exploit 2010-2017 data covering nascent to mature electric vehicle (EV) markets across 422 Norwegian municipalities together with two complementary identification strategies: control function regressions of EV sales on flexible polynomials in the stock of charging stations and charging points, and synthetic control methods to quantify the impact of initial infrastructure provision in municipalities that previously had none. Our results are consistent with indirect network effects and the behavioral bias called "range anxiety," and support policies targeting early infrastructure provision to incentivize EV adoption.</w:t>
      </w:r>
    </w:p>
    <w:p>
      <w:r>
        <w:t>POSSIBLE 2022: The Politics Of Infrastructural Provision in Rural Areas of Oyo State Nigeria — https://doi.org/10.57054/asr.v26i1.3992</w:t>
      </w:r>
    </w:p>
    <w:p>
      <w:r>
        <w:t>Shared claim-specific concepts: infrastructure, provision, over; EU scope not established. This is a provisional connection, not an outcome finding.</w:t>
      </w:r>
    </w:p>
    <w:p>
      <w:r>
        <w:t>Available abstract (not full text): Over the years, rural service delivery is often subjected to political players and less of the rural public interest. The study examined rural people experiences of local government rural LGAs of Oyo state, Nigeria. The concept of governance provides the conceptual balance for this study. The study made use of a mixed approach for data collection, qualitative and quantitative tools of questionnaire and in-depth interview respectively. Two hundred and fifty (250) rural households across six (6) LGAs were administered questionnaire randomly from the purposively identified rural local government areas. Study revealed that infrastructure politicking is a challenge that limits sustainable rural facility delivery. This is because infrastructures such as water infrastructure, school buildings and drainage construction were provided based on political affiliation. Over half of the respondents consider rural governance not to be participatory and inclusive towards rural development. The study recommends that democratic local government autonomy remains the feasible and responsive solution to efficient service delivery in the local space.</w:t>
      </w:r>
    </w:p>
    <w:p>
      <w:r>
        <w:t>POSSIBLE 2021: The sustainability of infrastructure provision of Montongsari Tourism Village Kendal — https://doi.org/10.1088/1755-1315/871/1/012010</w:t>
      </w:r>
    </w:p>
    <w:p>
      <w:r>
        <w:t>Shared claim-specific concepts: infrastructure, provision, improving; EU scope not established. This is a provisional connection, not an outcome finding.</w:t>
      </w:r>
    </w:p>
    <w:p>
      <w:r>
        <w:t>Available abstract (not full text): Montongsari is one of the pilot tourism villages in the superior program of Kendal Regency to create village independence through tourism activities. However, the available infrastructure is still limited. This article aims to identify the sustainability of the provision of infrastructure as the main factor in tourism village development. Qualitative methods are used in this research, with data collection techniques through in-depth interviews and observation. In-depth interviews were carried out by asking village officials, and community leaders to gather information from tourism actors on the problems related to infrastructure and prioritizing infrastructure provision physically and spatially. Additionally, observations are conducted simultaneously to confirm the data. This research found that access to the tourism area is the most significant factor, followed by the provision of drainage to prevent flood hazards in tourist areas. The result also shows the strong role of community participation in the construction of bridges as the main access to improving the community's economy. The role and collaboration of stakeholders are needed in providing infrastructure to support the economic improvement of residents in the form of tourism activities.</w:t>
      </w:r>
    </w:p>
    <w:p>
      <w:r>
        <w:t>POSSIBLE 2021: The state of play in electric vehicle charging services – A review of infrastructure provision, players, and policies — https://doi.org/10.1016/j.rser.2021.111733</w:t>
      </w:r>
    </w:p>
    <w:p>
      <w:r>
        <w:t>Shared claim-specific concepts: infrastructure, provision, find, uptake; EU scope not established. This is a provisional connection, not an outcome finding.</w:t>
      </w:r>
    </w:p>
    <w:p>
      <w:r>
        <w:t>Available abstract (not full text): This paper reviews the market for electric vehicle (EV) charging infrastructure; it focuses on the types of existing charging, the main functions and actors in the market and the future policy actions required for widespread expansion. Electric vehicles represent a key technology in the mitigation of transportation greenhouse gas emissions and ambitious EV adoption targets have been set by many governments by 2030 and beyond. The rollout of EV charging infrastructure is vital in achieving this goal, as the uptake of EVs is linked to the level of coverage of EV chargers. To date, both the public and private sectors have been involved in the provision of charging stations and it is timely to consider the roles of the different actors in this market. We consider whether EV charging infrastructure is a public good or private asset and address the issues of the location of future chargers, the deployment models needed to develop, operate and own charging infrastructure, and finally the policy context for the development of charging infrastructure. We find that clear roles should be assigned to the individual public and private actors and funders, in order to achieve efficient development of the required infrastructure for large-scale EV deployment.</w:t>
      </w:r>
    </w:p>
    <w:p>
      <w:r>
        <w:t>POSSIBLE 2020: INFRASTRUCTURE PROVISION OF THE AGRARIAN MARKET IN THE GLOBALIZED ENVIRONMENT — https://doi.org/10.30525/2256-0742/2019-5-5-39-46</w:t>
      </w:r>
    </w:p>
    <w:p>
      <w:r>
        <w:t>Shared claim-specific concepts: infrastructure, provision; EU scope not established. This is a provisional connection, not an outcome finding.</w:t>
      </w:r>
    </w:p>
    <w:p>
      <w:r>
        <w:t xml:space="preserve">Available abstract (not full text): The main results of the research, which consist in determining the essence and features of the infrastructure provision of the agrarian market in the globalized environment, are formed. The priority of approaches in the development of logistics activities in the context of guaranteeing food security of regions and countries of the world is determined. The essence of the logistic process, strengthening the influence of the global market on the quality of agrarian products, is determined. The influence of the infrastructure provision of the agrarian market on the competitive positions of commodity producers is generalized, advantages and disadvantages in development are determined. The essence of informational logistics, its influence on the development of infrastructure provision of agricultural products market, satisfaction of consumers’ needs is investigated. The urgency of the introduction of e-commerce, which allows commodity producers to combine marketing activities with optimization of advertising costs, to ensure the efficiency and convenience of carrying out operations for the sale of agricultural products, its transportation, manage all logistics processes. It is proved that improvement of the infrastructure provision of the agrarian market of the world countries that adapts to the global market should be based on the dissemination of information opportunities, and the </w:t>
      </w:r>
    </w:p>
    <w:p>
      <w:r>
        <w:t>POSSIBLE 2020: Infrastructure Provision as a Catalyst for Local Economic Development in South Africa — https://doi.org/10.35293/srsa.v42i1.198</w:t>
      </w:r>
    </w:p>
    <w:p>
      <w:r>
        <w:t>Shared claim-specific concepts: infrastructure, provision, other, over; EU scope not established. This is a provisional connection, not an outcome finding.</w:t>
      </w:r>
    </w:p>
    <w:p>
      <w:r>
        <w:t>Available abstract (not full text): Throughout the era of the apartheid, the provision and accessibility of infrastructure in South Africa was skewed, and while the minority had access, the majority was overlooked. Local economic development (LED) has rested on the premise that the availability of infrastructure is likely to spur socio-economic development and to lift millions of South Africans out of poverty. However, with South Africa’s economy struggling to register consistent growth, there are difficulties accessing the much-needed finances needed to invest in infrastructure to spur LED. The study that this paper reflects upon used a qualitative research method and a systematic review of the literature relating to infrastructure provision and local economic development. It utilised thematic content analysis to deduce its findings with the hope of bringing in meaning to the overall content of the paper. The study revealed that indeed infrastructure provision is key to local economic development, that South Africa’s infrastructure provision is still skewed as urban areas continue receiving priority over rural areas; that local economic development is key in reducing inequality and spurring economic growth and sustaining the livelihoods of rural dwellers. However, limited investments in infrastructure in rural areas hinder the realization of such benefits. It recommends that the government prioritise LED in rura</w:t>
      </w:r>
    </w:p>
    <w:p>
      <w:r>
        <w:t>POSSIBLE 2019: Implementing Green Infrastructure in Spatial Planning in Europe — https://doi.org/10.3390/land8040062</w:t>
      </w:r>
    </w:p>
    <w:p>
      <w:r>
        <w:t>Shared claim-specific concepts: infrastructure, important; EU scope visible. This is a provisional connection, not an outcome finding.</w:t>
      </w:r>
    </w:p>
    <w:p>
      <w:r>
        <w:t>Available abstract (not full text): Interest in green infrastructure (GI) has grown in research, policy and planning in recent decades. The central idea behind GI is the understanding of the physical non-built-up environment as an infrastructure capable of delivering a wide variety of benefits to society, including the ability to preserve biodiversity; to provide food, feed, fuel and fibre; to adapt to and mitigate climate change and to contribute to enhanced human health and quality of life. The European Union (EU) has had a GI strategy since 2013, and member states are involved in several strategic and applied GI initiatives and projects. The aim of this study is to explore if and how the European strategy has been implemented. The study adds to the body of knowledge of current GI policies and measures in Europe via an online survey and insights into previous research. The survey reveals that GI is integrated into one or more policy sectors in all 32 countries covered. In 11 of the 32 countries, GI-specific policies are already in place or are being drawn up at a national level. In general, the respondents see the responsibility for GI policy and strategy as a matter of national governments and the implementation as a matter of local governments. They also see the LIFE+ and Horizon 2020 project funds, the European Regional Development Fund (ERDF) and the European Agricultural Fund for Rural Development (EAFRD),</w:t>
      </w:r>
    </w:p>
    <w:p>
      <w:r>
        <w:t>POSSIBLE 2018: Unlocking Land Markets and Infrastructure Provision — https://doi.org/10.1057/978-1-137-59792-2_4</w:t>
      </w:r>
    </w:p>
    <w:p>
      <w:r>
        <w:t>Shared claim-specific concepts: infrastructure, provision, important, but; EU scope not established. This is a provisional connection, not an outcome finding.</w:t>
      </w:r>
    </w:p>
    <w:p>
      <w:r>
        <w:t>Available abstract (not full text): Abstract This chapter focuses on the challenges and opportunities related to the provision of land and infrastructure for affordable housing. It drills down on three key challenges impeding the supply of affordable housing in Africa: poor land governance and weak management systems; the multiplicity of conflicting land tenure regimes; and the rapid growth of low-density, informal residential developments, leading to urban sprawl in peri-urban areas. The chapter also argues that the provision of basic infrastructure, especially transport infrastructure, not only shapes cities, but is also an important determinant of housing affordability, particularly for low-income families.</w:t>
      </w:r>
    </w:p>
    <w:p>
      <w:r>
        <w:t>POSSIBLE 2017: Infrastructure provision — https://doi.org/10.4337/9781785366192.00008</w:t>
      </w:r>
    </w:p>
    <w:p>
      <w:r>
        <w:t>Shared claim-specific concepts: infrastructure, provision, but; EU scope visible. This is a provisional connection, not an outcome finding.</w:t>
      </w:r>
    </w:p>
    <w:p>
      <w:r>
        <w:t>Available abstract (not full text): This introductory chapter begins by considering the infrastructure challenge posed by what former US Treasury Secretary Larry Summers calls the ‘Age of Secular Stagnation’ and International Monetary Fund managing director Christine Lagarde terms the ‘new mediocre of growth’. Both advocate increased infrastructure spending as the solution, but there are considerable differences between infrastructure policies in three of the largest economies. After decades of neglect, the United States and even Germany are saddled with once advanced, but increasingly outmoded infrastructure assets, while China keeps on building and has become an exemplar of modern urban transit, with ports, expressways, railways, subways, airports, and by far the world’s largest high-speed rail network. Nevertheless, a 2016 Oxford study challenges the efficacy of China’s infrastructure-led growth strategy. Upon examination, however, their study has serious defects and, contrary to their arguments, China’s infrastructure megaprojects appear less wasteful than those authors claim, and they have laid the foundations for Chinese growth, supported by a later case study.</w:t>
      </w:r>
    </w:p>
    <w:p>
      <w:pPr>
        <w:pStyle w:val="Heading2"/>
      </w:pPr>
      <w:r>
        <w:t>Argentinian Energy Landscapes - Case Study of the Neo-Carbon Energy Project</w:t>
      </w:r>
    </w:p>
    <w:p>
      <w:r>
        <w:t>Original source (2016): https://doi.org/10.13140/rg.2.2.13727.82088</w:t>
      </w:r>
    </w:p>
    <w:p>
      <w:r>
        <w:t>Original wording (abstract; indexed_source_text_not_full_document_verified): Therefore, it is important to explore different scenarios of how neo-carbon energy system can affect a society, businesses, individual’s lives and relationships.</w:t>
      </w:r>
    </w:p>
    <w:p>
      <w:r>
        <w:t>POSSIBLE 2026: Exploring learners — https://doi.org/10.4324/9781003588924-6</w:t>
      </w:r>
    </w:p>
    <w:p>
      <w:r>
        <w:t>Shared claim-specific concepts: therefore, important, explore; EU scope not established. This is a provisional connection, not an outcome finding.</w:t>
      </w:r>
    </w:p>
    <w:p>
      <w:r>
        <w:t>Available abstract (not full text): Exploring learners is very important and the foremost requirement of an effective teaching-learning process. As a beginner teacher, one needs to be aware that everything cannot be learned solely in the class. Therefore, exploring students gives an opportunity to see the real-life challenges in actual teaching-learning situations in the classrooms. For a trainee teacher, the focus should be to understand and experience the general pedagogical knowledge. This includes all aspects of the teaching-learning process such as rapport with the class, classroom management, instructional strategies, inclusive nature of the class, and assessment techniques. We humans are forever reflecting and making decisions, but as teachers when we explore learners, we tend to improve simultaneously as a teacher. This means that exploring learners is important not only during my period as a trainee teacher but also at every stage of my teaching career. We need to explore every learner in detail so that we can guide, teach and educate them to bring the best in them. This chapter deals with all these things including the naïve concept, how to negotiate and mediate learning in science and how to encourage learners for their best learning and development.</w:t>
      </w:r>
    </w:p>
    <w:p>
      <w:r>
        <w:t>POSSIBLE 2022: ‘Reflexology: Exploring the mechanism of action’ — https://doi.org/10.1016/j.ctcp.2022.101606</w:t>
      </w:r>
    </w:p>
    <w:p>
      <w:r>
        <w:t>Shared claim-specific concepts: therefore, important, individual; EU scope not established. This is a provisional connection, not an outcome finding.</w:t>
      </w:r>
    </w:p>
    <w:p>
      <w:r>
        <w:t>Available abstract (not full text): Reflexology is a complementary therapy focusing mainly on the application of pressure on the feet, hands and ears. A small but growing evidence base suggests that positive outcomes can be gained in the management and improvement of symptoms across a range of conditions. Biological plausibility is a key concept in the determination of the usefulness of therapies. Research which tests for safety and efficacy alongside the underpinning mechanism of action are therefore important. This paper explores the potential mechanism of action for the outcomes associated with reflexology treatment as reflected in the current evidence. The influences of therapeutic touch, relaxation, placebo effects and the similarities with other therapeutic methods of structural manipulation are considered. The lack of clarity around the precise definition of reflexology and the challenges of researching the therapy as a treatment tailored to individual need are discussed. A deeper understanding of the mechanism of action for reflexology may help to further develop research into safety and efficacy. Such an understanding may lead to the integration of knowledge which may provide both symptomatic support and longer term preventative health benefits.</w:t>
      </w:r>
    </w:p>
    <w:p>
      <w:r>
        <w:t>POSSIBLE 2022: Does Value Lead to Loyalty? Exploring the Important Role of the Tourist–Destination Relationship — https://doi.org/10.3390/bs12050136</w:t>
      </w:r>
    </w:p>
    <w:p>
      <w:r>
        <w:t>Shared claim-specific concepts: therefore, important, affect; EU scope not established. This is a provisional connection, not an outcome finding.</w:t>
      </w:r>
    </w:p>
    <w:p>
      <w:r>
        <w:t>Available abstract (not full text): The perceived value of a tourist's trip, representing a trade-off between costs and benefits of travelling to a destination, can exert a significant influence on tourists' loyalty, which is a main concern for managers of tourist destinations. However, the mechanism between the destination value and tourist loyalty remains unexplored, especially in the new context of relationship marketing. To advance the understanding of the mechanism, we introduced 3 variables of "tourist-destination relationship", namely place attachment (PA), destination trust (DT) and tourist satisfaction (TS), combined with perceived value (PV) and tourist loyalty (TL), and therefore constructed the conceptual model. Taking the Hangzhou City of China as an example, the conceptual model was fitted and tested using the structural equation model (SEM). The results show that: (1) PV can directly and positively affect TS and DT respectively, while there was no significant effect of PV on PA; (2) TS and DT can directly and positively influence TL, but the effect of PA on TL has not been supported empirically; (3) PV has a significant positive effect on TL; and (4) there are internal relationship among the 3 variables measuring the tourist-destination relationship, in other words, TS can significantly affects PA, DT respectively, and DT has a significant positive effect on PA. The findings of this study provide e</w:t>
      </w:r>
    </w:p>
    <w:p>
      <w:r>
        <w:t>POSSIBLE 2021: Exploring Sparsity in Image Super-Resolution for Efficient Inference — https://doi.org/10.1109/cvpr46437.2021.00488</w:t>
      </w:r>
    </w:p>
    <w:p>
      <w:r>
        <w:t>Shared claim-specific concepts: therefore, important, explore; EU scope not established. This is a provisional connection, not an outcome finding.</w:t>
      </w:r>
    </w:p>
    <w:p>
      <w:r>
        <w:t>Available abstract (not full text): Current CNN-based super-resolution (SR) methods process all locations equally with computational resources being uniformly assigned in space. However, since missing details in low-resolution (LR) images mainly exist in regions of edges and textures, less computational resources are required for those flat regions. Therefore, existing CNN-based methods involve redundant computation in flat regions, which increases their computational cost and limits their applications on mobile devices. In this paper, we explore the sparsity in image SR to improve inference efficiency of SR networks. Specifically, we develop a Sparse Mask SR (SMSR) network to learn sparse masks to prune redundant computation. Within our SMSR, spatial masks learn to identify "important" regions while channel masks learn to mark redundant channels in those "unimportant" regions. Consequently, redundant computation can be accurately localized and skipped while maintaining comparable performance. It is demonstrated that our SMSR achieves state-of-the-art performance with 41%/33%/27% FLOPs being reduced for ×2/3/4 SR. Code is available at: https://github.com/LongguangWang/SMSR.</w:t>
      </w:r>
    </w:p>
    <w:p>
      <w:r>
        <w:t>POSSIBLE 2021: Exploring Maieutic Instruction — https://doi.org/10.4018/978-1-7998-7172-9.ch006</w:t>
      </w:r>
    </w:p>
    <w:p>
      <w:r>
        <w:t>Shared claim-specific concepts: therefore, important, explore; EU scope not established. This is a provisional connection, not an outcome finding.</w:t>
      </w:r>
    </w:p>
    <w:p>
      <w:r>
        <w:t>Available abstract (not full text): General views of the Socratic Method consist of it being a dialectical exchange based on probing questions concerning a topic. While this definition may prove practical, it may not do justice to the broad nature and practice of the instructional strategy. It is, therefore, equally important to explore how maieutic questioning grounds the Socratic Method as a viable instructional strategy. By realizing the maieutic process as giving birth to discoveries, educationists and students are given a clearer framework in implementing the Socratic Method in educational experiences. In further elucidating this claim, this chapter first draws from the maieutic practice found in Plato's dialogues. Second, the chapter explores research on maieutic questioning in teaching and learning experiences. Lastly, a recognition of both Socrates' original maieutic practice and the modern conception of it are advanced as strategies educationists can implement in their courses.</w:t>
      </w:r>
    </w:p>
    <w:p>
      <w:r>
        <w:t>POSSIBLE 2020: Exploring the value of augmented reality for tourism — https://doi.org/10.1016/j.tmp.2020.100672</w:t>
      </w:r>
    </w:p>
    <w:p>
      <w:r>
        <w:t>Shared claim-specific concepts: therefore, important, explore, different; EU scope not established. This is a provisional connection, not an outcome finding.</w:t>
      </w:r>
    </w:p>
    <w:p>
      <w:r>
        <w:t>Available abstract (not full text): Augmented reality (AR) is increasingly used as a marketing, information and experience channel within the tourism industry. However, little is known with regards to the actual value of AR for the tourism industry, with most research still in its infancy. Therefore, the aim of this paper is to explore the perceived value of AR for the tourism industry from the perspective of tourism experts. Using a qualitative and exploratory approach, this study conducted fifteen interviews with tourism experts in order to explore tourism specific AR value dimensions. Interviews were analysed using thematic analysis. This study revealed five value dimensions including marketing, economic, tourist, epistemic and organisational. Commonalities and differences between different perspectives are discussed. These findings provide important implications for strategy development, AR implementation, and tourist experience design.</w:t>
      </w:r>
    </w:p>
    <w:p>
      <w:r>
        <w:t>POSSIBLE 2020: Exploring Children’s Views on Important Park Features: A Qualitative Study Using Walk-Along Interviews — https://doi.org/10.3390/ijerph17134625</w:t>
      </w:r>
    </w:p>
    <w:p>
      <w:r>
        <w:t>Shared claim-specific concepts: therefore, important, lives; EU scope not established. This is a provisional connection, not an outcome finding.</w:t>
      </w:r>
    </w:p>
    <w:p>
      <w:r>
        <w:t>Available abstract (not full text): Parks are places where children can interact with others and engage in physical activity in a natural setting. Park visits can enhance children’s social, mental, and physical health. It is therefore important to better understand how parks can be designed to ensure optimal use by children. This qualitative study explored children’s perceptions of park features that may influence their park visits, park-based physical activity, and social interaction. Qualitative walk-along interviews were completed with 30 children (mean age 9.7 years (SD 1.3), female n = 16) in nine parks located in varying socioeconomic areas of Melbourne, Australia. As they walked through the park, children shared thoughts regarding characteristics that may influence their visitation, park-based physical activity, and social interactions. Features that would encourage visitation included: challenging and interesting play equipment; a pond and water play area; trees/greenery and shade; and full-sized basketball courts. Features most valued for physical activity included: sports courts, ovals, and equipment; open space; trees to climb; and nature/rocks. Features most valued for social interaction included: a large size; playgrounds; and picnic areas. Children offer unique and important views. Park designers should consider inclusion of these features, when (re)developing parks to support children to lead healt</w:t>
      </w:r>
    </w:p>
    <w:p>
      <w:r>
        <w:t>POSSIBLE 2020: Exploring influential factors affecting guest satisfaction — https://doi.org/10.1108/jhtt-07-2018-0054</w:t>
      </w:r>
    </w:p>
    <w:p>
      <w:r>
        <w:t>Shared claim-specific concepts: therefore, important, explore, affect; EU scope not established. This is a provisional connection, not an outcome finding.</w:t>
      </w:r>
    </w:p>
    <w:p>
      <w:r>
        <w:t>Available abstract (not full text): Purpose Electronic word of mouth in the form of user-generated content (UGC) in social media plays an important role in influencing customer decision-making and enhancing service providers’ brand images, sales and service innovations. While few research studies have explored real content generated by hotel guests in social media, business analytics techniques are still not widely seen in the literature and how such techniques can be deployed to benefit hoteliers has not been fully explored. Thus, this study aims to explore the significant factors that affect hotel guest satisfaction via UGC and business analytics and also to showcase the use of business analytics tools for both the hospitality industry and the academic world. Design/methodology/approach This study uses big data and business analytics techniques. Big data and business analytics enable hoteliers to develop effective and efficient strategies improving products and services for guest satisfaction. Therefore, this study analyzes 200,431 hotel reviews on Tripadvisor.com through business analytics to explore and assess the significant factors affecting guest satisfaction. Findings The findings show that service, room and value evaluations are the top-three factors affecting overall guests’ satisfaction. While brand type and negative emotions are negatively associated with guests’ satisfaction, all other factors consid</w:t>
      </w:r>
    </w:p>
    <w:p>
      <w:r>
        <w:t>POSSIBLE 2018: Exploring Indigenous participation – why is it important? — https://doi.org/10.4324/9781351239820-2</w:t>
      </w:r>
    </w:p>
    <w:p>
      <w:r>
        <w:t>Shared claim-specific concepts: therefore, important, society; EU scope not established. This is a provisional connection, not an outcome finding.</w:t>
      </w:r>
    </w:p>
    <w:p>
      <w:r>
        <w:t>Available abstract (not full text): 9 It is uncontroversial that there is a wealth of valuable knowledge held by Indigenous people about natural resource management. As noted in the 1987 report of the World Commission on Environment and Development, Our Common Future : [Indigenous] communities are the repositories of vast accumulations of traditional knowledge and experience that links humanity with its ancient origins. Their disappearance is a loss for the larger society, which could learn a great deal from their traditional skills in sustainably managing very complex ecological systems. 1 More specific to water management, and in light of the case studies in this book, Australia’s National Water Commission acknowledged in 2012 that: Indigenous Australians have managed their lands and waters sustainably for thousands of generations. Through their spiritual, cultural and customary connections to the landscape, they have acquired a deep knowledge and understanding of Australia’s water systems. 2 Despite the devastating effects of colonisation, many Indigenous Australians still hold valuable knowledge of ecosystem management, 3 as do Indigenous people in other colonised countries. It is therefore vitally important that Indigenous people are able to maintain and use their knowledge by participating in water management decision-making processes.</w:t>
      </w:r>
    </w:p>
    <w:p>
      <w:r>
        <w:t>POSSIBLE 2017: Feature Extraction and K-means Clustering Approach to Explore Important Features of Urban Identity — https://doi.org/10.1109/icmla.2017.00015</w:t>
      </w:r>
    </w:p>
    <w:p>
      <w:r>
        <w:t>Shared claim-specific concepts: therefore, important, explore; EU scope not established. This is a provisional connection, not an outcome finding.</w:t>
      </w:r>
    </w:p>
    <w:p>
      <w:r>
        <w:t>Available abstract (not full text): Public spaces play an important role in the processes of formation, generation and change of urban identity. Under present day conditions, the identities of cities are rapidly deteriorating and vanishing. Therefore, the importance of urban design, which is a means of designing urban spaces and their physical and social aspects, is ever growing. This paper proposes a novel methodology by using Principle Component Analysis (PCA) and K-means clustering approach to find important features of the urban identity from public space. K. Lynch's work and Space Syntax theory are reconstructed and integrated with POI (Points of Interest) to quantify the quality of the public space. A case study of Zürich city is used to test of these redefinitions and features of urban identity. The results show that PCA and K-means clustering approach can identify the urban identity and explore important features. This strategy could help to improve planning and design processes and generation of new urban patterns with more appropriate features and qualities.</w:t>
      </w:r>
    </w:p>
    <w:p>
      <w:pPr>
        <w:pStyle w:val="Heading2"/>
      </w:pPr>
      <w:r>
        <w:t>Assessing the desirability and feasibility of scenarios on eco-efficient transport: a heuristic for efficient stakeholder involvement during foresight processes</w:t>
      </w:r>
    </w:p>
    <w:p>
      <w:r>
        <w:t>Original source (2016): https://doi.org/10.1108/fs-05-2014-0034</w:t>
      </w:r>
    </w:p>
    <w:p>
      <w:r>
        <w:t>Original wording (abstract; indexed_source_text_not_full_document_verified): Purpose – The purpose of this paper is to illustrate and discuss how stakeholder assessment of scenarios can be used to trigger a structured and, therefore, more efficient debate amongst stakeholders about future options for achieving a more eco-efficient transport system in Europe.</w:t>
      </w:r>
    </w:p>
    <w:p>
      <w:r>
        <w:t>POSSIBLE 2026: EDUCATION AND EUROPEAN INTEGRATION — https://doi.org/10.82444/warw.33551740</w:t>
      </w:r>
    </w:p>
    <w:p>
      <w:r>
        <w:t>Shared claim-specific concepts: purpose, illustrate, discuss, used; EU scope visible. This is a provisional connection, not an outcome finding.</w:t>
      </w:r>
    </w:p>
    <w:p>
      <w:r>
        <w:t>Available abstract (not full text): The main purpose of this article is to discuss the implications for education and training of the movement towards integration in Europe in the historic context of the creation of a single market within the European Community (EC) and the end of the Communist regimes in Central and Eastern Europe. The experience of the EC is used to illustrate trends and problems in the development of international cooperation in education and training. Common concerns and priorities throughout the new Europe are then identified and discussed. These include the pursuit of quality in schooling, efforts to serve the interests of disadvantaged learners, and the treatment of European Studies in the curriculum, including the improvement of the teaching of foreign languages.</w:t>
      </w:r>
    </w:p>
    <w:p>
      <w:r>
        <w:t>POSSIBLE 2020: Loess landscapes of Europe – Mapping, geomorphology, and zonal differentiation — https://doi.org/10.1016/j.earscirev.2020.103496</w:t>
      </w:r>
    </w:p>
    <w:p>
      <w:r>
        <w:t>Shared claim-specific concepts: discuss, used, therefore, transport; EU scope visible. This is a provisional connection, not an outcome finding.</w:t>
      </w:r>
    </w:p>
    <w:p>
      <w:r>
        <w:t>Available abstract (not full text):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r>
        <w:t>POSSIBLE 2020: Application of the World Café method to discuss the efficiency of African swine fever control strategies in European wild boar (Sus scrofa) populations — https://doi.org/10.1016/j.prevetmed.2020.105178</w:t>
      </w:r>
    </w:p>
    <w:p>
      <w:r>
        <w:t>Shared claim-specific concepts: discuss, stakeholder, efficient; EU scope visible. This is a provisional connection, not an outcome finding.</w:t>
      </w:r>
    </w:p>
    <w:p>
      <w:r>
        <w:t xml:space="preserve">Available abstract (not full text): In the current epidemic of African swine fever (ASF) in Europe, the maintenance and spread of the disease among wild boar populations remains the most important epidemiological challenge. Affected and at-risk countries have addressed this situation using a diversity of wild boar management methods with varying levels of success. The methods applied range from conventional animal disease intervention measures (zoning, stakeholder awareness campaigns, increased surveillance and biosecurity measures) to measures aimed at reducing wild boar population movements (fencing and baiting/feeding) or population numbers (intensive hunting). To assess the perceived efficiency and acceptance of such measures in the context of a focal introduction of ASF, the authors organised a participatory workshop inviting experts from the fields of wildlife management, wild boar ecology, sociology, epidemiology and animal disease management to discuss the advantages and disadvantages of various control approaches. The discussions between professionals from different countries took place using the World Café method. This paper documents the World Café method as a tool for increasing the level of participation in multi-stakeholder group discussions, and describes the outputs of the workshop pertaining to the control measures. In summary, the World Café method was perceived as an efficient tool for quickly </w:t>
      </w:r>
    </w:p>
    <w:p>
      <w:r>
        <w:t>POSSIBLE 2019: Plantation forests in Europe: challenges and opportunities — https://doi.org/10.36333/fs09</w:t>
      </w:r>
    </w:p>
    <w:p>
      <w:r>
        <w:t>Shared claim-specific concepts: stakeholder, therefore, about, options, achieving; EU scope visible. This is a provisional connection, not an outcome finding.</w:t>
      </w:r>
    </w:p>
    <w:p>
      <w:r>
        <w:t>Available abstract (not full text):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pPr>
        <w:pStyle w:val="Heading2"/>
      </w:pPr>
      <w:r>
        <w:t>Bioenergy futures in Sweden – Modeling integration scenarios for biofuel production</w:t>
      </w:r>
    </w:p>
    <w:p>
      <w:r>
        <w:t>Original source (2016): https://doi.org/10.1016/j.energy.2016.04.044</w:t>
      </w:r>
    </w:p>
    <w:p>
      <w:r>
        <w:t>Original wording (abstract; indexed_source_text_not_full_document_verified): However, even though biomass is a renewable resource, the potential is limited, and efficient use of available biomass resources will become increasingly important.</w:t>
      </w:r>
    </w:p>
    <w:p>
      <w:r>
        <w:t>POSSIBLE 2025: Increased Holocene Diversity in Europe Linked to Human‐Associated Vegetation Change — https://doi.org/10.1111/geb.70166</w:t>
      </w:r>
    </w:p>
    <w:p>
      <w:r>
        <w:t>Shared claim-specific concepts: however, though, use, increasingly; EU scope visible. This is a provisional connection, not an outcome finding.</w:t>
      </w:r>
    </w:p>
    <w:p>
      <w:r>
        <w:t>Available abstract (not full text): ABSTRACT Aim It is widely reported that aspects of present‐day global biodiversity are declining, with humans largely to blame. However—perhaps paradoxically—in Europe, floristic diversity and human populations have grown in tandem for millennia. Disturbance intensity and habitat heterogeneity potentially explain this phenomenon, though we lack understanding of how human land use intensity affected biodiversity at numerous spatial scales over the Holocene. Here, we examine the relationships between anthropogenic vegetation change and floristic diversity over the last 12 millennia in Europe, at multiple spatial scales. Location Europe. Time Period The Holocene (11,700–100 cal yr BP). Major Taxa Studied Plants. Methods We examined the spatio‐temporal dynamics of, and relationships between, floristic richness, evenness and compositional turnover with an index of anthropogenic vegetation change since 11,700 cal yr. BP, analysing 7853 pollen samples from 213 records (sites). We evaluated how changes to the proportional site occupancies of human‐associated and other taxa related to diversity patterns. Results (1) Floristic richness, evenness, and compositional turnover increased from 9000 years ago to 1850 CE. (2) Temporal increases in richness and evenness were positively associated with the anthropogenic vegetation index in the majority of vegetation zones and sites, whereas compos</w:t>
      </w:r>
    </w:p>
    <w:p>
      <w:r>
        <w:t>POSSIBLE 2024: Investigating the heterogeneity within Wild bird indices in Europe — https://doi.org/10.1016/j.biocon.2024.110452</w:t>
      </w:r>
    </w:p>
    <w:p>
      <w:r>
        <w:t>Shared claim-specific concepts: however, even, though, potential, important; EU scope visible. This is a provisional connection, not an outcome finding.</w:t>
      </w:r>
    </w:p>
    <w:p>
      <w:r>
        <w:t>Available abstract (not full text): Biodiversity decline is monitored through a multitude of proxies. One of the most common proxies are aggregate indices constructed from time-series of species. Because of their standardised construction and simplicity of interpretation, these indices are often used as official indicators for biodiversity monitoring. However, aggregate indices hide variability among species dynamics from which they are built. Understanding this diversity is essential to interpret indices and avoid missing particular subsets of species with strong dynamics or groups of species with opposing dynamics that may result in little change in the overall index. In this study, we analyse heterogeneity within the most widely used Wild bird indices in Europe, Farmland Bird Index (FaBI) and Forest Bird Index (FoBI) in 20 European countries between 2000 and 2017. We analyse potential heterogeneity in dynamics within FaBI and FoBI of each country. We show that there is structural heterogeneity in dynamics among species as well as clusters of species with differing dynamics co-existing within aggregated indices in most countries studied. This was the case for farmland birds, even though this group shows strong general declines across Europe, and for forest birds that have less coherent long-term dynamics. We further explored whether clusters may be distinctly linked to major ecological traits, habitat specialis</w:t>
      </w:r>
    </w:p>
    <w:p>
      <w:r>
        <w:t>POSSIBLE 2024: THE FAILURE OF EUROPEAN CONSTITUTION — https://doi.org/10.62792/ut.jus.v12.i21-22.p2754</w:t>
      </w:r>
    </w:p>
    <w:p>
      <w:r>
        <w:t>Shared claim-specific concepts: however, even, though; EU scope visible. This is a provisional connection, not an outcome finding.</w:t>
      </w:r>
    </w:p>
    <w:p>
      <w:r>
        <w:t>Available abstract (not full text): The debate about the failure of the European Constitution has tended to polarize many scholars regarding the reasons why the European Constitution failed. However, having looked backwards into history in order to receive a more general overview a remaining puzzle is still there. In constitutional scholarship many efforts have been spent in trying to detach the concept of constitution from the nation-state framework and put it into a transnational concept even though in legal and political rhetoric the constitution appears to be linked with the nation-state only. The process in establishing a constitution for Europe encountered a debacle when the Netherlands and France refused the proposal. Scholars have debated this issue more than enough but still many questions remain unanswered regarding the failure of the European Constitution. From the documents and articles consulted no single narrative fully explains the failure of the constitutional project that’s why the paper is striving to bridge this gap and give another perspective in this direction, even though there is an arsenal of reasons that explains the failure.</w:t>
      </w:r>
    </w:p>
    <w:p>
      <w:r>
        <w:t>POSSIBLE 2022: Assessment of the 2021 summer flood in Central Europe — https://doi.org/10.1186/s12302-022-00685-1</w:t>
      </w:r>
    </w:p>
    <w:p>
      <w:r>
        <w:t>Shared claim-specific concepts: however, even, though, become; EU scope visible. This is a provisional connection, not an outcome finding.</w:t>
      </w:r>
    </w:p>
    <w:p>
      <w:r>
        <w:t>Available abstract (not full text): Abstract The flood event in July 2021 in the uplands of the Eifel-Ardennes mountains in Germany, Belgium and The Netherlands and their foreland was caused by heavy rainfall and resulted in one of the largest flood disasters in Western Europe for decades. Due to climate change, it can be assumed that such events will become more frequent in future. Even though such extreme flood can happen at any time, the consequences and impacts can be significantly reduced by appropriate technical and non-technical measures. However, such measures always require a comprehensive understanding and knowledge of previous events and comparable processes. Therefore, this special issue aims at collecting the scientific evaluation and its implications of the 2021 extreme summer flood. This editorial serves as an introduction for an article collection published in the journal Environmental Sciences Europe, providing an overview of the current state of integrative assessment of the 2021 summer flood in Central Europe.</w:t>
      </w:r>
    </w:p>
    <w:p>
      <w:r>
        <w:t>POSSIBLE 2021: Malignant mesothelioma and asbestos exposure in Europe: Evidence of spatial clustering — https://doi.org/10.4081/gh.2021.951</w:t>
      </w:r>
    </w:p>
    <w:p>
      <w:r>
        <w:t>Shared claim-specific concepts: however, even, though, use; EU scope visible. This is a provisional connection, not an outcome finding.</w:t>
      </w:r>
    </w:p>
    <w:p>
      <w:r>
        <w:t xml:space="preserve">Available abstract (not full text): Exposure to asbestos causes a wide range of diseases, such as asbestosis, malignant mesothelioma (MM) and other types of cancer. Many European countries have reduced production and use of asbestos and some have banned it altogether. Based on data derived from the World Health Organisation (WHO) Cancer Mortality Database, we investigated whether some regions in Europe could have a higher relative risk of MM incidence than others. The data were compared, including the number of MM deaths per million inhabitants and aged-standardized mortality rates. Applying Moran's I and Getis-Ord Gi statistic on the agedstandardized mortality rates of MM cases assisted the spatial analysis of the occurrence of health events leading to an assessment of the heterogeneity of distribution and cluster detection of MM. We found a statistically significant positive autocorrelation for the male population and also the general population, while there was no statistically significant positive one for the female population. Hotspots of relative risk of developing MM were found in northwestern Europe. For the general population, Great Britain and the Netherlands stood out with high levels at the 99% and 95% confidence levels, respectively. For the male population, the results were similar, but with addition of risk also in Belgium and Switzerland. However, in many European countries with high asbestos use </w:t>
      </w:r>
    </w:p>
    <w:p>
      <w:r>
        <w:t>POSSIBLE 2021: The Expiry of Humira® Market Exclusivity and the Entry of Adalimumab Biosimilars in Europe: An Overview of Pricing and National Policy Measures — https://doi.org/10.3389/fphar.2020.591134</w:t>
      </w:r>
    </w:p>
    <w:p>
      <w:r>
        <w:t>Shared claim-specific concepts: however, even, though, use, available; EU scope visible. This is a provisional connection, not an outcome finding.</w:t>
      </w:r>
    </w:p>
    <w:p>
      <w:r>
        <w:t>Available abstract (not full text): Background: From October 2018, adalimumab biosimilars could enter the European market. However, in some countries, such as Netherlands, high discounts reported for the originator product may have influenced biosimilar entry. Objectives: The aim of this paper is to provide a European overview of (list) prices of originator adalimumab, before and after loss of exclusivity; to report changes in the reimbursement status of adalimumab products; and discuss relevant policy measures. Methods: Experts in European countries received a survey consisting of three parts: 1) general financing/co-payment of medicines, 2) reimbursement status and prices of originator adalimumab, and availability of biosimilars, and 3) policy measures related to the use of adalimumab. Results: In May 2019, adalimumab biosimilars were available in 24 of the 30 countries surveyed. Following introduction of adalimumab biosimilars, a number of countries have made changes in relation to the reimbursement status of adalimumab products. Originator adalimumab list prices varied between countries by a factor of 2.8 before and 4.1 after loss of exclusivity. Overall, list prices of originator adalimumab decreased after loss of exclusivity, although for 13 countries list prices were unchanged. When reported, discounts/rebates on originator adalimumab after loss of exclusivity ranged from 0% to approximately 26% (Romania),</w:t>
      </w:r>
    </w:p>
    <w:p>
      <w:r>
        <w:t>POSSIBLE 2021: Governing the European Intelligence: Multilateral Intelligence Cooperation in the European Union — https://doi.org/10.53451/ijps.900302</w:t>
      </w:r>
    </w:p>
    <w:p>
      <w:r>
        <w:t>Shared claim-specific concepts: however, even, though; EU scope visible. This is a provisional connection, not an outcome finding.</w:t>
      </w:r>
    </w:p>
    <w:p>
      <w:r>
        <w:t>Available abstract (not full text): Since intelligence is an essential part of national security, a high volume of cooperation in this area is not expected. An assessment of the literature shows that there are several obstacles to intelligence cooperation. More precisely, states are reluctant to involve in intelligence cooperation because of trust factors and other factors such as bureaucratic culture and resistance, regime type, lack of normative motivation and shared identities. Even if they are compelled to cooperate, they prefer bilateral intelligence cooperation. However, due to the globalization of national security threats in the last two decades, intelligence organizations are currently obliged to cooperate multilaterally even though they do not prefer to do so. Multilateral intelligence cooperation within the European Union is a unique example of relatively successful multilateral intelligence cooperation. On the one hand, official European intelligence agencies INTCEN and Europol provide the legal framework of intelligence cooperation among the Union. On the other hand, informal channels such as the Club of Berne are also proven useful for the EU’s intelligence cooperation. We argue that the relative success of European intelligence cooperation derives from at least three factors. These are institutionalized demand for intelligence governance, the delegated authority of the members of the EU’s (epistemi</w:t>
      </w:r>
    </w:p>
    <w:p>
      <w:r>
        <w:t>POSSIBLE 2020: Emergence and spread of a SARS-CoV-2 variant through Europe in the summer of 2020 — https://doi.org/10.1101/2020.10.25.20219063</w:t>
      </w:r>
    </w:p>
    <w:p>
      <w:r>
        <w:t>Shared claim-specific concepts: however, even, though, available, become; EU scope visible. This is a provisional connection, not an outcome finding.</w:t>
      </w:r>
    </w:p>
    <w:p>
      <w:r>
        <w:t>Available abstract (not full text):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r>
        <w:t>POSSIBLE 2020: A grid-based map for the Biogeographical Regions of Europe — https://doi.org/10.3897/bdj.8.e53720</w:t>
      </w:r>
    </w:p>
    <w:p>
      <w:r>
        <w:t>Shared claim-specific concepts: however, even, though; EU scope visible. This is a provisional connection, not an outcome finding.</w:t>
      </w:r>
    </w:p>
    <w:p>
      <w:r>
        <w:t>Available abstract (not full text): BACKGROUND: Biogeographical units are widely adopted in ecological research and nature conservation management, even though biogeographical regionalisation is still under scientific debate. The European Environment Agency provided an official map of the European Biogeographical Regions (EBRs), which contains the official boundaries used in the Habitats and Birds Directives. However, these boundaries bisect cells in the official EU 10 km × 10 km grid used for many purposes, including reporting species and habitat data, meaning that 6881 cells overlap two or more regions. Therefore, superimposing the EBRs vector map over the grid creates ambiguities in associating some cells with European Biogeographical Regions. NEW INFORMATION: To provide an operational tool to unambiguously define the boundaries of the eleven European Biogeographical Regions, we provide a specifically developed raster map of Grid-Based European Biogeographical Regions (GB-EBRs). In this new map, the borders of the EBRs are reshaped to coherently match the standard European 10 km × 10 km grid imposed for reporting tasks by Article 17 of the Habitats Directive and used for many other datasets. We assign each cell to the EBR with the largest area within the cell.</w:t>
      </w:r>
    </w:p>
    <w:p>
      <w:r>
        <w:t>POSSIBLE 2020: An assessment of attitudes towards plastics and bioplastics in Europe — https://doi.org/10.1016/j.scitotenv.2020.142732</w:t>
      </w:r>
    </w:p>
    <w:p>
      <w:r>
        <w:t>Shared claim-specific concepts: even, though, limited, use, become; EU scope visible. This is a provisional connection, not an outcome finding.</w:t>
      </w:r>
    </w:p>
    <w:p>
      <w:r>
        <w:t>Available abstract (not full text): Over the last 50 years, conventional fossil-based plastics have become an integral part of our everyday lives. Apart from their low production costs, this is due to a number of their unique properties, including durability, strength, lightness, electrical and thermal insulation, resistance to chemicals and corrosion. The production of plastics has increased from 1.5 million metric tons in 1950 to 359 million metric tons in 2018. Of this total, 61.8 million metric tons were produced in Europe. There are various problems associated with plastic use and disposal that pose a serious threat to both the physical environment and human health. Since public behaviour plays a key role when it comes to the use of plastic, this paper reports on a study that focused on an assessment of attitudes towards plastics and bioplastics in Europe. The results showed that packaging is the most frequent modality of plastic used among participants. In addition, majority of participants are aware that plastic waste can affect environment and human health and therefore segregate and properly dispose plastics. Also, even though most respondents were aware of the environmental problems related to plastic use and showed a positive inclination towards using bioplastic materials, their limited availability and lack of relevant information about bioplastics pose a problem for wider use. Departing from the assu</w:t>
      </w:r>
    </w:p>
    <w:p>
      <w:r>
        <w:t>POSSIBLE 2019: Long-term health impact assessment of total PM2.5 in Europe during the 1990–2015 period — https://doi.org/10.1016/j.aeaoa.2019.100032</w:t>
      </w:r>
    </w:p>
    <w:p>
      <w:r>
        <w:t>Shared claim-specific concepts: however, even, though, available; EU scope visible. This is a provisional connection, not an outcome finding.</w:t>
      </w:r>
    </w:p>
    <w:p>
      <w:r>
        <w:t>Available abstract (not full text): Several datasets of PM 2.5 concentrations over Europe during the 1990–2015 period, were used to calculate health impacts from chronic exposure to total particle matter below 2.5 μm (i.e. PM 2.5 ). The datasets used in the analysis include the European Topic Centre on Air Pollution and Climate Change Mitigation (ETC/ACM), the Copernicus Atmospheric Monitoring Service (CAMS), the Global Burden of Disease (GBD), the World Health Organization (WHO) as well as the EURODELTA-Trends (EDT) multi-model reanalysis developed specifically for Europe. The exposure to ambient PM 2.5 concentrations was calculated as population weighted annual average PM 2.5 concentrations by country. The calculated exposure to PM 2.5 was later used as input in the health impact assessment (HIA) Alpha-RiskPoll (ARP) tool to retrieve the total number of premature deaths. Our results indicate a substantial reduction in the number of premature deaths from PM 2.5 exposure in Europe over the 1990–2010 period, between nearly 30 and 50%. Putting all the data-sets together, even if they do not cover the whole period, a decrease of even around 60% is observed between 1990 and 2015. For the countries included in this study, the estimated number of premature deaths from PM 2.5 in 1990 was found to be around 960 000 (median of all the available datasets), whereas in 2015 it was found to be around 445 000. However, the var</w:t>
      </w:r>
    </w:p>
    <w:p>
      <w:r>
        <w:t>POSSIBLE 2018: Gender and opinion–policy congruence in Europe — https://doi.org/10.1017/s1755773918000140</w:t>
      </w:r>
    </w:p>
    <w:p>
      <w:r>
        <w:t>Shared claim-specific concepts: however, even, though, important; EU scope visible. This is a provisional connection, not an outcome finding.</w:t>
      </w:r>
    </w:p>
    <w:p>
      <w:r>
        <w:t>Available abstract (not full text): Does public policy in Europe reflect women’s preferences equally well as men’s? This study compares the opinions of women and men with concrete policy on a set of 20 issues across a diverse range of policy areas in 31 European countries. It shows that the majorities of men and women frequently prefer the same policy. However, when they disagree, men’s preferences are more likely to be represented. Neither the proportion of women in parliament nor the left–right orientation of the government explains variation in women’s policy representation. Instead, a higher number of parliamentary parties increase the likelihood that policy reflects women’s views. This effect does not seem to be driven by left-libertarian politics or Green parties, even though women’s stronger support for ‘new politics’ issues is an important source of disagreement between men and women.</w:t>
      </w:r>
    </w:p>
    <w:p>
      <w:pPr>
        <w:pStyle w:val="Heading2"/>
      </w:pPr>
      <w:r>
        <w:t>Changing knowledge, changing technology: implications for teacher education futures</w:t>
      </w:r>
    </w:p>
    <w:p>
      <w:r>
        <w:t>Original source (2016): https://doi.org/10.1080/02607476.2015.1125432</w:t>
      </w:r>
    </w:p>
    <w:p>
      <w:r>
        <w:t>Original wording (abstract; indexed_source_text_not_full_document_verified): Data from these interviews were analysed to stimulate the construction of four future teacher education scenarios.</w:t>
      </w:r>
    </w:p>
    <w:p>
      <w:r>
        <w:t>POSSIBLE 2026: Digital Story 2. Visual timeline creation as a reflexive practice - an experiential approach to designing interview guides and analysing multimedia data — https://doi.org/10.6084/m9.figshare.31353376</w:t>
      </w:r>
    </w:p>
    <w:p>
      <w:r>
        <w:t>Shared claim-specific concepts: data, interviews, analysed, four, teacher, education; EU scope not established. This is a provisional connection, not an outcome finding.</w:t>
      </w:r>
    </w:p>
    <w:p>
      <w:r>
        <w:t>Available abstract (not full text): This digital story was published as part of an Environmental Education Research journal article titled: Co-developing professional learning practices in support of a whole school approach to sustainability-oriented education. This digital story illustrates how the creation of visual timelines (representing individual and collective professional learning journeys) became a key analysis stage in the study and were used as visual interview guides in interviews with teacher participants that took place post continuing professional development.Article AbstractThis multimedia article explores a Norwegian Continuing Professional Development (CPD) programme co-developing professional learning practices concerning a Whole School Approach (WSA) to sustainability-oriented education. Eleven teachers from four upper-secondary schools participated as co-developers in a year-long CPD and research combined programme, which also involved multiple school leaders, university-based educators, and researchers. Conventional CPD and data collection methods, including interviews, questionnaires, academic lectures, and research-informed activities, were combined with experiential approaches and the introduction of participatory methods such as photo-elicitation, world café events, and arts-based activities. Multiple data sources were gathered and analysed through iterative phases of CPD design, enactme</w:t>
      </w:r>
    </w:p>
    <w:p>
      <w:r>
        <w:t>POSSIBLE 2025: WORKWELL process evaluation: qualitative data analyses of the participant interviews at 12- and 36-month follow-ups — https://doi.org/10.1093/rap/rkaf034</w:t>
      </w:r>
    </w:p>
    <w:p>
      <w:r>
        <w:t>Shared claim-specific concepts: data, interviews, four; EU scope not established. This is a provisional connection, not an outcome finding.</w:t>
      </w:r>
    </w:p>
    <w:p>
      <w:r>
        <w:t>Available abstract (not full text): Objectives: This study aimed to qualitatively examine the delivery of the WORKWELL trial, a job retention vocational rehabilitation (JRVR) programme designed to help individuals with inflammatory arthritis (IA) maintain employment. A qualitative process evaluation used the Normalization Process Theory (NPT) to understand participant experiences and identify factors influencing implementation and outcomes. Methods: Data were collected via one-to-one telephone interviews with trial participants at 12 and 36 months. An inductive reflexive thematic analysis was followed by a deductive analysis based on NPT's four constructs (coherence, cognitive participation, collective action and reflexive monitoring). Results: Sixty-two participants (mean age 51.0; 82.3% female) were interviewed, most diagnosed with RA (75.8%). Four secondary themes were generated under NPT constructs. For 'Coherence', themes included 'Exploring the Purpose and Impact of Taking Part in WORKWELL' and 'Questionnaires as Instrument for Reflection'. In 'Cognitive Participation', the theme was 'Commitment and Investment to WORKWELL'. For 'Collective Action', we identified 'Key Actions for Successful WORKWELL', and under 'Reflexive Monitoring', the theme was 'Suggestions for Improving WORKWELL'. These themes reflected participants' mixed feelings about the intervention, finding value in the intervention but highlighti</w:t>
      </w:r>
    </w:p>
    <w:p>
      <w:r>
        <w:t>POSSIBLE 2024: Experience in applying large language models to analyse sociological data obtained as a result of interviews on students’ perception of entrepreneurial activity — https://doi.org/10.26425/2658-347x-2024-7-3-4-14</w:t>
      </w:r>
    </w:p>
    <w:p>
      <w:r>
        <w:t>Shared claim-specific concepts: data, interviews, construction; EU scope not established. This is a provisional connection, not an outcome finding.</w:t>
      </w:r>
    </w:p>
    <w:p>
      <w:r>
        <w:t xml:space="preserve">Available abstract (not full text): Modern society is experiencing a digital transformation of various spheres associated with the development of artificial intelligence and big data. The introduction of large language models (hereinafter referred to as LLM) into scientific research opens new opportunities, but also raises a number of questions, which makes it relevant to study the peculiarities of their application for qualitative data analysis in sociology. The purpose of this article is to explore how LLM can influence the methodology and practice of sociological research, and to identify the advantages and disadvantages of their application. The authors rely on the use of the Calude-3 LLM to qualitatively analyse empirical data from a sociological study of students’ perception of ­entrepreneurship. The possibilities of LLM in the analysis of qualitative data are revealed: analysis of sentiment, construction of logical conclusions, classification, clustering, and formation of typologies. The advantages of using LLM are shown: increased data processing speed, saving time and resources. The application of LLM becomes a tool to optimise the research process in sociology, allowing to deepen the analysis of qualitative data, but it also has a number of limitations: social and political bias, difficulties with hallucinations. It is necessary to increase the transparency of models, improve their interpretability and </w:t>
      </w:r>
    </w:p>
    <w:p>
      <w:r>
        <w:t>POSSIBLE 2020: Analysed data from interviews on FAIR-enabling services — https://doi.org/10.5281/zenodo.4293787</w:t>
      </w:r>
    </w:p>
    <w:p>
      <w:r>
        <w:t>Shared claim-specific concepts: data, interviews, analysed; EU scope not established. This is a provisional connection, not an outcome finding.</w:t>
      </w:r>
    </w:p>
    <w:p>
      <w:r>
        <w:t>Available abstract (not full text): Within FAIRsFAIR task 2.4, we carried out five semi-structured interviews with data service owners to understand how services currently support the FAIR principles, what are transferable insights and recommendations, and what are common challenges and pitfalls. This document collects the insights captured from the interviews. This work has been used as input for the basic framework on FAIRness of services developed by FAIRsFAIR task 2.4 (see https://doi.org/10.5281/zenodo.4292599).</w:t>
      </w:r>
    </w:p>
    <w:p>
      <w:r>
        <w:t>POSSIBLE 2017: Exploring Determinants of Patient Adherence to a Portal-Supported Oncology Rehabilitation Program: Interview and Data Log Analyses — https://doi.org/10.2196/rehab.6294</w:t>
      </w:r>
    </w:p>
    <w:p>
      <w:r>
        <w:t>Shared claim-specific concepts: data, interviews, stimulate; EU scope not established. This is a provisional connection, not an outcome finding.</w:t>
      </w:r>
    </w:p>
    <w:p>
      <w:r>
        <w:t xml:space="preserve">Available abstract (not full text): BACKGROUND: Telemedicine applications often do not live up to their expectations and often fail once they have reached the operational phase. OBJECTIVE: The objective of this study was to explore the determinants of patient adherence to a blended care rehabilitation program, which includes a Web portal, from a patient's perspective. METHODS: Patients were enrolled in a 12-week oncology rehabilitation treatment supported by a Web portal that was developed in cooperation with patients and care professionals. Semistructured interviews were used to analyze thought processes and behavior concerning patient adherence and portal use. Interviews were conducted with patients close to the start and the end of the treatment. Besides, usage data from the portal were analyzed to gain insights into actual usage of the portal. RESULTS: A total of 12 patients participated in the first interview, whereas 10 participated in the second round of interviews. Furthermore, portal usage of 31 patients was monitored. On average, 11 persons used the portal each week, with a maximum of 20 in the seventh week and a drop toward just one person in the weeks in the follow-up period of the treatment. From the interviews, it was derived that patients' behavior in the treatment and use of the portal was primarily determined by extrinsic motivation cues (eg, stimulation by care professionals and patient group), </w:t>
      </w:r>
    </w:p>
    <w:p>
      <w:pPr>
        <w:pStyle w:val="Heading2"/>
      </w:pPr>
      <w:r>
        <w:t>Consistent economic cross-sectoral climate change impact scenario analysis: Method and application to Austria</w:t>
      </w:r>
    </w:p>
    <w:p>
      <w:r>
        <w:t>Original source (2016): https://doi.org/10.1016/j.cliser.2016.02.003</w:t>
      </w:r>
    </w:p>
    <w:p>
      <w:r>
        <w:t>Original wording (abstract; indexed_source_text_not_full_document_verified): Thus, we develop here an approach which applies climate and socioeconomic scenario analysis, harmonized economic costing, and sector explicit bandwidth analysis in a coupled framework of eleven (bio)physical impact assessment models and a uniform multi-sectoral computable general equilibrium model.</w:t>
      </w:r>
    </w:p>
    <w:p>
      <w:r>
        <w:t>POSSIBLE 2024: Climate resilience of European wine regions — https://doi.org/10.1038/s41467-024-50549-w</w:t>
      </w:r>
    </w:p>
    <w:p>
      <w:r>
        <w:t>Shared claim-specific concepts: thus, here, climate, socioeconomic, sector, assessment; EU scope visible. This is a provisional connection, not an outcome finding.</w:t>
      </w:r>
    </w:p>
    <w:p>
      <w:r>
        <w:t>Available abstract (not full text): Over centuries, European vintners have developed a profound knowledge about grapes, environment, and techniques that yield the most distinguishable wines. In many regions, this knowledge is reflected in the system of wine geographical indications (GI), but climate change is challenging this historical union. Here, we present a climate change vulnerability assessment of 1085 wine GIs across Europe and propose climate-resilient development pathways using an ensemble of biophysical and socioeconomic indicators. Results indicate that wine regions in Southern Europe are among the most vulnerable, with high levels also found in Eastern Europe. Vulnerability is influenced by the rigidity of the GI system, which restricts grape variety diversity and thus contributes to an increased sensitivity to climate change. Contextual deficiencies, such as limited socioeconomic resources, may further contribute to increased vulnerability. Building a climate-resilient wine sector will require rethinking the GI system by allowing innovation to compensate for the negative effects of climate change.</w:t>
      </w:r>
    </w:p>
    <w:p>
      <w:r>
        <w:t>POSSIBLE 2023: The first map of crop sequence types in Europe over 2012–2018 — https://doi.org/10.5194/essd-15-5651-2023</w:t>
      </w:r>
    </w:p>
    <w:p>
      <w:r>
        <w:t>Shared claim-specific concepts: thus, here, approach; EU scope visible. This is a provisional connection, not an outcome finding.</w:t>
      </w:r>
    </w:p>
    <w:p>
      <w:r>
        <w:t xml:space="preserve">Available abstract (not full text): Abstract. Crop diversification is considered a key element of agroecological transition, whereas current dominant cropping systems are known to rely on only a few crop species – like cereals in Europe. To assess the benefits of crop diversification at a large scale, an accurate description of current crop sequences is required as a baseline. However, such a description is lacking at the scale of Europe. Here, we developed the first map of dominant crop sequences in Europe for the period 2012–2018. We used the Land Use Cover Area frame statistical Survey (LUCAS) dataset that provides temporally incomplete (2012, 2015 and 2018) land cover information from a stable grid of points covering Europe. Eight crop sequence types were identified using hierarchical clustering implemented on LUCAS data and mapped over Europe. We show, in France, that the relative importance of these eight crop sequence types (as estimated from LUCAS data) was highly consistent with those derived from an almost spatially exhaustive temporally complete national dataset (the French Land Parcel Identification System) for the same period, thus validating the method and typology for this country. Land use (i.e. crop production area) derived from our map of dominant crop sequences was also highly consistent with land use reported by official statistics at both national and European levels, validating the approach </w:t>
      </w:r>
    </w:p>
    <w:p>
      <w:r>
        <w:t>POSSIBLE 2022: Developing context-specific frameworks for integrated sustainability assessment of agricultural intensity change: An application for Europe — https://doi.org/10.1016/j.envsci.2022.08.014</w:t>
      </w:r>
    </w:p>
    <w:p>
      <w:r>
        <w:t>Shared claim-specific concepts: thus, approach, framework, assessment, general; EU scope visible. This is a provisional connection, not an outcome finding.</w:t>
      </w:r>
    </w:p>
    <w:p>
      <w:r>
        <w:t>Available abstract (not full text): Agriculture plays a central role in achieving most Sustainable Development Goals (SDGs). Sustainable intensification (SI) of agriculture has been proposed as a promising concept for safeguarding global food security, while simultaneously protecting the environment and promoting good quality of life. However, SI often leads to context-specific sustainability trade-offs. Operationalising SI thus needs to be supported by transparent sustainability assessments. In this article, we propose a general systematic approach to developing context-specific frameworks for integrated sustainability assessment of agricultural intensity change. Firstly, we specify a comprehensive system representation for analysing how changes in agricultural intensity lead to a multitude of sustainability outcomes affecting different societal groups across geographical scales. We then introduce a procedure for identifying the attributes that are relevant for assessment within particular contexts, and respective indicator metrics. Finally, we illustrate the proposed approach by developing an assessment framework for evaluating a wide range of intensification pathways in Europe. The application of the approach revealed processes and effects that are relevant for the European context but are rarely considered in SI assessments. These include farmers’ health, workers’ living conditions, cultural heritage and sens</w:t>
      </w:r>
    </w:p>
    <w:p>
      <w:r>
        <w:t>POSSIBLE 2021: Gastrointestinal cancers in China, the USA, and Europe — https://doi.org/10.1093/gastro/goab010</w:t>
      </w:r>
    </w:p>
    <w:p>
      <w:r>
        <w:t>Shared claim-specific concepts: thus, here; EU scope visible. This is a provisional connection, not an outcome finding.</w:t>
      </w:r>
    </w:p>
    <w:p>
      <w:r>
        <w:t>Available abstract (not full text): Gastrointestinal (GI) cancers, including colorectal cancer, gastric cancer, and esophageal cancer, are a major medical and economic burden worldwide and have the largest number of new cancer cases and cancer deaths each year. Esophageal and gastric cancers are most common in developing countries, while colorectal cancer forms the major GI malignancy in Western countries. However, a great shift in the predominant GI-cancer type is happening in countries under economically transitioning and, at the same time, esophageal and gastric cancers are reigniting in Western countries due to the higher exposure to certain risk factors. The development of all GI cancers is highly associated with lifestyle habits and all can be detected by identified precancerous diseases. Thus, they are all suitable for cancer screening. Here, we review the epidemiological status of GI cancers in China, the USA, and Europe; the major risk factors and their distribution in these regions; and the current screening strategies.</w:t>
      </w:r>
    </w:p>
    <w:p>
      <w:r>
        <w:t>POSSIBLE 2021: Current and projected regional economic impacts of heatwaves in Europe — https://doi.org/10.1038/s41467-021-26050-z</w:t>
      </w:r>
    </w:p>
    <w:p>
      <w:r>
        <w:t>Shared claim-specific concepts: thus, here; EU scope visible. This is a provisional connection, not an outcome finding.</w:t>
      </w:r>
    </w:p>
    <w:p>
      <w:r>
        <w:t>Available abstract (not full text):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r>
        <w:t>POSSIBLE 2020: Emergence and spread of a SARS-CoV-2 variant through Europe in the summer of 2020 — https://doi.org/10.1101/2020.10.25.20219063</w:t>
      </w:r>
    </w:p>
    <w:p>
      <w:r>
        <w:t>Shared claim-specific concepts: thus, develop, here; EU scope visible. This is a provisional connection, not an outcome finding.</w:t>
      </w:r>
    </w:p>
    <w:p>
      <w:r>
        <w:t>Available abstract (not full text): Following its emergence in late 2019, severe acute respiratory syndrome coronavirus 2 (SARS-CoV-2) has caused a global pandemic resulting in unprecedented efforts to reduce transmission and develop therapies and vaccines (WHO Emergency Committee, 2020; Zhu et al., 2020). Rapidly generated viral genome sequences have allowed the spread of the virus to be tracked via phylogenetic analysis (Worobey et al., 2020; Hadfield et al., 2018; Pybus et al., 2020). While the virus spread globally in early 2020 before borders closed, intercontinental travel has since been greatly reduced, allowing continent-specific variants to emerge. However, within Europe travel resumed in the summer of 2020, and the impact of this travel on the epidemic is not well understood. Here we report on a novel SARS-CoV-2 variant, 20E (EU1), that emerged in Spain in early summer, and subsequently spread to multiple locations in Europe. We find no evidence of increased transmissibility of this variant, but instead demonstrate how rising incidence in Spain, resumption of travel across Europe, and lack of effective screening and containment may explain the variant’s success. Despite travel restrictions and quarantine requirements, we estimate 20E (EU1) was introduced hundreds of times to countries across Europe by summertime travellers, likely undermining local efforts to keep SARS-CoV-2 cases low. Our results demon</w:t>
      </w:r>
    </w:p>
    <w:p>
      <w:r>
        <w:t>POSSIBLE 2019: Seeds of good anthropocenes: developing sustainability scenarios for Northern Europe — https://doi.org/10.1007/s11625-019-00714-8</w:t>
      </w:r>
    </w:p>
    <w:p>
      <w:r>
        <w:t>Shared claim-specific concepts: thus, here, approach; EU scope visible. This is a provisional connection, not an outcome finding.</w:t>
      </w:r>
    </w:p>
    <w:p>
      <w:r>
        <w:t>Available abstract (not full text): Scenario development helps people think about a broad variety of possible futures; however, the global environmental change community has thus far developed few positive scenarios for the future of the planet and humanity. Those that have been developed tend to focus on the role of a few common, large-scale external drivers, such as technology or environmental policy, even though pathways of positive change are often driven by surprising or bottom-up initiatives that most scenarios assume are unchanging. We describe an approach, pioneered in Southern Africa and tested here in a new context in Northern Europe, to developing scenarios using existing bottom-up transformative initiatives to examine plausible transitions towards positive, sustainable futures. By starting from existing, but marginal initiatives, as well as current trends, we were able to identify system characteristics that may play a key role in sustainability transitions (e.g., gender issues, inequity, governance, behavioral change) that are currently under-explored in global environmental scenarios. We suggest that this approach could be applied in other places to experiment further with the methodology and its potential applications, and to explore what transitions to desirables futures might be like in different places.</w:t>
      </w:r>
    </w:p>
    <w:p>
      <w:r>
        <w:t>POSSIBLE 2019: Building national emission inventories of toxic pollutants in Europe — https://doi.org/10.1016/j.envint.2019.03.077</w:t>
      </w:r>
    </w:p>
    <w:p>
      <w:r>
        <w:t>Shared claim-specific concepts: thus, here, harmonized, coupled, assessment; EU scope visible. This is a provisional connection, not an outcome finding.</w:t>
      </w:r>
    </w:p>
    <w:p>
      <w:r>
        <w:t>Available abstract (not full text): The reduction of chemical pollution is a priority in many regional, national, and international policies, including in EU countries. To effectively do so, quantified overviews of pollutant emissions at national levels and with some granularity in their sources, are required. However, current monitoring efforts are often scattered and a quantitative and comprehensive inventory of toxic emissions in Europe is lacking. Toxic pollutants stem from a large variety of emission sources from industry, agriculture, households, etc. and the difficulty to cover all of them is manifest in public databases and official reports, where data gaps across countries and years exist for several substances. Here, we propose a methodology to tackle this problem and build comprehensive and harmonized national inventories of toxic pollutants. Using public databases, official reports, scientific literature and developing extrapolation techniques specific to each emission source, we derived harmonized annual inventories of toxic pollutants in all EU Member States over the years 2000-2014. They present an unprecedented coverage of 805, 572, and 468 substances emitted to air, water and soil, respectively. Although the resulting dataset shows a relatively good agreement with previous inventories of narrower scopes, uncertainties can be identified for specific emission sources and in the development of extra</w:t>
      </w:r>
    </w:p>
    <w:p>
      <w:r>
        <w:t>POSSIBLE 2018: Drivers of Irrational Use of Antibiotics in Europe — https://doi.org/10.3390/ijerph16010027</w:t>
      </w:r>
    </w:p>
    <w:p>
      <w:r>
        <w:t>Shared claim-specific concepts: here, general; EU scope visible. This is a provisional connection, not an outcome finding.</w:t>
      </w:r>
    </w:p>
    <w:p>
      <w:r>
        <w:t>Available abstract (not full text):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r>
        <w:t>POSSIBLE 2017: The need for harmonisation and innovation of neuropsychological assessment in neurodegenerative dementias in Europe: consensus document of the Joint Program for Neurodegenerative Diseases Working Group — https://doi.org/10.1186/s13195-017-0254-x</w:t>
      </w:r>
    </w:p>
    <w:p>
      <w:r>
        <w:t>Shared claim-specific concepts: thus, here, framework, assessment, general; EU scope visible. This is a provisional connection, not an outcome finding.</w:t>
      </w:r>
    </w:p>
    <w:p>
      <w:r>
        <w:t>Available abstract (not full text): Cognitive, behavioural, and functional assessment is crucial in longitudinal studies of neurodegenerative dementias (NDD). Central issues, such as the definition of the study population (asymptomatic, at risk, or individuals with dementia), the detection of change/decline, and the assessment of relevant outcomes depend on quantitative measures of cognitive, behavioural, and functional status.Currently, we are far from having available reliable protocols and tools for the assessment of dementias in Europe. The main problems are the heterogeneity of the tools used across different European countries, the lack of standardisation of administration and scoring methods across centres, and the limited information available about the psychometric properties of many tests currently in widespread use. This situation makes it hard to compare results across studies carried out in different centres, thus hampering research progress, in particular towards the contribution to a "big data" common data set.We present here the results of a project funded by the Joint Program for Neurodegenerative Diseases (JPND) and by the Italian Ministry of Health. The project aimed at providing a consensus framework for the harmonisation of assessment tools to be applied to research in neurodegenerative disorders affecting cognition across Europe. A panel of European experts reviewed the current methods of ne</w:t>
      </w:r>
    </w:p>
    <w:p>
      <w:r>
        <w:t>POSSIBLE 2017: Escalating impacts of climate extremes on critical infrastructures in Europe — https://doi.org/10.1016/j.gloenvcha.2017.11.007</w:t>
      </w:r>
    </w:p>
    <w:p>
      <w:r>
        <w:t>Shared claim-specific concepts: develop, here, climate, framework, physical; EU scope visible. This is a provisional connection, not an outcome finding.</w:t>
      </w:r>
    </w:p>
    <w:p>
      <w:r>
        <w:t>Available abstract (not full text):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pStyle w:val="Heading2"/>
      </w:pPr>
      <w:r>
        <w:t>Decarbonizing the EU energy system by 2050: an important role for BECCS</w:t>
      </w:r>
    </w:p>
    <w:p>
      <w:r>
        <w:t>Original source (2016): https://doi.org/10.1080/14693062.2016.1242058</w:t>
      </w:r>
    </w:p>
    <w:p>
      <w:r>
        <w:t>Original wording (abstract; indexed_source_text_not_full_document_verified): The key conclusions are as follows: (a) the achievement of negative emissions in the power sector via the use of biomass with carbon capture and storage (BECCS) allows for much more limited decarbonization in the buildings and transport sectors; (b) CCS is also extensively used for decarbonization of the industrial sector; (c) because of the absence in the model of options for transport mode-switching and building fabric efficiency improvements, the transport and buildings sectors achieve relatively little abatement by 2050 – the inclusion of these options could considerably reduce the need for BECCS and the cost of abatement; (d) decarbonization of the EU’s energy system by 2050 would increase energy system costs by 14% compared to a Reference scenario with no CO2 constraints; and (e) average EU-wide marginal CO2 abatement costs in Policy Success reach $300/tCO2 in 2050.</w:t>
      </w:r>
    </w:p>
    <w:p>
      <w:r>
        <w:t>POSSIBLE 2025: Cancer burden in Europe: a systematic analysis of the GLOBOCAN database (2022) — https://doi.org/10.1186/s12885-025-13862-1</w:t>
      </w:r>
    </w:p>
    <w:p>
      <w:r>
        <w:t>Shared claim-specific concepts: key, conclusions, limited, also; EU scope visible. This is a provisional connection, not an outcome finding.</w:t>
      </w:r>
    </w:p>
    <w:p>
      <w:r>
        <w:t xml:space="preserve">Available abstract (not full text): BACKGROUND: Cancer remains a significant public health challenge in Europe, with substantial regional disparities in incidence, mortality, and access to healthcare. This study analyses cancer patterns across Eastern, Northern, Southern, and Western Europe in 2022, highlighting key public health implications and gaps in prevention and treatment. METHODS: Using data from GLOBOCAN 2022, this study assessed total new cancer cases, age-standardized incidence and mortality rates (ASRs) per 100,000, and cumulative cancer risk at age 75. The top three cancers by sex and region were also analysed to identify trends and disparities. RESULTS: In 2022, Europe recorded 4,471,422 new cancer cases (ASR 280 per 100,000), with a cumulative risk of 27.9% by age 75. Males accounted for 2,359,303 cases (ASR 319.6, cumulative risk 31.9%), while females had 2,112,119 cases (ASR 253.4, cumulative risk 24.7%). Northern and Western Europe had the highest incidence rates, with Denmark leading at 374.7 per 100,000 (cumulative risk 34.9%), likely due to advanced screening and healthcare. Conversely, Eastern Europe had the highest mortality, with 1,091,871 deaths (ASR 135.3), reflecting late diagnoses and limited access of treatment. Hungary exhibited the highest mortality rate (ASR 143.7, cumulative risk 15.8%), followed by Poland (ASR 133.1). Prostate and breast cancers were the most common in males and </w:t>
      </w:r>
    </w:p>
    <w:p>
      <w:r>
        <w:t>POSSIBLE 2025: Conclusions on Land Policies in Europe — https://doi.org/10.1007/978-3-031-83725-8_17</w:t>
      </w:r>
    </w:p>
    <w:p>
      <w:r>
        <w:t>Shared claim-specific concepts: key, conclusions, sector, use; EU scope visible. This is a provisional connection, not an outcome finding.</w:t>
      </w:r>
    </w:p>
    <w:p>
      <w:r>
        <w:t>Available abstract (not full text): Abstract This concluding chapter presents four main conclusions based on the 12 cases and the reflections on land policy in European countries (AT, BE, CH, CZ, DE, ENG, FI, FR, NL, NO, PL, SE): Although land policy closely relates to spatial planning, it differs in two dimensions: (1) in its allocative and distributive perspective and (2) at strategic and operational levels of public policy. Based on this distinction four elements of land policy emerge: land use policy, land use planning, land tenure policy, and land management. Land policies comprise intentional decisions or activities led by public actors, sometimes with private sector cooperation. Land policy strategies stem from different interpretations of landowners’ roles, which are often more decisive than specific instruments. Public actors conceptualise the relationship between property rights and land policy: To one end, landowners are key stakeholders; at the other end, they are partners in spatial projects. The chapter concludes that the international comparative analysis can deepen the understanding of land-use planning, property rights, and spatial development.</w:t>
      </w:r>
    </w:p>
    <w:p>
      <w:r>
        <w:t>POSSIBLE 2025: Key elements of follow-up care after acute pulmonary embolism focusing on long-term sequelae: a Delphi study among European experts — https://doi.org/10.1093/ehjqcco/qcaf053</w:t>
      </w:r>
    </w:p>
    <w:p>
      <w:r>
        <w:t>Shared claim-specific concepts: key, limited, also; EU scope visible. This is a provisional connection, not an outcome finding.</w:t>
      </w:r>
    </w:p>
    <w:p>
      <w:r>
        <w:t>Available abstract (not full text): AIMS: A considerable proportion of patients develop long-term sequelae after an acute pulmonary embolism (PE). Beyond chronic thrombo-embolic pulmonary hypertension (CTEPH), current guidelines provide limited guidance regarding a structured approach for assessment and management of these patients. This study aimed to establish a framework of multidisciplinary follow-up care of PE-survivors. METHODS AND RESULTS: A Delphi study was conducted among a multidisciplinary panel of PE specialists from across Europe to gather expert opinions, and where possible reach consensus, on key aspects of PE follow-up care. Two rounds of surveys were distributed among 45 venous thromboembolism (VTE) experts, with 39 completing both rounds. Consensus was reached that follow-up of PE survivors should address the entire spectrum of post-PE sequelae, i.e. CTEPH, chronic thromboembolic pulmonary disease, but also all other presentations of the post-PE syndrome. Routine assessment at 3 months should involve patient-reported outcome measures, including quality of life. A single, uniform protocol was preferred over locally adapted approaches. Earlier follow-up, prior to the 3-month mark, to detect post-PE sequelae was not considered necessary for most patient subgroups. Right heart catheterization to confirm CTEPH should be reserved for specialized pulmonary hypertension centres, while other diagnostic m</w:t>
      </w:r>
    </w:p>
    <w:p>
      <w:r>
        <w:t>POSSIBLE 2022: Key factors for successful uptake of biosimilars: Europe and the US — https://doi.org/10.5639/gabij.2022.1103.018</w:t>
      </w:r>
    </w:p>
    <w:p>
      <w:r>
        <w:t>Shared claim-specific concepts: key, via, also; EU scope visible. This is a provisional connection, not an outcome finding.</w:t>
      </w:r>
    </w:p>
    <w:p>
      <w:r>
        <w:t>Available abstract (not full text): Introduction: Biosimilars were first introduced in Europe in 2006 and then in the US in 2015. An online webinar on the successful uptake in Europe and the US was held to discuss measures taken for improving biosimilar uptake, and trends in uptake. Methods: The webinar was held by the Alliance for Safe Biologic Medicines (ASBM) in collaboration with Generics and Biosimilars Initiative (GaBI) on 29 June 2022. It consisted of a number of expert speaker presentations followed by a Q&amp;A with the panel and the audience also had the opportunity to ask questions online throughout the webinar. Results: Presentations discussed key elements contributing to the wide uptake of biosimilars in Europe and the US and physicians’ trust in prescribing and switching of biosimilars. Further details of the presentations were discussed during the Q&amp;A and clarifications made via the concurrent online Q&amp;A. Conclusion: The webinar enabled in-depth discussion of the current status of biosimilar adoption in Europe and the US. It was highlighted that, although the US adopted biosimilars at a later date, their uptake is starting to rival that of Europe. Aspects of forced switching policies in Canada and Australia were also discussed.</w:t>
      </w:r>
    </w:p>
    <w:p>
      <w:r>
        <w:t>POSSIBLE 2020: Congenital Hypothyroidism: A 2020–2021 Consensus Guidelines Update—An ENDO-European Reference Network Initiative Endorsed by the European Society for Pediatric Endocrinology and the European Society for Endocrinology — https://doi.org/10.1089/thy.2020.0333</w:t>
      </w:r>
    </w:p>
    <w:p>
      <w:r>
        <w:t>Shared claim-specific concepts: key, conclusions, also; EU scope visible. This is a provisional connection, not an outcome finding.</w:t>
      </w:r>
    </w:p>
    <w:p>
      <w:r>
        <w:t xml:space="preserve">Available abstract (not full text): Background: An ENDO-European Reference Network (ERN) initiative was launched that was endorsed by the European Society for Pediatric Endocrinology and the European Society for Endocrinology with 22 participants from the ENDO-ERN and the two societies. The aim was to update the practice guidelines for the diagnosis and management of congenital hypothyroidism (CH). A systematic literature search was conducted to identify key articles on neonatal screening, diagnosis, and management of primary and central CH. The evidence-based guidelines were graded with the Grading of Recommendations, Assessment, Development and Evaluation system, describing both the strength of recommendations and the quality of evidence. In the absence of sufficient evidence, conclusions were based on expert opinion. Summary: The recommendations include the various neonatal screening approaches for CH as well as the etiology (also genetics), diagnostics, treatment, and prognosis of both primary and central CH. When CH is diagnosed, the expert panel recommends the immediate start of correctly dosed levothyroxine treatment and frequent follow-up including laboratory testing to keep thyroid hormone levels in their target ranges, timely assessment of the need to continue treatment, attention for neurodevelopment and neurosensory functions, and, if necessary, consulting other health professionals, and education of </w:t>
      </w:r>
    </w:p>
    <w:p>
      <w:r>
        <w:t>POSSIBLE 2018: Human trafficking for labour exploitation: the results of a two-phase systematic review mapping the European evidence base and synthesising key scientific research evidence — https://doi.org/10.1007/s11292-017-9321-3</w:t>
      </w:r>
    </w:p>
    <w:p>
      <w:r>
        <w:t>Shared claim-specific concepts: key, conclusions, limited, sectors, also; EU scope visible. This is a provisional connection, not an outcome finding.</w:t>
      </w:r>
    </w:p>
    <w:p>
      <w:r>
        <w:t>Available abstract (not full text): OBJECTIVES: Our objectives were (1) to systematically map the contours of the European evidence base on labour trafficking, identifying its key characteristics, coverage, gaps, strengths and weaknesses and (2) to synthesise key scientific research. METHODS: We took a two-phase approach: a systematic map followed by a detailed synthesis of key scientific research evidence. Our search strategy included 15 databases, hand searches of additional journals, backwards searches, snowball searches and expert recommendations. We identified and screened 6106 records, mapped 152 and synthesised eight. RESULTS: Overall, the literature was limited and fragmented. Reports produced by official agencies dominated; academic authorship and peer-reviewed outputs were comparatively rare. Few publications met minimum scientific standards. Qualitative designs outweighed quantitative ones. Publications typically described trafficking's problem profile and/or discussed interventions; they rarely assessed trafficking's impacts or evaluated interventions. Even among the key scientific research, the quality of evidence was variable and often low. Particular weaknesses included poor methods reporting, unclear or imprecise results and conclusions not properly grounded in the data. The synthesised studies were all exploratory, also sharing other design features. Common themes identified included: poor treatm</w:t>
      </w:r>
    </w:p>
    <w:p>
      <w:r>
        <w:t>POSSIBLE 2017: Key drivers for market penetration of biosimilars in Europe — https://doi.org/10.1080/20016689.2016.1272308</w:t>
      </w:r>
    </w:p>
    <w:p>
      <w:r>
        <w:t>Shared claim-specific concepts: key, conclusions, also; EU scope visible. This is a provisional connection, not an outcome finding.</w:t>
      </w:r>
    </w:p>
    <w:p>
      <w:r>
        <w:t>Available abstract (not full text): Background &amp; Objectives: Potential drivers and barriers of biosimilar uptake were mainly analysed through qualitative approaches. The study objective was to conduct a quantitative analysis and identify drivers of biosimilar uptake of all available biosimilars in the European Union (EU). Methods: A three-step process was established to identify key drivers for the uptake of biosimilars in the top 10 EU member states (MS) pharmaceutical markets (Belgium, France, Germany, Greece, Hungary, Italy, Poland, Spain, Sweden, and the UK): (1) literature review to identify incentive policies in place to enhance biosimilars adoption; (2) assessment of biosimilar market dynamics based on database analysis; (3) regression model analysis on price using the following explicative variables: incentive policies; price difference between the biosimilar and the originator product; distribution channel; generic uptake and generic price cut; pharmaceutical expenditure per capita; and market competition. Results: At the study cut-off date, 20 biosimilars were available on the market. Incentive policies applied to biosimilars were found to be heterogeneous across countries, and uptakes of biosimilars were also very heterogeneous between different therapeutic classes and countries. Results from the model demonstrated that incentive policies and the date of first biosimilar market entry were correlated to</w:t>
      </w:r>
    </w:p>
    <w:p>
      <w:pPr>
        <w:pStyle w:val="Heading2"/>
      </w:pPr>
      <w:r>
        <w:t>Developed Foresight for Borders Model Predicts the Amount of Borders Traffic in Finland</w:t>
      </w:r>
    </w:p>
    <w:p>
      <w:r>
        <w:t>Original source (2016): https://doi.org/10.30958/ajt.3-2-3</w:t>
      </w:r>
    </w:p>
    <w:p>
      <w:r>
        <w:t>Original wording (abstract; indexed_source_text_not_full_document_verified): This paper describes the factors which have an influence on travelling and presents the forecast model to Finnish-Russian land border.The number of border traffic between Finland and the Russian Federation's border stations has been an upward trend through the 2000s.A significant part of growth is due to increased travelling of the Russian Federation's citizens to the European Union.Forecasting of cross-border traffic and tourism in Finnish-Russian land border has been based on the official statistics.Laurea University of Applied Sciences carried out a study which generates information on the factors that influence on border traffic.The research study is based on qualitative methods and co-creation tools.As a finding, the key structural factors are tourist's motivations, service and infrastructure in border station, and travelling documents.Foresight for Borders model predicts the amount of border traffic which are based on the key structural factors.Foresight for Borders model will improve service at the border stations by providing information of the traffic amounts that are anticipated to cross the border during specified time periods.As a conclusion, the study can be stated to be necessary in terms of creating new approaches to border service, security and tourism studies.</w:t>
      </w:r>
    </w:p>
    <w:p>
      <w:r>
        <w:t>POSSIBLE 2022: Factors influencing antimicrobial resistance in the European food system and potential leverage points for intervention: A participatory, One Health study — https://doi.org/10.1371/journal.pone.0263914</w:t>
      </w:r>
    </w:p>
    <w:p>
      <w:r>
        <w:t>Shared claim-specific concepts: factors, number, between; EU scope visible. This is a provisional connection, not an outcome finding.</w:t>
      </w:r>
    </w:p>
    <w:p>
      <w:r>
        <w:t>Available abstract (not full text): INTRODUCTION: Antimicrobial resistance (AMR) is a global crisis that evolves from a complex system of factors. Understanding what factors interact is key to finding solutions. Our objective was to identify the factors influencing AMR in the European food system and places to intervene. MATERIALS AND METHODS: We conducted two workshops involving participants with diverse perspectives to identify the factors influencing AMR and leverage points (places) to target interventions. Transcripts were open coded for factors and connections, then transcribed into Vensim 8.0.4 to develop a causal loop diagram (CLD) and compute the number of feedback loops. Thematic analysis followed to describe AMR dynamics in Europe's food system and places for intervention. The CLD and themes were confirmed via participant feedback. RESULTS: Seventeen participants representing human, animal and agricultural sectors identified 91 CLD factors and 331 connections. Seven themes (e.g., social and economic conditions) describing AMR dynamics in Europe's food system, five 'overarching factors' that impact the entire CLD system (e.g., leadership) and fourteen places for intervention (e.g., consumer demand) emerged from workshop discussions. Most leverage points fell on highly networked feedback loops suggesting that intervening at these places may create unpredictable consequences. CONCLUSIONS: Our study produce</w:t>
      </w:r>
    </w:p>
    <w:p>
      <w:r>
        <w:t>POSSIBLE 2022: INFLUENCE OF THE EUROPEAN INTEGRATION ON LINGUISTIC ASPECTS — https://doi.org/10.52058/2786-6165-2022-4(4)-8-21</w:t>
      </w:r>
    </w:p>
    <w:p>
      <w:r>
        <w:t>Shared claim-specific concepts: factors, influence, between, federation, significant, union; EU scope visible. This is a provisional connection, not an outcome finding.</w:t>
      </w:r>
    </w:p>
    <w:p>
      <w:r>
        <w:t>Available abstract (not full text): The article deals with factors of linguistic integration and the role of the European Union in these processes.The issue of the influence of English loanwords on the Ukrainian linguistic picture of the world is under consideration.Linguistic policy aimed at preserving national identity acts as an opposition to integration.The European choice of Ukraine is conditioned by the awareness of integration as a factor contributing to state independence, national security, political stability, economic development, intellectual progress, and restoration of the country's European essence.The topic of language in modern conditions is significant and interesting within various disciplines of social and humanitarian knowledge: linguistics, sociolinguistics, ethnolinguistics, pedagogy and psychology, sociology, political science, ethnopolitical science.Language is a dominant factor in the development of any society.Ukraine's acquisition of associate membership in the European Federation of National Language Institutes (EFNIL) will significantly strengthen the position of the Ukrainian language as the state language and contribute to its prospective use as a mandatory language in EU countries.The main importance of linguistic identity is one of the key factors in the formation of a single political community capable of developing a common national course, the clear and consistent observance o</w:t>
      </w:r>
    </w:p>
    <w:p>
      <w:r>
        <w:t>POSSIBLE 2021: The influence of anthropogenic climate change on wet and dry summers in Europe — https://doi.org/10.1016/j.scib.2021.01.020</w:t>
      </w:r>
    </w:p>
    <w:p>
      <w:r>
        <w:t>Shared claim-specific concepts: influence, between, significant; EU scope visible. This is a provisional connection, not an outcome finding.</w:t>
      </w:r>
    </w:p>
    <w:p>
      <w:r>
        <w:t>Available abstract (not full text): Understanding the role of anthropogenic forcings in regional hydrological changes can help communities plan their adaptation in an informed manner. Here we apply attribution research methods to investigate the effect of human influence on historical trends in wet and dry summers and changes in the likelihood of extreme events in Europe. We employ an ensemble of new climate models and compare experiments with and without the effect of human influence to assess the anthropogenic contribution. Future changes are also analysed with projections to year 2100. We employ two drought indices defined relative to the pre-industrial climate: one driven by changes in rainfall only and one that also includes the effect of temperature via changes in potential evapotranspiration. Both indices suggest significant changes in European summers have already emerged above variability and are expected to intensify in the future, leading to widespread dryer conditions which are more extreme in the south. When only the effect of rainfall is considered, there is a distinct contrast between a shift towards wetter conditions in the north and dryer in the south of the continent, as well as an overall increase in variability. However, when the effect of warming is also included, it largely masks the wet trends in the north, resulting in increasingly drier summers across most of the continent. Historical ind</w:t>
      </w:r>
    </w:p>
    <w:p>
      <w:r>
        <w:t>POSSIBLE 2021: Comparison of factors influencing liquidity of European Islamic and conventional banks — https://doi.org/10.24136/oc.2021.013</w:t>
      </w:r>
    </w:p>
    <w:p>
      <w:r>
        <w:t>Shared claim-specific concepts: factors, influence, due; EU scope visible. This is a provisional connection, not an outcome finding.</w:t>
      </w:r>
    </w:p>
    <w:p>
      <w:r>
        <w:t>Available abstract (not full text): Research background: The innovation in Shar??ah-compliant banking products has resulted in the rapidly increasing size of assets in Islamic banks worldwide. The assets of such banks have been growing twice as fast as those of conventional banks. Islamic banks do not depend on conventional interest, speculation, or complex derivatives stemming from banking operations. Instead, their actions in respect of profit/risk sharing, and the clarity of the contract are consistent with Islamic Shar??ah principles, which seek to promote a more equal society. Purpose of the article: This research aims to identify and compare factors influencing the liquidity of Islamic and conventional banks in Europe. Candidate factors are sought amongst profitability, credit quality, credit expansion and capital adequacy indicators. Methodology: First, relevant financial ratios for 249 observations on Islamic banks and 2,306 observations on conventional banks are selected and compared for the period 2013?2017. Second, liquidity is explained separately for each type of banks by panel data regression to identify its determinants in a comparative context. Findings &amp; value added: The results indicate that the impact of the net interest margin on the liquidity ratio of Islamic banks is insignificant, which is obviously due to the prohibition of the use of interest (riba). To the contrary, in conventional banki</w:t>
      </w:r>
    </w:p>
    <w:p>
      <w:r>
        <w:t>POSSIBLE 2020: Factors Influencing Adoption of Sustainable Farming Practices in Europe: A Systemic Review of Empirical Literature — https://doi.org/10.3390/su12229719</w:t>
      </w:r>
    </w:p>
    <w:p>
      <w:r>
        <w:t>Shared claim-specific concepts: factors, influence, land, between; EU scope visible. This is a provisional connection, not an outcome finding.</w:t>
      </w:r>
    </w:p>
    <w:p>
      <w:r>
        <w:t xml:space="preserve">Available abstract (not full text): Modern practices of industrial farming, such as mineral fertilization, caused a widespread degradation of agricultural land and water bodies in Europe. Different farm management strategies exist to reduce the impact of mineral fertilization while preserving soil productivity. The aim of this paper is to provide a thorough systemic review of contemporary literature exploring factors and conditions affecting EU farmers’ adoption of sustainable farming practices. The specific focus is on widely adopted and empirically explored measures, such as organic farming, manure treatment technologies and manure fertilization, as well as soil and water conservation methods. In total, 23 peer-reviewed studies were extracted by means of Google Scholar covering the time period between 2003 and 2019. The main findings show that farmers’ environmental and economic attitudes in addition to their sources of information have a strong effect on the adoption of organic farming, although there is a lack of evidence of their impact on adopting manure treatment and conservation measures. Similarly, farmers’ age and education are found to systemically influence organic farming adoption, but not adoption of other reviewed technologies. While other factors, such as farm physical characteristics or technological attributes, may be important determinants of adoption, it is hard to recognize definite patterns </w:t>
      </w:r>
    </w:p>
    <w:p>
      <w:r>
        <w:t>POSSIBLE 2020: European Regional Airport: Factors Influencing Efficency — https://doi.org/10.2478/ttj-2020-0017</w:t>
      </w:r>
    </w:p>
    <w:p>
      <w:r>
        <w:t>Shared claim-specific concepts: factors, number, traffic, trend, due; EU scope visible. This is a provisional connection, not an outcome finding.</w:t>
      </w:r>
    </w:p>
    <w:p>
      <w:r>
        <w:t>Available abstract (not full text): Abstract During the recent decade a lot of research has been focused on identification of the importance of regional airport for the local economy and the measuring and predicting of the airport’s efficiency. With regard to individual airport planning it turns out that airports are not free in the optimization of infrastructure due the need to comply international aviation standards and recommended practices, one the one hand, and the tendency of air transportation system development including aircraft design and airlines’ fleet development, on the other. Furthermore, it is also important to take into account the specificity of each particular airport, including the traffic variability resulting from seasonality, with the airport’s mission geared to it. We found, tha t one of the reasons for the relatively low efficiency of regional airports, given the general trend in the growth in the number of seats for narrow-body aircraft. Likewise, it has been found, that the seasonality of air traffic at regional airports is comparatively high. In addition, this paper spotlights the ways the theoretical model of returns to scale affects the efficiency of the apron of the regional airport and briefly discusses the different interpretations of the definition of regional airport.</w:t>
      </w:r>
    </w:p>
    <w:p>
      <w:r>
        <w:t>POSSIBLE 2020: Cultural Influences on Fruit and Vegetable Food-Wasting Behavior in the European Union — https://doi.org/10.3390/su12229685</w:t>
      </w:r>
    </w:p>
    <w:p>
      <w:r>
        <w:t>Shared claim-specific concepts: factors, influence, increased, union; EU scope visible. This is a provisional connection, not an outcome finding.</w:t>
      </w:r>
    </w:p>
    <w:p>
      <w:r>
        <w:t>Available abstract (not full text): In a context of increased world population and imbalanced access to resources, the concept of food waste has gained increased attention in the past years. The waste of food has a negative impact on the economy, the society and the environment. In order to reduce the quantities of wasted food, it is important to understand the factors and the situations in which food waste occurs. Several studies have shown that food waste happens mostly at the consumer level and that it is determined by a wide range of factors, such as socio-demographic characteristics and consumption patterns. The objective of this paper is to determine the impact of the national culture on the quantity of wasted fruit and vegetables. Based on secondary data, the panel regression analysis was applied for 28 European countries with the purpose of determining the influence of the cultural dimensions as described by Hofstede on the quantities of wasted fruit and vegetables. The results of the research show that the uncertainty avoidance of a culture complemented by the indulgence index influences the quantity of wasted fruit and vegetables, confirming that certain characteristics of the national culture are factors that affect the quantity of wasted food.</w:t>
      </w:r>
    </w:p>
    <w:p>
      <w:r>
        <w:t>POSSIBLE 2019: External factors influencing length of stay in forensic services – a European evaluation — https://doi.org/10.12740/pp/99299</w:t>
      </w:r>
    </w:p>
    <w:p>
      <w:r>
        <w:t>Shared claim-specific concepts: factors, influence, number, trend, increased; EU scope visible. This is a provisional connection, not an outcome finding.</w:t>
      </w:r>
    </w:p>
    <w:p>
      <w:r>
        <w:t>Available abstract (not full text): OBJECTIVES: A growing number of patients whose length-of-stay in forensic services is aboveaverage length are identifiable in several European countries. Forensic services are situated within a particular sociocultural setting. Accordingly, this trend to increased admission length cannot be solely attributed to patient characteristics. This is the first known study exploring the influence of external factors on length-of-stay in forensic services. METHODS: Representatives from 16 European countries, members of the international COST project, focused on forensic psychiatric service, analyzed their respective forensic services using a structured tool. Responses were combined and analyzed using thematic analysis. RESULTS: Four themes described the factors influencing length-of-stay: care and treatment pathways; resources; legal and systemic impact; and sharing expertise. CONCLUSIONS: Findings suggest multidisciplinary consideration of the whole care pathway is required to address increased length-of-stay. Further research is required to support development of evidence-based standards applicable across Europe, and improve outcomes for patients at risk of increased length-of-stay in forensic services.</w:t>
      </w:r>
    </w:p>
    <w:p>
      <w:r>
        <w:t>POSSIBLE 2019: The factors which influence career progression for women in Central Banks in Europe — https://openalex.org/W2995649052</w:t>
      </w:r>
    </w:p>
    <w:p>
      <w:r>
        <w:t>Shared claim-specific concepts: factors, influence, number; EU scope visible. This is a provisional connection, not an outcome finding.</w:t>
      </w:r>
    </w:p>
    <w:p>
      <w:r>
        <w:t>Available abstract (not full text): In recent decades, the career progression of women has been a topic of much debate and research. Many factors play a role in both facilitating and hindering this progression for women. However there is limited research which outlines these factors in a European context. The overarching aim of the current study was to investigate factors, which influence career progression for women in Central Banks in Europe. This study was a qualitative design, which consisted of semi-structured interviews with ten women who worked at senior management level in Central Banks across three sites, Central Bank in Ireland, European Central Bank in Germany and Banco D’Espana in Spain. Thematic analysis was used to analyse the data. Results identified factors, which influence career progression for women in terms of both barriers and enablers. Barriers included personality factors, maternity, culture within an organisation and attitudes of men. Factors which enable career progression included initiatives, networking and personality factors. Attitudes to gender quotas were also explored and participants help conflicting emotions to gender quotas but described them as necessary accelerate gender equality in the workplace. This study had a number of methodological strengths and weaknesses which are outlined in this thesis. There were also a number of implications for practice and policy from the findin</w:t>
      </w:r>
    </w:p>
    <w:p>
      <w:r>
        <w:t>POSSIBLE 2018: Influence beyond formal powers: The parliamentarisation of European Union security policy — https://doi.org/10.1177/1369148117747105</w:t>
      </w:r>
    </w:p>
    <w:p>
      <w:r>
        <w:t>Shared claim-specific concepts: factors, influence, significant, increased, union; EU scope visible. This is a provisional connection, not an outcome finding.</w:t>
      </w:r>
    </w:p>
    <w:p>
      <w:r>
        <w:t>Available abstract (not full text): The European Union’s foreign and security policy is commonly described as an intergovernmental affair. Despite limited formal powers, several studies suggest that the European Parliament has increased its influence on the Union’s foreign and security policy. This article argues that, to gauge the significance of parliamentary participation, it is necessary to look beyond the notion of formal parliamentary rights and to take into account informal influence. The analysis shows how informal avenues of influence are crucial at certain stages of the decision-making process, and points to factors that constrain and enable parliamentary impact. Furthermore, it emphasises the important role that parliaments play in scrutinising security policy, which is a crucial component of democratic governance. In this particular field where there is little legislation, the establishment of solid procedures and practices for oversight and control can also be a significant indicator of parliamentary influence.</w:t>
      </w:r>
    </w:p>
    <w:p>
      <w:r>
        <w:t>POSSIBLE 2017: Cultural determinants influence assisted reproduction usage in Europe more than economic and demographic factors — https://doi.org/10.1093/humrep/dex298</w:t>
      </w:r>
    </w:p>
    <w:p>
      <w:r>
        <w:t>Shared claim-specific concepts: factors, influence, number, between, union; EU scope visible. This is a provisional connection, not an outcome finding.</w:t>
      </w:r>
    </w:p>
    <w:p>
      <w:r>
        <w:t>Available abstract (not full text): STUDY QUESTION: To what extent do financial, demographic and cultural determinants explain the vast cross-national differences in ART treatments in Europe? SUMMARY ANSWER: The normative cultural acceptance of ART is a major driver of ART treatments in Europe, above and beyond differences in country wealth, demographic aspects and religious composition. WHAT IS KNOWN ALREADY: There are vast differences in the number of ART treatments across European countries, which are to some extent related to country affluence, regulation, and insurance coverage and costs. The role and impact of cultural and normative factors has not been explored in a larger cross-national comparison. STUDY DESIGN, SIZE, DURATION: A descriptive and comparative cross-national analysis of ART treatment prevalence in over 30 European countries in 2010, with the outcome defined as the total number of ART cycles per million women of reproductive age (15-44 years). Data is drawn from multiple sources (ICMART, US Census Bureau Library, World Bank, Barro-Lee Educational Attainment Dataset, IFFS Surveillance reports, European Values Study and World Religion Database). PARTICIPANTS/MATERIALS, SETTING, METHODS: Our sample includes data from 35 European countries, where we describe the associations between demographic and cultural factors and the prevalence of ART treatments. Bivariate correlation and ordinary least squ</w:t>
      </w:r>
    </w:p>
    <w:p>
      <w:pPr>
        <w:pStyle w:val="Heading2"/>
      </w:pPr>
      <w:r>
        <w:t>Dynamics of the land use, land use change, and forestry sink in the European Union: the impacts of energy and climate targets for 2030</w:t>
      </w:r>
    </w:p>
    <w:p>
      <w:r>
        <w:t>Original source (2016): https://doi.org/10.1007/s10584-016-1729-7</w:t>
      </w:r>
    </w:p>
    <w:p>
      <w:r>
        <w:t>Original wording (abstract; indexed_source_text_not_full_document_verified): We show that implementing a 40 % GHG emission reduction target by 2030 may only have a small negative impact on the domestic LULUCF sink if the additional biomass demand for energy is mostly met through ligno-cellulosic energy crops rather than forest removals. However, if the increased biomass demand were met through higher rates of forest harvest removals, a more negative impact on the LULUCF sink could be expected.</w:t>
      </w:r>
    </w:p>
    <w:p>
      <w:r>
        <w:t>POSSIBLE 2026: European environmental sustainability through unraveling the nexus of total energy consumption, value addition, and GHG emissions in agriculture — https://doi.org/10.1177/0958305x261438604</w:t>
      </w:r>
    </w:p>
    <w:p>
      <w:r>
        <w:t>Shared claim-specific concepts: show, implementing, ghg, emission, negative, domestic; EU scope visible. This is a provisional connection, not an outcome finding.</w:t>
      </w:r>
    </w:p>
    <w:p>
      <w:r>
        <w:t>Available abstract (not full text): Agriculture is a critical sector contributing significantly to greenhouse gas (GHG) emissions in Europe, primarily through land-use change, fertilizer application, and energy-intensive practices. This study provides an in-depth exploration of the factors influencing GHG emissions from agriculture in Europe (30 countries) from 1995 to 2022, utilizing a diverse range of variables, including agricultural value added (AVA), cereal yield (CY), total agricultural land (TAL), and total energy consumption agriculture (EGYTA). By implementing a composite index derived from principal component analysis and two interaction terms (AVA*CY and AVA*EGYTA), the study provides a comprehensive understanding of the relationships between these variables. The cross-sectionally augmented autoregressive distributed lag technique elucidates the dynamics influencing agricultural GHG (A-GHG) emissions. Key findings indicate that in the long run, a 1% increase in AVA is associated with approximately a 0.07% decrease in A-GHG emissions, while TAL exhibits a positive elasticity of 0.334. CY, EGYTA, and AVA*CY also positively correlate with A-GHG emissions, contributing to elevated GHG emission levels in the sector. It implies that increasing reliance on fertilizers and escalating energy consumption in modern farming are identified as significant concerns. Conversely, AVA, gross domestic product, and AVA*EG</w:t>
      </w:r>
    </w:p>
    <w:p>
      <w:r>
        <w:t>POSSIBLE 2025: Implementing the GHG Protocol - advantages of implementation — https://doi.org/10.57263/jmq.04.01.20252</w:t>
      </w:r>
    </w:p>
    <w:p>
      <w:r>
        <w:t>Shared claim-specific concepts: implementing, ghg; EU scope not established. This is a provisional connection, not an outcome finding.</w:t>
      </w:r>
    </w:p>
    <w:p>
      <w:r>
        <w:t>Available abstract (not full text): Climate change has become a major global concern, and companies across all industries are facing increasing pressure to reduce their greenhouse gas (GHG) emissions. The Greenhouse Gas Protocol is a voluntary international standard widely used to measure and report organizations’ GHG emissions. Essentially, the GHG Protocol provides a “common language” and a set of clear methodologies by which companies can calculate their carbon footprint consistently and transparently, dividing emissions into Scope 1 (direct, from owned/operated sources), Scope 2 (indirect from purchased electricity and heating and cooling) and Scope 3 (all other indirect emissions in the value chain). This seemingly bureaucratic reporting standard can become a valuable tool for corporate efficiency, innovation and sustainability.</w:t>
      </w:r>
    </w:p>
    <w:p>
      <w:r>
        <w:t>POSSIBLE 2023: Impact of Key Drivers on Energy Intensity and GHG Emissions in Manufacturing in the Baltic States — https://doi.org/10.3390/su15043330</w:t>
      </w:r>
    </w:p>
    <w:p>
      <w:r>
        <w:t>Shared claim-specific concepts: ghg, energy; EU scope visible. This is a provisional connection, not an outcome finding.</w:t>
      </w:r>
    </w:p>
    <w:p>
      <w:r>
        <w:t>Available abstract (not full text): The improvement in energy efficiency (EE) and increasing consumption of renewable energy sources (RES) in manufacturing play an important role in pursuing sustainable development in the Baltic States and contribute to the transition to a low-carbon economy. This paper presents the results of a detailed analysis of the channel through which EE, along with structural activity changes, passes energy intensity and total energy savings and in combination with other key drivers results in reductions in greenhouse gas (GHG) emissions in manufacturing in Estonia, Latvia, and Lithuania during the period 2010–2020, taking into account the role of transformations in the energy and climate framework of the European Union (EU). The Fisher Ideal Index, the Kaya identity, the Logarithmic Mean Divisia Index (LMDI), and comparative analysis methods are used. The results of the impact analysis of key drivers on energy intensity showed different contributions towards improvements in EE and structural activity changes to changes in energy intensity in manufacturing, which decreased by 53.1% in Estonia, by 30.5% in Lithuania, and by 16.5% in Latvia. The dominant role of EE improvements on total energy savings is identified. The results of the GHG decomposition analysis showed that because of improvements in energy intensity, reductions in the share of fossil fuels, and increases in labour productiv</w:t>
      </w:r>
    </w:p>
    <w:p>
      <w:r>
        <w:t>POSSIBLE 2022: How COVID-19 Affected GHG Emissions of Ferries in Europe — https://doi.org/10.3390/su14095287</w:t>
      </w:r>
    </w:p>
    <w:p>
      <w:r>
        <w:t>Shared claim-specific concepts: ghg, reduction, additional; EU scope visible. This is a provisional connection, not an outcome finding.</w:t>
      </w:r>
    </w:p>
    <w:p>
      <w:r>
        <w:t>Available abstract (not full text): Unprecedented socioeconomic conditions during the COVID-19 pandemic impacted shipping. We combined ferry CO2 emissions in Europe (from the EU-MRV) with port call data and vessel parameters, and analysed them using mixed-effects linear models with interactions. We found a generalized reduction in unitary emissions in 2020, confirming its causal relation with COVID-19. Furthermore, for larger ferries, additional and COVID-19-related reductions between 14% and 31% occurred, with the larger reductions for those built before 1999. Ferries operating in the Baltic and Mediterranean Seas experienced comparable reductions in their unitary emissions, but in the North Sea per-ship emissions decreased by an additional 18%. Per-ship emissions at berth, while showing increases or decreases depending on ferry type, did not significantly change at the fleet level. We believe that our methodology may help assess the progress of shipping toward decarbonisation in the presence of external shocks.</w:t>
      </w:r>
    </w:p>
    <w:p>
      <w:r>
        <w:t>POSSIBLE 2022: Literature review on policies to mitigate GHG emissions for cement and concrete — https://doi.org/10.1016/j.resconrec.2022.106278</w:t>
      </w:r>
    </w:p>
    <w:p>
      <w:r>
        <w:t>Shared claim-specific concepts: ghg, emission, reduction, energy; EU scope not established. This is a provisional connection, not an outcome finding.</w:t>
      </w:r>
    </w:p>
    <w:p>
      <w:r>
        <w:t>Available abstract (not full text):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r>
        <w:t>POSSIBLE 2022: Balancing GHG mitigation and land-use conflicts: Alternative Northern European energy system scenarios — https://doi.org/10.1016/j.apenergy.2022.118557</w:t>
      </w:r>
    </w:p>
    <w:p>
      <w:r>
        <w:t>Shared claim-specific concepts: show, ghg, target, energy, however; EU scope visible. This is a provisional connection, not an outcome finding.</w:t>
      </w:r>
    </w:p>
    <w:p>
      <w:r>
        <w:t>Available abstract (not full text): Long-term power market outlooks suggest a rapid increase in renewable energy deployment as a main solution to greenhouse gas mitigation in the Northern European energy system. However, the consequential area requirement is a non-techno-economic aspect that currently is omitted by many energy system optimization models. This study applies modeling to generate alternatives (MGA) technique to the Balmorel energy system model to address spatial conflicts related to increased renewable energy deployment. The approach searches for alternative solutions that minimize land-use conflicts while meeting the low-carbon target, by allowing a 1% to 15% increase in system costs compared to the least-cost solution. Two alternative objectives are defined to reflect various aspects of spatial impact. The results show that the least-cost solution requires 1.2%–3.6% of the land in the modeled countries in 2040 for onshore wind and solar PV installations. A 10% increase in costs can reduce the required land area by 58% by relying more on offshore wind. Nuclear energy may also be an option if both onshore and offshore areas are to be reduced, or in a less flexible system. Both offshore wind and nuclear energy technologies are associated with higher risks and pose uncertainties in terms of reaching the climate targets in time. The changes in costs and required land areas imply significantly higher an</w:t>
      </w:r>
    </w:p>
    <w:p>
      <w:r>
        <w:t>POSSIBLE 2021: Economic growth in contrast to GHG emission reduction measures in Green Deal context — https://doi.org/10.1016/j.ecolind.2021.108153</w:t>
      </w:r>
    </w:p>
    <w:p>
      <w:r>
        <w:t>Shared claim-specific concepts: show, implementing, ghg, emission, reduction, additional; EU scope visible. This is a provisional connection, not an outcome finding.</w:t>
      </w:r>
    </w:p>
    <w:p>
      <w:r>
        <w:t>Available abstract (not full text): The global economy is on the verge of one of the greatest transitions in modern history. The ability to ensure sustainable economic development and prosperity while significantly reducing consumption of energy resources and generated greenhouse gas emissions is a global challenge that affects every country in the world. To assess whether economies are ready for this challenge, there is an urgent need to examine this dual relationship between economic growth and climate change measures. European Green Deal strategy has set the ambitious goal of Europe becoming the first climate-neutral continent by 2050, boosting competitiveness and long-term prosperity of the economy. Kaya identity and LMDI decomposition is applied to examine how European Union countries have been coping with these countereffects historically. The decomposition analysis is conducted for the EU-28 (including the UK) countries for a 10-year study period from 2010 to 2019. This study analyses the main drivers of changes in GHG emissions in European Union and estimates the progress made in implementing the Green Deal targets. The results show that in the EU, energy efficiency improvements have twice the effect on reducing GHG emission compared to RES strategies. The effect of economic growth was the main offsetting factor hindering the achievement of larger GHG emission reductions. More in-depth ex-ante and ex-post</w:t>
      </w:r>
    </w:p>
    <w:p>
      <w:r>
        <w:t>POSSIBLE 2021: Perceptions of GHG emissions and renewable energy sources in Europe, Australia and the USA — https://doi.org/10.1007/s11356-021-15935-7</w:t>
      </w:r>
    </w:p>
    <w:p>
      <w:r>
        <w:t>Shared claim-specific concepts: ghg, energy; EU scope visible. This is a provisional connection, not an outcome finding.</w:t>
      </w:r>
    </w:p>
    <w:p>
      <w:r>
        <w:t>Available abstract (not full text): Unavailable</w:t>
      </w:r>
    </w:p>
    <w:p>
      <w:r>
        <w:t>POSSIBLE 2021: Biomethane from Manure, Agricultural Residues and Biowaste—GHG Mitigation Potential from Residue-Based Biomethane in the European Transport Sector — https://doi.org/10.3390/su132414007</w:t>
      </w:r>
    </w:p>
    <w:p>
      <w:r>
        <w:t>Shared claim-specific concepts: show, ghg, emission, reduction, energy, however; EU scope visible. This is a provisional connection, not an outcome finding.</w:t>
      </w:r>
    </w:p>
    <w:p>
      <w:r>
        <w:t>Available abstract (not full text): Biomethane from manure, agricultural residues, and biowaste has been prioritized by many energy strategies as a sustainable way to decrease greenhouse gas (GHG) emissions in the transport sector. The technology is regarded as mature; however, its implementation is still at an early stage. At EU level, there are currently two major instruments relevant for promoting the production of biomethane from waste and residues and which are likely to contribute to unlocking unused GHG mitigation potentials: the Renewable Energy Directive 2018/2001 (RED II) and the European Emission Trading System (EU ETS). Our study analyzes the effects of these two instruments on the competitiveness of biomethane as an advanced transport fuel in relation to different policy scenarios within the RED II framework and under EU ETS conditions. Within the RED II market framework for advanced biofuels, biomethane concepts that use manure as a substrate or as a cosubstrate show significantly lower GHG mitigation costs compared to advanced biofuels. With respect to the current EU ETS conditions for bioenergy, it is helpful to consider the GHG reduction potential from the non-ETS agricultural sector as a way to unlock unused potential for reducing GHG emissions.</w:t>
      </w:r>
    </w:p>
    <w:p>
      <w:r>
        <w:t>POSSIBLE 2021: GHG Emissions Mitigation in the European Union Based on Labor Market Changes — https://doi.org/10.3390/en14020465</w:t>
      </w:r>
    </w:p>
    <w:p>
      <w:r>
        <w:t>Shared claim-specific concepts: ghg, negative; EU scope visible. This is a provisional connection, not an outcome finding.</w:t>
      </w:r>
    </w:p>
    <w:p>
      <w:r>
        <w:t>Available abstract (not full text): The effects of the labor market on environmental issues are an actual problem at the global level, and recommendations are required to achieve equilibrium between labor productivity and environmental protection. Considering the ecological limits of work and the necessity of reducing the working time to mitigate GHG (greenhouse gas) emissions, this paper aims to assess the impact of the labor market on GHG emissions in the EU-28 countries. Using panel data models for 2007–2019, a positive effect of working time for employed persons on GHG emissions was detected. Labor productivity has a positive impact on emissions for most of the developed countries in the EU (old member states), while the effect is negative in the case of most of the new member states, which suggests that more efforts should be made by old member states to correlate labor productivity with a sustainable level of GHG emissions. As a novelty for research in the field, we assessed also the effect of targeted labor utilization on GHG emissions in order to describe the context of a sustainable economy that is an objective for each country in the EU. These results suggest that progress in GHG emissions mitigation might be achieved by reducing the working time for employed persons, which will also improve well-being. These recommendations could be useful also for other developed countries outside the EU that encounte</w:t>
      </w:r>
    </w:p>
    <w:p>
      <w:r>
        <w:t>POSSIBLE 2021: GHGs Emission from the Agricultural Sector within EU-28: A Multivariate Analysis Approach — https://doi.org/10.3390/en14206495</w:t>
      </w:r>
    </w:p>
    <w:p>
      <w:r>
        <w:t>Shared claim-specific concepts: ghg, emission, reduction, negative; EU scope visible. This is a provisional connection, not an outcome finding.</w:t>
      </w:r>
    </w:p>
    <w:p>
      <w:r>
        <w:t>Available abstract (not full text): Climate mitigation and adaptation planning (CMAP) has recently been implemented across the EU-28 to reduce GHG emissions (CO2, CH4, N2O). Thus, the aim of this study was to provide an overview of GHG emissions from the agricultural sector in the EU-28 from 1990 to 2019, and cluster the EU-28 countries regarding their total GHG emissions. The results emphasize the positive impact of CMAP through a negative trend of the total GHG emissions (−2653.01 thousand tons/year, p &lt; 0.05). Despite the positive and not significant trend of the total CO2 emissions, both CH4 and N2O exhibited a negative and significant trend. At the country scale, Italy, the United Kingdom, and the Netherlands showed the highest reduction in total GHG emissions, by −282.61thousand tons/year (p &lt; 0.05), −266.40 thousand tons/year (p &lt; 0.05), and −262.91 thousand tons/year (p &lt; 0.05), respectively. The output of the multivariate analysis approach indicates changes in the pattern of GHG emissions between 1990 and 2019, where CO2 emissions decreased in the case of Poland and Czechia. The output of this study highlights the positive impact of CMAP, adopted by EU countries, in minimizing GHG emissions. Despite some fluctuations in CO2 emissions, strategies for attaining carbon neutrality in the agricultural sector, across the European Union, should be pursued.</w:t>
      </w:r>
    </w:p>
    <w:p>
      <w:r>
        <w:t>POSSIBLE 2020: GHG Performance Evaluation in Green Deal Context — https://doi.org/10.2478/rtuect-2020-0026</w:t>
      </w:r>
    </w:p>
    <w:p>
      <w:r>
        <w:t>Shared claim-specific concepts: ghg, target, energy, however; EU scope visible. This is a provisional connection, not an outcome finding.</w:t>
      </w:r>
    </w:p>
    <w:p>
      <w:r>
        <w:t>Available abstract (not full text): Abstract Recently introduced European Green Deal has set a target for Europe to become the first climate-neutral continent by 2050. This ambitious commitment will bring a serious challenge for the EU. However, the degree of this challenge will not be the same to all EU member states. In this paper, the multi-criteria decision analysis is applied to rank eight selected EU countries (Denmark, Estonia, Ireland, Latvia, Lithuania, Slovenia, Finland and Sweden) regarding GHG performance, and thus illustrate different starting points of the transition to carbon-neutrality. In parallel to the widely used indicator of GHG emissions per capita, evaluation incorporates various other criteria covering energy consumption, population size, and the use of renewable energy and fossil fuel, as well as investment and tax rates. TOPSIS analysis shows that the best GHG performance is achieved by Sweden, while Latvia ranks the lowest. The presented evaluation method could be a useful tool in planning implementation of policies to reach Green Deal settings on European, as well as on a national level.</w:t>
      </w:r>
    </w:p>
    <w:p>
      <w:pPr>
        <w:pStyle w:val="Heading2"/>
      </w:pPr>
      <w:r>
        <w:t>Electromobility Scenarios: Research Findings to Inform Policy</w:t>
      </w:r>
    </w:p>
    <w:p>
      <w:r>
        <w:t>Original source (2016): https://doi.org/10.1016/j.trpro.2016.05.346</w:t>
      </w:r>
    </w:p>
    <w:p>
      <w:r>
        <w:t>Original wording (abstract; indexed_source_text_not_full_document_verified): We also present the cost-benefit-analysis of the modelling results to assess the different scenarios and to show variation between regions regarding profitability of alternative technological or political support and interventions. The model allows calculating the market diffusion of alternative powertrain technologies to the European market until 2030, taking into account different taxation schemes, incentives and other country-specific characteristics.</w:t>
      </w:r>
    </w:p>
    <w:p>
      <w:r>
        <w:t>POSSIBLE 2023: Comparative cost-benefit analysis of upgrading existing office buildings in European climates — https://doi.org/10.26868/25222708.2023.1461</w:t>
      </w:r>
    </w:p>
    <w:p>
      <w:r>
        <w:t>Shared claim-specific concepts: also, present, different, between, regarding, interventions; EU scope visible. This is a provisional connection, not an outcome finding.</w:t>
      </w:r>
    </w:p>
    <w:p>
      <w:r>
        <w:t>Available abstract (not full text): *Aim and Approach*Geographical locations can significantly impact the economic viability of building upgrading strategies. Previous research into environmental and economic assessments has yielded conflicting results regarding whether decarbonization measures result in additional expenditures or cost savings. To address this issue, the cost-benefit analysis (CBA) approach is applied to different climatic conditions representing the three European climate zones Nordic, Continental, and Mediterranean. A case study representative for existing European office buildings is placed in the respective locations to generate an in-depth understanding of results in real-life conditions. The physical properties of the building’s skins are modified to align with the regional characteristics of each location. To represent the main available active and passive intervention scenarios, the addition of photovoltaic panels and the replacement of windows are evaluated. By integrating energy simulation and life-cycle analysis, this paper calculates the environmental and financial costs and benefits of these strategies and discusses how the economic viability would change if different climatic conditions, building typologies, and financial indicators were considered. To this end, the net present value and benefit-to-cost ratio (BCR) are calculated using the results of energy and radiation analysis. T</w:t>
      </w:r>
    </w:p>
    <w:p>
      <w:r>
        <w:t>POSSIBLE 2023: Cost benefit analysis of diversified farming systems across Europe: Incorporating non-market benefits of ecosystem services — https://doi.org/10.1016/j.scitotenv.2023.169272</w:t>
      </w:r>
    </w:p>
    <w:p>
      <w:r>
        <w:t>Shared claim-specific concepts: assess, different, show, regions; EU scope visible. This is a provisional connection, not an outcome finding.</w:t>
      </w:r>
    </w:p>
    <w:p>
      <w:r>
        <w:t>Available abstract (not full text): Crop diversification can enhance farm economic sustainability while reducing the negative impact on the environment and ecosystem services related. Despite the market and non-market benefits of crop diversification, monocropping is a widely used dominant practice in Europe. In this context, this works aims to assess the overall economic impact of several crop diversification systems across Europe and compared it to the monocropping system. For this purpose, an economic valuation by integrating market and non-market values for eight case studies distributed across three different European pedoclimatic regions (Southern Mediterranean, Northern Mediterranean and Boreal) is proposed. The economic valuation was conducted both in the short and medium-long term. For the short-term we conducted a social gross margin analysis, while for the medium-long term a cost-benefit analysis is developed. The results show an improvement in social gross margins for most of the diversification scenarios assessed when environmental and socio-cultural benefits are considered in the short-term. In the medium and long-term the transformation of cropping towards a more diversified agriculture is encouraged by greater economic benefits. These results provide a first insight in global economic performance of diversified cropping systems, whose main contribution relies on the integration of market and non-m</w:t>
      </w:r>
    </w:p>
    <w:p>
      <w:r>
        <w:t>POSSIBLE 2023: Metaverse applications in education: a systematic review and a cost-benefit analysis — https://doi.org/10.1108/itse-01-2023-0017</w:t>
      </w:r>
    </w:p>
    <w:p>
      <w:r>
        <w:t>Shared claim-specific concepts: also, different, technologies; EU scope not established. This is a provisional connection, not an outcome finding.</w:t>
      </w:r>
    </w:p>
    <w:p>
      <w:r>
        <w:t>Available abstract (not full text): Purpose Many educators are increasingly acquainting themselves and becoming adept with interactive technologies like augmented reality and virtual reality. Some of them are also looking forward to using Metaverse applications, as they want to benefit from its immersive three-dimensional capabilities. Therefore, the purpose of this study is to critically review the extant literature to investigate how, why, where and when the Metaverse can be used for educational purposes. This study also discusses opportunities, challenges and risks related to this disruptive technology. Design/methodology/approach A Preferred Reporting Items for Systematic Reviews and Meta-Analyses rigorous protocol is used to search, extract, scrutinize and synthesize content from high-impact articles focused on the use of the Metaverse technology in the realms of education. Afterwards, this study theorizes on the costs and benefits of using this interactive technology with students. Findings A number of researchers are already experimenting with virtual technologies that are very similar to the Metaverse, in different contexts. This research indicates that most students are lured by immersive multi-sensory three-dimensional environments as well as by virtual reality applications that could simulate real-life situations and provide engaging experiences with virtual representations of people, places and object</w:t>
      </w:r>
    </w:p>
    <w:p>
      <w:r>
        <w:t>POSSIBLE 2020: Economic analysis of BIPV systems as a building envelope material for building skins in Europe — https://doi.org/10.1016/j.energy.2020.117931</w:t>
      </w:r>
    </w:p>
    <w:p>
      <w:r>
        <w:t>Shared claim-specific concepts: also, present, alternative; EU scope visible. This is a provisional connection, not an outcome finding.</w:t>
      </w:r>
    </w:p>
    <w:p>
      <w:r>
        <w:t>Available abstract (not full text): The main purpose of this study is to evaluate the economic feasibility of the BIPV system as a building envelope material for the whole building skins. The paper is dealing with the lifecycle cost analysis (LCCA) of BIPV system in the capitals of all the European Union member states (EU) as well as the capitals of Norway and Switzerland. The results revealed that by a discount rate of zero, BIPV system could refund all the investment even on the north facades while in terms of traditional building envelope materials as an alternative option for building skins, there would be rarely added benefits after investment. Furthermore, the societal and environmental benefits of a BIPV system in Europe have its greatest impact on the south façade. Moreover, for all the studied directions of building skins with a discount rate of five present in Europe except the north facade, just the quantified amount of societal and environmental advantages of BIPV systems could almost reimburse all the invested money. The results illustrated that the BIPV system as a building envelope material for the whole building skins could reimburse not only all the investment costs but also become a source of income for the building.</w:t>
      </w:r>
    </w:p>
    <w:p>
      <w:r>
        <w:t>POSSIBLE 2019: Using Economic Cost Benefit Analysis Methodologies to underpin the sustainability and strategic planning of Coastal Ocean Research Infrastructures in Europe — https://doi.org/10.1109/oceanse.2019.8867276</w:t>
      </w:r>
    </w:p>
    <w:p>
      <w:r>
        <w:t>Shared claim-specific concepts: also, present, show; EU scope visible. This is a provisional connection, not an outcome finding.</w:t>
      </w:r>
    </w:p>
    <w:p>
      <w:r>
        <w:t>Available abstract (not full text): The JERICO-RI (Joint European Research Infrastructure for Coastal Observatories, http://www.jericori.eu) is a Network of Coastal Observatories which are being integrated into a sustainable system of systems. Initiated in 2010, the basic elements of the system are nationally funded observing platforms, i.e. Ferrybox, fixed platforms (moorings, cabled observatories, piles), coastal gliders, HF radar, coastal profilers and vessels of opportunity. One of the main challenges for the European marine research community is now to increase the consistency and the sustainability of these dispersed networks and infrastructures by integrating their future within a shared Pan-European framework/infrastructure. A comprehensive cost benefit and value analysis for the Research Infrastructure is presented, outlining both the direct costs and benefits, but also the non-quantifiable costs and benefits associated with the operation of an integrated network of coastal marine observing systems. We show how the results of the economic appraisal and Cost Benefit Analysis outputs are best represented by the calculation of the Net Present Value (NPV) for each of the governance options considered. This value, in combination with the Benefit Cost Ratio (The ratio of the total benefits to total costs when total benefits and total costs are expressed in discounted present value terms) are calculated and pre</w:t>
      </w:r>
    </w:p>
    <w:p>
      <w:r>
        <w:t>POSSIBLE 2018: Cost-benefit analysis of aquaculture breeding programs — https://doi.org/10.1186/s12711-018-0372-3</w:t>
      </w:r>
    </w:p>
    <w:p>
      <w:r>
        <w:t>Shared claim-specific concepts: present, different, between, profitability, alternative; EU scope not established. This is a provisional connection, not an outcome finding.</w:t>
      </w:r>
    </w:p>
    <w:p>
      <w:r>
        <w:t>Available abstract (not full text): BACKGROUND: Profitability of breeding programs is a key determinant in the adoption of selective breeding, and can be evaluated using cost-benefit analysis. There are many options to design breeding programs, with or without a multiplier tier. Our objectives were to evaluate different breeding program designs for aquaculture and to optimize the number of selection candidates for these programs. METHODS: The baseline was based on an existing breeding program for gilthead seabream, where improvement of the nucleus had priority over improvement of the multiplier tier, which was partly replaced once every 3 years. Alternative breeding programs considered were annual multiplier tier replacement, annual multiplier tier replacement with priority on improvement of the multiplier tier, and a program without a multiplier tier. Cost-benefit analyses were performed to compare breeding programs. The outcomes were used to describe relationships between profitability and the number of selection candidates, length of the time horizon, and production output, and to estimate the optimum numbers of selection candidates. RESULTS: The baseline breeding program was profitable after 5 years and reached a net present value of 2.9 million euro in year 10. All alternative programs were more profitable up to year 17. The program without a multiplier tier was the most profitable one up to year 22, followe</w:t>
      </w:r>
    </w:p>
    <w:p>
      <w:pPr>
        <w:pStyle w:val="Heading2"/>
      </w:pPr>
      <w:r>
        <w:t>Environmental Implications of Dynamic Policies on Food Consumption and Waste Handling in the European Union</w:t>
      </w:r>
    </w:p>
    <w:p>
      <w:r>
        <w:t>Original source (2016): https://doi.org/10.3390/su8030282</w:t>
      </w:r>
    </w:p>
    <w:p>
      <w:r>
        <w:t>Original wording (abstract; indexed_source_text_not_full_document_verified): The implications are reviewed using a number of scenarios for the years 2030 and 2050 assuming policy instruments are fully effective.</w:t>
      </w:r>
    </w:p>
    <w:p>
      <w:r>
        <w:t>POSSIBLE 2021: Double materiality and the shift from non-financial to European sustainability reporting: review, outlook and implications — https://doi.org/10.1108/jaar-04-2021-0114</w:t>
      </w:r>
    </w:p>
    <w:p>
      <w:r>
        <w:t>Shared claim-specific concepts: implications, number, fully; EU scope visible. This is a provisional connection, not an outcome finding.</w:t>
      </w:r>
    </w:p>
    <w:p>
      <w:r>
        <w:t>Available abstract (not full text): Purpose This paper outlines the development of the principle of materiality in the European accounting framework, from the Modernization Directive (2003/51/EC) to the NFI Directive (2014/95/EU) and on to the proposals for a Corporate Sustainability Reporting (CSR) Directive (2021/0104 (COD)). The authors highlight how the requirements for corporate reporting in terms of sustainability matters have changed, underlining the main issues that require further attention by practitioners, researchers and legislators. Design/methodology/approach This paper is based upon a historic analysis of European Union (EU) regulations in the field of non-financial and sustainability reporting and how these have changed over time. A conceptual comparison of different reporting concepts is presented, and changes in their relevance to the EU accounting framework are discussed as part of the historic analysis. Implications from corporate practice are derived from previous empirical findings from the EU Commission's consultations. Findings The proposed change from non-financial to sustainability reporting within the EU affects more than simply the terminology used. It implies that a different understanding is needed of both the purposes of company reporting on sustainability matters and the aims of carrying out such reporting. This change was driven by the need and desire to appropriately interpret th</w:t>
      </w:r>
    </w:p>
    <w:p>
      <w:r>
        <w:t>POSSIBLE 2020: European environment policy for the circular economy: Implications for business and industry stakeholders — https://doi.org/10.1002/sd.2113</w:t>
      </w:r>
    </w:p>
    <w:p>
      <w:r>
        <w:t>Shared claim-specific concepts: implications, number; EU scope visible. This is a provisional connection, not an outcome finding.</w:t>
      </w:r>
    </w:p>
    <w:p>
      <w:r>
        <w:t>Available abstract (not full text): Abstract European Union (EU) institutions and agencies are increasingly raising awareness on the circular economy agenda. They are encouraging marketplace stakeholders to engage in sustainable production and consumption behaviors by reducing, reusing, restoring, refurbishing, and recycling resources in all stages of their value chain. Therefore, this research evaluates the latest European environmental policies including its “new circular economy plans for a cleaner and more competitive Europe.” Afterwards, it presents a systematic literature review that is focused on the circular economy in the EU context. The findings suggest that there are a number of opportunities as well as challenges for the successful planning, organization, implementation, and measurement of circular economy practices for sustainable supply chains in Europe. This contribution identifies key implications and provides reasonable recommendations to policy makers and industry practitioners.</w:t>
      </w:r>
    </w:p>
    <w:p>
      <w:r>
        <w:t>POSSIBLE 2018: Regional inequality in Europe: evidence, theory and policy implications — https://doi.org/10.1093/jeg/lby021</w:t>
      </w:r>
    </w:p>
    <w:p>
      <w:r>
        <w:t>Shared claim-specific concepts: implications, effective; EU scope visible. This is a provisional connection, not an outcome finding.</w:t>
      </w:r>
    </w:p>
    <w:p>
      <w:r>
        <w:t>Available abstract (not full text):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pPr>
        <w:pStyle w:val="Heading2"/>
      </w:pPr>
      <w:r>
        <w:t>European Water Footprint Scenarios for 2050</w:t>
      </w:r>
    </w:p>
    <w:p>
      <w:r>
        <w:t>Original source (2016): https://doi.org/10.3390/w8060226</w:t>
      </w:r>
    </w:p>
    <w:p>
      <w:r>
        <w:t>Original wording (abstract; indexed_source_text_not_full_document_verified): This study develops water footprint scenarios for Europe for 2050, at the country level, based on projections regarding population and economic growth, production and trade patterns, consumption patterns (diets and bioenergy use) and technological development. We develop four scenarios, considering globalization versus regional self-sufficiency, and development driven by economic objectives versus development driven by social and environmental objectives.</w:t>
      </w:r>
    </w:p>
    <w:p>
      <w:r>
        <w:t>POSSIBLE 2025: Blue and Green Water Footprint disparities of European households: A spatial structural decomposition analysis approach — https://doi.org/10.5194/egusphere-egu25-18436</w:t>
      </w:r>
    </w:p>
    <w:p>
      <w:r>
        <w:t>Shared claim-specific concepts: water, footprint, patterns, consumption; EU scope visible. This is a provisional connection, not an outcome finding.</w:t>
      </w:r>
    </w:p>
    <w:p>
      <w:r>
        <w:t>Available abstract (not full text): Water is an essential resource for the development of any economy as well as for human well-being. However, recent environmental crises, such as long periods of drought, are increasingly jeopardising the availability of this resource. The water footprint is caused not only by productive activity but also by household consumption. Thus, households also have a responsibility to be aware of their consumption, as their consumption patterns will produce a certain water footprint.It is in this context that we propose this article. Using a socially (different income groups) as well as environmentally (blue and green water footprint) extended multi-regional and multi-sectoral input-output model, we aim to analyse the per capita blue water footprint of European households for the year 2021. Not only that, but through a spatial structural decomposition analysis, we aim to investigate the disparities in the water footprint of European households, trying to find out what factors lie behind these differences. We intend to do this research not only for the total number of European households, but also for their income quintiles.The first results show that households in the most developed European economies have the largest per capita blue water footprint. Behind this footprint is the fact that the intensity effect distances these powers from the European average. On the other hand, the consu</w:t>
      </w:r>
    </w:p>
    <w:p>
      <w:r>
        <w:t>POSSIBLE 2024: The water footprint of hydrogen production — https://doi.org/10.1016/j.scitotenv.2024.172384</w:t>
      </w:r>
    </w:p>
    <w:p>
      <w:r>
        <w:t>Shared claim-specific concepts: water, footprint, production; EU scope not established. This is a provisional connection, not an outcome finding.</w:t>
      </w:r>
    </w:p>
    <w:p>
      <w:r>
        <w:t>Available abstract (not full text): Unavailable</w:t>
      </w:r>
    </w:p>
    <w:p>
      <w:r>
        <w:t>POSSIBLE 2023: Advancing water footprint assessments: Combining the impacts of water pollution and scarcity — https://doi.org/10.1016/j.scitotenv.2023.161910</w:t>
      </w:r>
    </w:p>
    <w:p>
      <w:r>
        <w:t>Shared claim-specific concepts: water, footprint, level, consumption, use; EU scope visible. This is a provisional connection, not an outcome finding.</w:t>
      </w:r>
    </w:p>
    <w:p>
      <w:r>
        <w:t>Available abstract (not full text): Several water footprint indicators have been developed to curb freshwater stress. Volumetric footprints support water allocation decisions and strive to increase water productivity in all sectors. In contrast, impact-oriented footprints are used to minimize the impacts of water use on human health, ecosystems, and freshwater resources. Efforts to combine both perspectives in a harmonized framework have been undertaken, but common challenges remain, such as pollution and ecosystems impacts modelling. To address these knowledge gaps, we build upon a water footprint assessment framework proposed at conceptual level to expand and operationalize relevant features. We propose two regionalized indicators, namely the water biodiversity footprint and the water resource footprint, that aggregate all impacts from toxic chemicals, nutrients, and water scarcity. The first impact indicator represents the impacts on freshwater ecosystems. The second one models the competition for freshwater resources and its consequences on freshwater availability. As part of the framework, we complement the two indicators with a sustainability assessment representing the levels above which ecological and human freshwater needs are no longer sustained. We test our approach assessing the sustainability of water use in the European Union in 2010. Water stress hampers 15 % of domestic, agricultural and industria</w:t>
      </w:r>
    </w:p>
    <w:p>
      <w:r>
        <w:t>POSSIBLE 2023: Gone with the clouds: Estimating the electricity and water footprint of digital data services in Europe — https://doi.org/10.1016/j.enconman.2023.117225</w:t>
      </w:r>
    </w:p>
    <w:p>
      <w:r>
        <w:t>Shared claim-specific concepts: water, footprint, population, consumption, technological; EU scope visible. This is a provisional connection, not an outcome finding.</w:t>
      </w:r>
    </w:p>
    <w:p>
      <w:r>
        <w:t>Available abstract (not full text):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r>
        <w:t>POSSIBLE 2022: Analysis of the Water Footprint of Central and Eastern Europe Countries — https://doi.org/10.21697/seb.2022.27</w:t>
      </w:r>
    </w:p>
    <w:p>
      <w:r>
        <w:t>Shared claim-specific concepts: water, footprint, production; EU scope visible. This is a provisional connection, not an outcome finding.</w:t>
      </w:r>
    </w:p>
    <w:p>
      <w:r>
        <w:t>Available abstract (not full text): The article presents an analysis of the water footprint of five Central and Eastern European countries, i.e. Poland, Slovakia, Lithuania, Ukraine and Belarus. The first three are members of the European Union, the other two are not. These countries also differ in terms of climate. The green, blue and grey water footprints of crop production, grazing, animal water supply, industrial production and domestic water supply are analysed. The per capita water footprint is also calculated. It is the highest for the countries of the former Soviet Union, that is Ukraine, Belarus and Lithuania, and half as low for Poland and Slovakia. In the case of virtual water, Poland dominates in the area of import, and Ukraine in export. The index of the net import of virtual water is unfavourable for Ukraine and Lithuania and is much more positive for Poland and Belarus. When calculated per capita, the net import of green virtual water is the highest for Belarus (340 m3/person/year) and Poland (148 m3/person/year). A positive value of this index was also recorded for Slovakia and negative for Lithuania and Ukraine (-282 m3/person/year). Taking into account the exposure of the southern Ukraine steppe to water stress, this is not a favourable situation for greater export of virtual water than its import.</w:t>
      </w:r>
    </w:p>
    <w:p>
      <w:r>
        <w:t>POSSIBLE 2021: A Review of Water Stress and Water Footprint Accounting — https://doi.org/10.3390/w13020201</w:t>
      </w:r>
    </w:p>
    <w:p>
      <w:r>
        <w:t>Shared claim-specific concepts: water, footprint, production, consumption, use; EU scope not established. This is a provisional connection, not an outcome finding.</w:t>
      </w:r>
    </w:p>
    <w:p>
      <w:r>
        <w:t>Available abstract (not full text): Production and consumption activities deplete freshwater, generate water pollution and may further lead to water stress. The accurate measurement of water stress is a precondition for sustainable water management. This paper reviews the literature on physical water stress induced by blue and green water use and by water pollution. Specifically, we clarify several key concepts (i.e., water stress, scarcity, availability, withdrawal, consumption and the water footprint) for water stress evaluation, and review physical water stress indicators in terms of quantity and quality. Furthermore, we identify research gaps in physical water stress assessment, related to environmental flow requirements, return flows, outsourcing of water pollution and standardization of terminology and approaches. These research gaps can serve as venues for further research dealing with the evaluation and reduction of water stress.</w:t>
      </w:r>
    </w:p>
    <w:p>
      <w:r>
        <w:t>POSSIBLE 2020: The Water Footprint of Global Food Production — https://doi.org/10.3390/w12102696</w:t>
      </w:r>
    </w:p>
    <w:p>
      <w:r>
        <w:t>Shared claim-specific concepts: water, footprint, population, production, diets, use; EU scope not established. This is a provisional connection, not an outcome finding.</w:t>
      </w:r>
    </w:p>
    <w:p>
      <w:r>
        <w:t>Available abstract (not full text): Agricultural production is the main consumer of water. Future population growth, income growth, and dietary shifts are expected to increase demand for water. The paper presents a brief review of the water footprint of crop production and the sustainability of the blue water footprint. The estimated global consumptive (green plus blue) water footprint ranges from 5938 to 8508 km3/year. The water footprint is projected to increase by as much as 22% due to climate change and land use change by 2090. Approximately 57% of the global blue water footprint is shown to violate the environmental flow requirements. This calls for action to improve the sustainability of water and protect ecosystems that depend on it. Some of the measures include increasing water productivity, setting benchmarks, setting caps on the water footprint per river basin, shifting the diets to food items with low water requirements, and reducing food waste.</w:t>
      </w:r>
    </w:p>
    <w:p>
      <w:r>
        <w:t>POSSIBLE 2020: The Water Footprint Concept and Water's Grand Environmental Challenges — https://doi.org/10.1016/j.oneear.2020.02.010</w:t>
      </w:r>
    </w:p>
    <w:p>
      <w:r>
        <w:t>Shared claim-specific concepts: water, footprint, consumption; EU scope not established. This is a provisional connection, not an outcome finding.</w:t>
      </w:r>
    </w:p>
    <w:p>
      <w:r>
        <w:t>Available abstract (not full text): Widespread water scarcity, water pollution, and depletion of freshwater resources are among the grand environmental challenges of the 21 st century related to water. Central to these challenges is the fact that humanity uses too much water. But what are we using all that water for? The water footprint concept can help answer this question, and more. Addressing the relation between human freshwater consumption and water's grand environmental challenges, the water footprint concept resonates with stakeholders within and beyond the walls of science. This Primer describes the basics of the water footprint concept, how it works, and why it came about. Drawing from recent studies in the new research field of Water Footprint Assessment, it highlights some intriguing applications and delves into what is next on the exciting interdisciplinary research agenda.</w:t>
      </w:r>
    </w:p>
    <w:p>
      <w:r>
        <w:t>POSSIBLE 2019: The consumptive water footprint of the European Union energy sector — https://doi.org/10.1088/1748-9326/ab374a</w:t>
      </w:r>
    </w:p>
    <w:p>
      <w:r>
        <w:t>Shared claim-specific concepts: water, footprint, level, based, production, consumption; EU scope visible. This is a provisional connection, not an outcome finding.</w:t>
      </w:r>
    </w:p>
    <w:p>
      <w:r>
        <w:t>Available abstract (not full text): Abstract Energy security for the EU is a priority of the European Commission. Although both blue and green water resources are increasingly scarce, the EU currently does not explicitly account for water resource use in its energy related policies. Here we quantify the freshwater resources required to produce the different energy sources in the EU, by means of the water footprint (WF) concept. We conduct the most geographically detailed consumptive WF assessment for the EU to date, based on the newest spatial databases of energy sources. We calculate that fossil fuels and nuclear energy are moderate water users (136–627 m3/terajoules (m3 TJ–1)). Of the renewable energy sources, wood, reservoir hydropower and first generation biofuels require large water amounts (9114–137 624 m3 TJ–1). The most water efficient are solar, wind, geothermal and run-of-river hydropower (1–117 m3 TJ–1). For the EU territory for the year 2015, our geographically detailed assessment results in a WF of energy production from domestic water resources of 198 km3, or 1068 litres per person per day. The WF of energy consumption is larger as the EU is to a high level dependent on imports for its energy supply, amounting to 242 km3 per year, or 1301 litres per person per day. The WF of energy production within the 281 EU statistical NUTS-2 (Nomenclature of Territorial Units for Statistics) regions shows spatia</w:t>
      </w:r>
    </w:p>
    <w:p>
      <w:r>
        <w:t>POSSIBLE 2019: The Water Footprint of Wood for Energy Consumed in the European Union — https://doi.org/10.3390/w11020206</w:t>
      </w:r>
    </w:p>
    <w:p>
      <w:r>
        <w:t>Shared claim-specific concepts: water, footprint, production, trade, consumption, use; EU scope visible. This is a provisional connection, not an outcome finding.</w:t>
      </w:r>
    </w:p>
    <w:p>
      <w:r>
        <w:t xml:space="preserve">Available abstract (not full text): The European Union (EU) aims at increasing the share of renewable energy use, of which nearly half originates from wood sources currently. An energy supply from wood sources strongly relies on green water resources, which are limited and also essential for food security and terrestrial biodiversity. We have estimated the water footprint (WF) of wood for energy consumed in the EU-28 (WFwec) by combining data on energy produced from wood sources in the EU per member state for the year 2015 from the EU energy reference scenario 2016, extra-EU trade in fuelwood and charcoal, and country-specific estimates of the water footprint per unit of wood. We find that the WFwec is large (156 × 109 m3/y), 94% of this footprint is situated within the EU, and it is almost exclusively related to green water (99%). Adding WFwec to the WF related to the EU’s consumption of agricultural and industrial products as well as domestic water use (702 × 109 m3/y) signifies an increase of 22% to 858 × 109 m3/y. We show that over half of the internal WFwec is in member states that have a high degree of green water scarcity and hence very limited potential left to sustainably allocate more green water flows to biomass production. The results of this study feed into the debate on how the EU can achieve a sustainable and reliable energy supply. Policies on energy security should consider that increased use of </w:t>
      </w:r>
    </w:p>
    <w:p>
      <w:r>
        <w:t>POSSIBLE 2019: Water footprint for industrial products. A paradigm of concentration — https://doi.org/10.33727/jriss.2019.1.16:123-130</w:t>
      </w:r>
    </w:p>
    <w:p>
      <w:r>
        <w:t>Shared claim-specific concepts: water, footprint, population, production, consumption, develop; EU scope visible. This is a provisional connection, not an outcome finding.</w:t>
      </w:r>
    </w:p>
    <w:p>
      <w:r>
        <w:t>Available abstract (not full text): Linking economic research to the sustainability process also includes the need to study water footprint issues of consumption of industrial products.In this context, the water footprint of the consumption of industrial products from the point of view of the territorial concentration in European countries is analyzed.At the same time, this type of water is approached on the two categories of components: blue and gray, taking into account the volume of water resources used internally and externally for the production of goods and services consumed by the population.Also, the degree of concentration of water footprint of the consumption of industrial products was determined in the paper.Thus, two of the most significant indicators (Gini Coefficient and Shannon Entropy) were used and relevant concentration curves were constructed.The results highlighted for both categories, blue and gray, a high degree of internal concentration and reduced external focus.Taking into account the results the future orientation is to develop and implement environmental strategies that will reduce the water footprint of the consumption of industrial products, especially for the internal category.</w:t>
      </w:r>
    </w:p>
    <w:p>
      <w:r>
        <w:t>POSSIBLE 2019: Ecological Footprint and Water Footprint of Taipei — https://doi.org/10.3390/su11205714</w:t>
      </w:r>
    </w:p>
    <w:p>
      <w:r>
        <w:t>Shared claim-specific concepts: water, footprint, level, patterns, consumption; EU scope not established. This is a provisional connection, not an outcome finding.</w:t>
      </w:r>
    </w:p>
    <w:p>
      <w:r>
        <w:t>Available abstract (not full text): Taiwan suffers from many natural disasters and is vulnerable to climate change. A continuous increase in its ecological footprint (EF) would pose numerous threats to the city. Taipei is Taiwan’s most densely populated city. Whether its citizens are consuming more resources because of their high income and high degree of urbanization, thereby burdening the environment, warrants study. In contrast to most top-down EF analyses, in this study, 445 residents were surveyed to calculate their carbon, built-up land and water footprints. Gender, occupation, age, education level and personal annual income do not influence water footprint or EF. Moreover, an individual’s water footprint is not correlated with his or her EF. The built-up land footprint that is obtained in this bottom-up study is similar to that in Taiwan’s top-down national footprint account. However, the personal carbon footprint found herein is smaller than that in the national footprint account, because this study asked respondents only about consumption related to everyday activities. Since Taipei residents have a high income and high daily consumption, the water footprint herein is larger than the top-down water footprint. This bottom-up EF analysis reflects residents’ daily consumption patterns and can be used in future urban decision-making.</w:t>
      </w:r>
    </w:p>
    <w:p>
      <w:pPr>
        <w:pStyle w:val="Heading2"/>
      </w:pPr>
      <w:r>
        <w:t>Financing Innovations for the Renewable Energy Transition in Europe</w:t>
      </w:r>
    </w:p>
    <w:p>
      <w:r>
        <w:t>Original source (2016): https://doi.org/10.3390/en9120990</w:t>
      </w:r>
    </w:p>
    <w:p>
      <w:r>
        <w:t>Original wording (abstract; indexed_source_text_not_full_document_verified): Results indicate that Member States in Europe currently tend to fund renewables more than the European Commission, but funding from both sources is expected to increase in the future. Both scenarios are compared to the European 2030 climate and energy framework target sets.</w:t>
      </w:r>
    </w:p>
    <w:p>
      <w:r>
        <w:t>POSSIBLE 2025: Comparison of Excise Duties in the Member States of the European Union — https://openalex.org/W7128985412</w:t>
      </w:r>
    </w:p>
    <w:p>
      <w:r>
        <w:t>Shared claim-specific concepts: indicate, member, states, both, framework; EU scope visible. This is a provisional connection, not an outcome finding.</w:t>
      </w:r>
    </w:p>
    <w:p>
      <w:r>
        <w:t>Available abstract (not full text): This thesis focuses on the regulation of excise duties in the member states of the European Union, their harmonization, legislative framework, and application across individual EU countries. It analyses the overall tax burden, tax rates, and revenues from excise duties. Both qualitative methods, such as data collection and observation, and quantitative methods, including cluster analysis, trend analysis, and data comparison, are used. The results show a high level of similarity among member states' tax systems, confirming the significant impact of harmonization. Exceptions occur infrequently. The findings also indicate that increasing tax rates as part of the harmonization process contributes in most countries to reducing the consumption of harmful commodities and provides stable public revenue. Thus, the harmonization of excise duties within the EU fulfils its role both fiscally and in terms of public health.</w:t>
      </w:r>
    </w:p>
    <w:p>
      <w:r>
        <w:t>POSSIBLE 2024: Stronger Member States for a Stronger European Union — https://doi.org/10.62733/2024.2.143-161</w:t>
      </w:r>
    </w:p>
    <w:p>
      <w:r>
        <w:t>Shared claim-specific concepts: member, states, both; EU scope visible. This is a provisional connection, not an outcome finding.</w:t>
      </w:r>
    </w:p>
    <w:p>
      <w:r>
        <w:t>Available abstract (not full text): When discussing topics such as national sovereignty and the primacy of European Union (EU) law, the main question boils down to the distribution of competences. We must acknowledge both the historical context of the EU and the current trends in its role in the world’s geopolitical structure. This study focuses on identifying the extent of the limitations surrounding the EU’s power in the Hungarian legislature, how sovereignty is defined, and what aspects of constitutional identity are raised in conversations around this issue. Furthermore, the study aims to present relevant national case law related to the principle of the primacy of EU law and its relationship with Hungary’s national sovereignty and compare it with the position of other Member States’ national courts. This is a vital part of the discussion at hand, which will hopefully lead to an open conversation regarding the future of the EU, the possible outcome of a Convent, and what the continent will look like in the future. The study hypothesises that Member States will follow the trend of attempting to maintain as much sovereignty as possible via the decisions of their Constitutional Courts, in addition to contradicting some EU measures and resisting certain aspirations. Despite this phenomenon, integration is undoubtedly necessary; therefore, this conflict requires an urgent resolution, which will hopefully draw a li</w:t>
      </w:r>
    </w:p>
    <w:p>
      <w:r>
        <w:t>POSSIBLE 2021: Hydrogen in the Strategies of the European Union Member States — https://doi.org/10.24425/gsm.2021.138660</w:t>
      </w:r>
    </w:p>
    <w:p>
      <w:r>
        <w:t>Shared claim-specific concepts: member, states, currently, but, sources, climate; EU scope visible. This is a provisional connection, not an outcome finding.</w:t>
      </w:r>
    </w:p>
    <w:p>
      <w:r>
        <w:t xml:space="preserve">Available abstract (not full text): Strategies and roadmaps are essential in areas that require long-term planning, such as the energy transition. Strategic plans can play an important role in developing visions for reducing CO2 emissions, developing renewable energy sources (RES) and hydrogen technologies. Hydrogen can be included in value chains in various sectors of the economy as raw material, emission-free fuel, or as an energy carrier and storage. The analysis of the future of hydrogen energy, which is an essential component of transforming the economy into an environmentally neutral one, is an integral part of the strategies of the European Union (EU) Member States. This article reviews the strategic documents of the EU countries in the field of a hydrogen economy. Currently, six EU Member States have approved the hydrogen strategy (Germany, France, the Netherlands, Portugal, Hungary, Czech Republic), and two of them have roadmaps (Spain, Finland). The others are working on their completion in 2021. EU countries have the possibility of energy transformation based on a hydrogen policy, including green hydrogen, within the framework of the European Green Deal, i.e. aiming for climate neutrality and creating a modern and environmentally friendly economy. By 2030, some of the countries plan to become a leader not only in the field of hydrogen production or RES development aimed at this process but also in the </w:t>
      </w:r>
    </w:p>
    <w:p>
      <w:r>
        <w:t>POSSIBLE 2020: Overview of BIM integration into the Construction Sector in European Member States and European Union Acquis — https://doi.org/10.1088/1755-1315/410/1/012073</w:t>
      </w:r>
    </w:p>
    <w:p>
      <w:r>
        <w:t>Shared claim-specific concepts: indicate, member, states, but, energy; EU scope visible. This is a provisional connection, not an outcome finding.</w:t>
      </w:r>
    </w:p>
    <w:p>
      <w:r>
        <w:t>Available abstract (not full text): Abstract The amount of information involved in any construction project and the necessity of control of time, cost and waste, has established Building Information Modelling (BIM) as an integral part of construction sector towards achieving adequate communication of information among various parties involved in construction projects. Moreover, it can be considered as a valuable tool for the optimum selection of materials, systems and design decisions, regarding not only the improve of a structure’s performance, but also in terms of reducing its carbon footprint during its life cycle. The study attempts to present the integration of BIM into the national legislation of European Member States, with a special focus on the energy related aspects of BIM analysis. This study performs an overview of the introduction of BIM into different aspects and requirements of the EU Member States building practices, through a comprehensive literature and legislation review of relative legislative documents of the construction sector. According to the findings of this overview study, the concept of BIM has already been incorporated in many aspects of the Acquis of EU Member States, which is recognized as a valuable tool to be exploited by the construction sector, however there is still room for development in this area. The study has revealed that especially in the energy assessment of the built e</w:t>
      </w:r>
    </w:p>
    <w:p>
      <w:r>
        <w:t>POSSIBLE 2020: Scope and Exercise of the Exclusive Competences of the Member States of the European Union — https://doi.org/10.31743/recl.6056</w:t>
      </w:r>
    </w:p>
    <w:p>
      <w:r>
        <w:t>Shared claim-specific concepts: member, states, both; EU scope visible. This is a provisional connection, not an outcome finding.</w:t>
      </w:r>
    </w:p>
    <w:p>
      <w:r>
        <w:t>Available abstract (not full text): The process of European integration has introduced the Member States into a new legal reality. The existing exclusivity in the area of competence implementation has been replaced by a two-stage model of their exercise. The Member States, when conferring part of their supervisory powers, did not specify the scope of their own competences. The so-called European clauses were analysed in the Constitutions of selected Member States, which showed that they define the recipient of the conferral and, in a non-uniform manner, specify the subject of the conferral. The analysis of the indicated provisions clearly shows that the Constitutions of the Member States exclude full conferral of competences on the European Union. There is no specification of the scope of competences that may be conferred. However, this issue was addressed by Constitutional Courts of the Member States. The article refers to the judgements of the German Federal Constitutional Court and the Polish Constitutional Court. It has been shown that they equate exclusive competences of the Member States with the scope of the concept of constitutional identity reduced to basic principles of the state. The Court of Justice of the European Union analysed the scope of competences of both entities. The article presents the analysis of judgements on: entries in Civil Registry regarding transcription of surnames, the issue of rec</w:t>
      </w:r>
    </w:p>
    <w:p>
      <w:r>
        <w:t>POSSIBLE 2019: Differentiation in the production potential and efficiency of farms in the member states of the European Union — https://doi.org/10.17221/378/2018-agricecon</w:t>
      </w:r>
    </w:p>
    <w:p>
      <w:r>
        <w:t>Shared claim-specific concepts: indicate, member, states; EU scope visible. This is a provisional connection, not an outcome finding.</w:t>
      </w:r>
    </w:p>
    <w:p>
      <w:r>
        <w:t>Available abstract (not full text): This paper contains an evaluation of the differentiation of the production potential and efficiency of farms in the member states of the European Union in 2013-2016. To this end, a taxonomic method - Hellwig's development measure - was used. The study was based on data from the European Union Farm Accountancy Data Network (FADN). The study results indicate that member states such as the Netherlands, Denmark, Luxembourg, Belgium, the United Kingdom and Slovakia were characterised by the best agricultural production potential. The first four member states also showed the highest efficiency with regard to the utilisation of production factors. On the other hand, low and average potential and efficiency were characteristic of farms in most of the new member states.</w:t>
      </w:r>
    </w:p>
    <w:p>
      <w:r>
        <w:t>POSSIBLE 2018: The European Union and Member States — https://doi.org/10.7765/9781526137364.00009</w:t>
      </w:r>
    </w:p>
    <w:p>
      <w:r>
        <w:t>Shared claim-specific concepts: member, states, both; EU scope visible. This is a provisional connection, not an outcome finding.</w:t>
      </w:r>
    </w:p>
    <w:p>
      <w:r>
        <w:t>Available abstract (not full text): This introduction presents an overview of the key concepts covered in the subsequent chapters of this book. The book takes up traditional approaches to political science. In view of the European Union's multi-level and multi-actor polity, it highlights the complex procedural and institutional set-up of nation states preparing and implementing decisions made by the institutions of the European Community (EC). In looking at the emerging and evolving realities of the European polity, the book explores how European institutions and Member States (re-)act and interact in a new institutional and procedural set-up. It offers a mixture of conventional and specific analyses and insights for different groups of readers. For scholars of international relations, European integration and comparative politics, these evolutions involve looking at both the national level, as in comparative studies, and at the European level, as in integration-related approaches.</w:t>
      </w:r>
    </w:p>
    <w:p>
      <w:r>
        <w:t>POSSIBLE 2018: The European Union, the Member States, and the Lex Mercatoria — https://openalex.org/W2806821987</w:t>
      </w:r>
    </w:p>
    <w:p>
      <w:r>
        <w:t>Shared claim-specific concepts: member, states, sources; EU scope visible. This is a provisional connection, not an outcome finding.</w:t>
      </w:r>
    </w:p>
    <w:p>
      <w:r>
        <w:t>Available abstract (not full text): The phenomena linked to the "internationalization" and "globalization" of the economy prompt the demand for uniform legal frameworks in supranational governance and encourage forms of “self-regulation”. This spontaneous attempt at harmonizing law at the supranational level is often prepared by market forces and comes to add to the classical legal models while leading to the emergence of a new lex mercatoria. The aim of this paper is to analyze the openings of the European system to the transnational production of law identified under the term "new lex mercatoria" by verifying all the factors that allow its sources of law to enter into the European legal order. The division of competences between Member States and European Union in this regard is analyzed as well as all their implications in terms of sources of law. The study addresses the relationship between spontaneous and institutional attempts to regulate the markets, as well as their implications, risks and impact on the national legal system. In fact, even though they relate mainly to commercial transactions, questions linked to the rule of law and protection of rights are involved, which require the reconciling of private and public interests.</w:t>
      </w:r>
    </w:p>
    <w:p>
      <w:r>
        <w:t>POSSIBLE 2018: CONCENTRATION OF AGRICULTURAL LAND IN THE EUROPEAN UNION MEMBER STATES — https://doi.org/10.5604/01.3001.0012.6692</w:t>
      </w:r>
    </w:p>
    <w:p>
      <w:r>
        <w:t>Shared claim-specific concepts: member, states, framework; EU scope visible. This is a provisional connection, not an outcome finding.</w:t>
      </w:r>
    </w:p>
    <w:p>
      <w:r>
        <w:t>Available abstract (not full text): The paper discusses the issue of concentration of agricultural land in Poland and in the European Union Member States by indicating the existing situation and changes occurring in the years 2005-2013. For this purpose, on the basis of Eurostat data the Lorenz curves were plotted and the values of the Gini indexes were estimated. As a result of analyzes, it is pointed out that the concentration of agricultural land in the EU has mainly local character, which should be included in the framework of the proposed and implemented Common Agricultural Policy of the European Union and national policies concerning the agricultural sector.</w:t>
      </w:r>
    </w:p>
    <w:p>
      <w:r>
        <w:t>POSSIBLE 2018: Energy solidarity in the European Union in the context of the particular interests of the Member States — https://doi.org/10.33223/epj/96205</w:t>
      </w:r>
    </w:p>
    <w:p>
      <w:r>
        <w:t>Shared claim-specific concepts: member, states, commission, but, energy; EU scope visible. This is a provisional connection, not an outcome finding.</w:t>
      </w:r>
    </w:p>
    <w:p>
      <w:r>
        <w:t>Available abstract (not full text): The article presents the question of solidarity in relation to the energy policy of the European Union.This topic seems particularly important in the context of the crisis of the European integration process, which includes, in particular, economic problems, the migration crisis and the withdrawal of the United Kingdom from the European Union (Brexit).The issue of solidarity was analyzed from the legal and formal, institutional, and functional and relational points of view.The aim of the article is to show to what extent the theoretical assumptions, resulting from the provisions of European law on the solidarity, correspond with the actions of the Member States in the energy sector.The practice of the integration process indicates that the particular national economic interests in the energy sector are more important for the Member States than working towards European solidarity.Meanwhile, without a sense of responsibility for the pan-European interest, it is not possible to effectively implement the EU's energy policy.The European Commission -as the guardian of the treaties -confronts the Member States with ambitious challenges to be undertaken "in the spirit of solidarity".In the verbal sphere, this is supported by by capitals of the individual countries, but in practice, the actions taken divide the Member States into opposing camps instead of building a sense of the Europea</w:t>
      </w:r>
    </w:p>
    <w:p>
      <w:r>
        <w:t>POSSIBLE 2018: Migration and the economic crisis in the European Union member states: cluster analysis — https://doi.org/10.9770/jesi.2018.6.2(34)</w:t>
      </w:r>
    </w:p>
    <w:p>
      <w:r>
        <w:t>Shared claim-specific concepts: indicate, member, states; EU scope visible. This is a provisional connection, not an outcome finding.</w:t>
      </w:r>
    </w:p>
    <w:p>
      <w:r>
        <w:t>Available abstract (not full text): European Union (EU) is facing large migration flows, whose distribution and volatility in the observed period between 2006 and 2015 across the EU member states, among other factors, were affected by the financial and economic crisis.This paper examines how the homogeneity of the EU member states was changing with respect to economic performance and migration statistics indicators.Consequently, the non-hierarchical cluster analysis by using k-means method was conducted based on the average values of the selected variables in four time periods: the pre-crisis, crisis, and post-crisis periods.The fourth period is year 2015, the beginning of massive immigration in the EU area due to world migration crisis.Our results indicate relative stability of the number and structure of clusters of EU-28 member states in the selected time periods on the bases of observed variables.There are few exceptions, however, related to countries that were heavily influenced by the financial and economic crisis, and Germany which stood out with decreasing unemployment rates and increasing net migration values in the post-crisis period.</w:t>
      </w:r>
    </w:p>
    <w:p>
      <w:r>
        <w:t>POSSIBLE 2017: Electricity carbon intensity in European Member States: Impacts on GHG emissions of electric vehicles — https://doi.org/10.1016/j.trd.2017.07.012</w:t>
      </w:r>
    </w:p>
    <w:p>
      <w:r>
        <w:t>Shared claim-specific concepts: member, states, compared; EU scope visible. This is a provisional connection, not an outcome finding.</w:t>
      </w:r>
    </w:p>
    <w:p>
      <w:r>
        <w:t>Available abstract (not full text): The Well-To-Wheels (WTW) methodology is widely used for policy making in the transportation sector. In this paper updated WTW calculations are provided, relying on 2013 statistic data, for the carbon intensity (CI) of the European electricity mix; detail is provided for electricity consumed in each EU Member State (MS). An interesting aspect presented is the calculation of the GHG content of electricity traded between Countries, affecting the carbon intensity of the electricity consumed at national level. The amount and CI of imported electricity is a key aspect: a Country importing electricity from another Country with a lower CI of electricity will lower, after the trade, its electricity CI, while importing electricity from a Country with a higher CI will raise the CI of the importing Country. In average, the CI of electricity used in EU at low voltage in 2013 was 447 gCO 2 eq/kWh, which is the 17% less compared to 2009. Then, some examples of calculation of GHG emissions from the use of electric vehicles (EVs) compared to internal combustion engine vehicles are provided. The use of EVs instead of gasoline vehicles can save (about 60% of) GHG in all or in most of the EU MSs, depending on the estimated consumption of EVs. Compared with diesel, EVs show average GHG savings of around 50% and not savings at all in some EU MS.</w:t>
      </w:r>
    </w:p>
    <w:p>
      <w:pPr>
        <w:pStyle w:val="Heading2"/>
      </w:pPr>
      <w:r>
        <w:t>First-mover advantages of the European Union's climate change mitigation strategy</w:t>
      </w:r>
    </w:p>
    <w:p>
      <w:r>
        <w:t>Original source (2016): https://doi.org/10.1002/er.3487</w:t>
      </w:r>
    </w:p>
    <w:p>
      <w:r>
        <w:t>Original wording (abstract; indexed_source_text_not_full_document_verified): Assuming that strong climate mitigation action will be undertaken only after 2030, the scenarios compare two main strategies for the EU: pursuing strong emission reduction unilaterally until 2030 versus deferring action for the period after 2030. The model-based projections show clear advantages for the EU as a first mover in climate change mitigation compared with a delaying of climate action until 2030.</w:t>
      </w:r>
    </w:p>
    <w:p>
      <w:r>
        <w:t>POSSIBLE 2023: Famines in medieval and early modern Europe—Connecting climate and society — https://doi.org/10.1002/wcc.859</w:t>
      </w:r>
    </w:p>
    <w:p>
      <w:r>
        <w:t>Shared claim-specific concepts: strong, climate, main, period; EU scope visible. This is a provisional connection, not an outcome finding.</w:t>
      </w:r>
    </w:p>
    <w:p>
      <w:r>
        <w:t>Available abstract (not full text): Abstract The article evaluates recent scholarship on famines in Europe during the medieval and early modern periods (c. 700–1800), synthesizing the state‐of‐the‐art knowledge and identifying both research gaps and interdisciplinary potentials. Particular focus is placed on how, and to what extent, climatic change and variability is given explanatory power in famine causation. Current research, supported by recent advances in palaeoclimatology, reveals that anomalous cold conditions constituted the main environmental backdrop for severe food production crises that could result in famines in pre‐industrial Europe. Such food crises occurred most frequently between c. 1550 and 1710, during the climax of the Little Ice Age cooling, and can be connected to the strong dependency on grain in Europe during this period. The available body of scholarship demonstrates that famines in medieval and early modern Europe best can be understood as the result of the interactions of climatic and societal stressors responding to pre‐existing vulnerabilities. Recent research has shown that societal responses to these famines, and the appropriation of their consequences, have been much more comprehensive, dynamic, and substantial than previously assumed. The article concludes by providing recommendations for future studies on historical famines. This article is categorized under: Climate, History, So</w:t>
      </w:r>
    </w:p>
    <w:p>
      <w:r>
        <w:t>POSSIBLE 2021: Assessing the Economic Structure, Climate Change and Decarbonisation in Europe — https://doi.org/10.1007/s41748-021-00232-7</w:t>
      </w:r>
    </w:p>
    <w:p>
      <w:r>
        <w:t>Shared claim-specific concepts: assuming, strong, climate, mitigation, emission, reduction; EU scope visible. This is a provisional connection, not an outcome finding.</w:t>
      </w:r>
    </w:p>
    <w:p>
      <w:r>
        <w:t>Available abstract (not full text): Abstract Anthropogenic greenhouse gas (GHG) emissions coming mainly from fossil fuel combustion for energy use are causing air temperature increases resulting in climate change. This study employs an environmentally extended input–output model to conduct an economy-wide assessment of GHG emissions in the European Union (EU). Model results indicate that the assumed growth of economic activity by 2030 will lead to a large increase in GHG emissions by 89%, assuming no technological change and no additional policy mitigation efforts. The electricity sector and agriculture create the highest direct and indirect GHG emissions per unit of economic output across the 27 EU member states (EU-27); for every 1-million-euro-increase in the final demand for the products and services of the electricity sector and agriculture, 2198 and 1410 additional tons of GHG emit, respectively. Regional climate projections under a low-decarbonisation pathway (RCP8.5), in accordance with our economic analysis, indicate a further increase of regional warming, combined with pronounced changes in the hydrological cycle. Contrariwise, following a strong mitigation pathway (RCP2.6) will result in warming levels lower than 1.5 °C with respect to the 1986–2005 reference period. Our findings reveal the importance of both direct and indirect contribution of economic sectors in the generation of GHG emissions, takin</w:t>
      </w:r>
    </w:p>
    <w:p>
      <w:r>
        <w:t>POSSIBLE 2021: Emergent vulnerability to climate-driven disturbances in European forests — https://doi.org/10.1038/s41467-021-21399-7</w:t>
      </w:r>
    </w:p>
    <w:p>
      <w:r>
        <w:t>Shared claim-specific concepts: climate, mitigation, strategies, reduction, period, show; EU scope visible. This is a provisional connection, not an outcome finding.</w:t>
      </w:r>
    </w:p>
    <w:p>
      <w:r>
        <w:t>Available abstract (not full text): Forest disturbance regimes are expected to intensify as Earth's climate changes. Quantifying forest vulnerability to disturbances and understanding the underlying mechanisms is crucial to develop mitigation and adaptation strategies. However, observational evidence is largely missing at regional to continental scales. Here, we quantify the vulnerability of European forests to fires, windthrows and insect outbreaks during the period 1979-2018 by integrating machine learning with disturbance data and satellite products. We show that about 33.4 billion tonnes of forest biomass could be seriously affected by these disturbances, with higher relative losses when exposed to windthrows (40%) and fires (34%) compared to insect outbreaks (26%). The spatial pattern in vulnerability is strongly controlled by the interplay between forest characteristics and background climate. Hotspot regions for vulnerability are located at the borders of the climate envelope, in both southern and northern Europe. There is a clear trend in overall forest vulnerability that is driven by a warming-induced reduction in plant defence mechanisms to insect outbreaks, especially at high latitudes.</w:t>
      </w:r>
    </w:p>
    <w:p>
      <w:r>
        <w:t>POSSIBLE 2020: Future Climate Change in the European Alps — https://doi.org/10.1093/acrefore/9780190228620.013.767</w:t>
      </w:r>
    </w:p>
    <w:p>
      <w:r>
        <w:t>Shared claim-specific concepts: strong, climate, only, emission, until, projections; EU scope visible. This is a provisional connection, not an outcome finding.</w:t>
      </w:r>
    </w:p>
    <w:p>
      <w:r>
        <w:t>Available abstract (not full text): Abstract The analysis of state-of-the-art regional climate projections indicates a number of robust changes of the climate of the European Alps by the end of this century. Among these are a temperature increase in all seasons and at all elevations and a significant decrease in natural snow cover. Precipitation changes, however, are more subtle and subject to larger uncertainties. While annual precipitation sums are projected to remain rather constant until the end of the century, winter precipitation is projected to increase. Summer precipitation changes will most likely be negative, but increases are possible as well and are covered by the model uncertainty range. Precipitation extremes are expected to intensify in all seasons. The projected changes by the end of the century considerably depend on the greenhouse-gas scenario assumed, with the high-end RCP8.5 scenario being associated with the most prominent changes. Until the middle of the 21st century, however, it is projected that climate change in the Alpine area will only slightly depend on the specific emission scenario. These results indicate that harmful weather events in the Alpine area are likely to intensify in future. This particularly refers to extreme precipitation events, which can trigger flash floods and gravitational mass movements (debris flows, landslides) and lead to substantial damage. Convective precipita</w:t>
      </w:r>
    </w:p>
    <w:p>
      <w:r>
        <w:t>POSSIBLE 2020: Climate change fingerprints in recent European plant phenology — https://doi.org/10.1111/gcb.15000</w:t>
      </w:r>
    </w:p>
    <w:p>
      <w:r>
        <w:t>Shared claim-specific concepts: strong, climate, only, period; EU scope visible. This is a provisional connection, not an outcome finding.</w:t>
      </w:r>
    </w:p>
    <w:p>
      <w:r>
        <w:t>Available abstract (not full text): A paper published in Global Change Biology in 2006 revealed that phenological responses in 1971-2000 matched the warming pattern in Europe, but a lack of chilling and adaptation in farming may have reversed these findings. Therefore, for 1951-2018 in a corresponding data set, we determined changes as linear trends and analysed their variation by plant traits/groups, across season and time as well as their attribution to warming following IPCC methodology. Although spring and summer phases in wild plants advanced less (maximum advances in 1978-2007), more (~90%) and more significant (~60%) negative trends were present, being stronger in early spring, at higher elevations, but smaller for nonwoody insect-pollinated species. These trends were strongly attributable to winter and spring warming. Findings for crop spring phases were similar, but were less pronounced. There were clearer and attributable signs for a delayed senescence in response to winter and spring warming. These changes resulted in a longer growing season, but a constant generative period in wild plants and a shortened one in agricultural crops. Phenology determined by farmers' decisions differed noticeably from the purely climatic driven phases with smaller percentages of advancing (~75%) trends, but farmers' spring activities were the only group with reinforced advancement, suggesting adaptation. Trends in farmers</w:t>
      </w:r>
    </w:p>
    <w:p>
      <w:r>
        <w:t>POSSIBLE 2020: Climate change impacts on trends and extremes in future heating and cooling demands over Europe — https://doi.org/10.1016/j.enbuild.2020.110397</w:t>
      </w:r>
    </w:p>
    <w:p>
      <w:r>
        <w:t>Shared claim-specific concepts: climate, two, emission, until; EU scope visible. This is a provisional connection, not an outcome finding.</w:t>
      </w:r>
    </w:p>
    <w:p>
      <w:r>
        <w:t>Available abstract (not full text):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r>
        <w:t>POSSIBLE 2019: Distribution trends of European dragonflies under climate change — https://doi.org/10.1111/ddi.12913</w:t>
      </w:r>
    </w:p>
    <w:p>
      <w:r>
        <w:t>Shared claim-specific concepts: climate, only, main; EU scope visible. This is a provisional connection, not an outcome finding.</w:t>
      </w:r>
    </w:p>
    <w:p>
      <w:r>
        <w:t>Available abstract (not full text):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r>
        <w:t>POSSIBLE 2019: A comparison of low carbon investment needs between China and Europe in stringent climate policy scenarios — https://doi.org/10.1088/1748-9326/ab0dd8</w:t>
      </w:r>
    </w:p>
    <w:p>
      <w:r>
        <w:t>Shared claim-specific concepts: strong, climate, two; EU scope visible. This is a provisional connection, not an outcome finding.</w:t>
      </w:r>
    </w:p>
    <w:p>
      <w:r>
        <w:t>Available abstract (not full text): Abstract The radical change in recent global climate governance calls for China and Europe to ramp up their efforts in leading the world to reach the long-term climate goals. By analyzing the results from the state-of-the-art global integrated assessment model, MESSAGEix-GLOBIOM, this paper aims to understand the future levels of financial investment needed for building and maintaining energy-related infrastructure in the two regions for fulfilling stringent targets consistent with ‘well below 2 °C’. The results indicate that a rapid upscaling and structural change of these investments towards decarbonization are necessitated by the climate stringent scenarios. China and Europe need to increase their low carbon investments by 65% and 38% in a scenario reaching the 2° target relative to their respective reference scenarios which assume no such target from 2016–2050. In a more stringent climate policy scenario of the 1.5° target, these investment needs will increase by 149% and 79% for China and Europe respectively. Among all the energy sectors, energy efficiency, renewable electricity generation and electricity transmission and distribution are the three largest investing targets for the two regions. However, those investments will not likely be realized without strong policy incentives. Implications for green finance and multilateral cooperation initiatives are discussed in the</w:t>
      </w:r>
    </w:p>
    <w:p>
      <w:r>
        <w:t>POSSIBLE 2019: A climate-sensitive forest model for assessing impacts of forest management in Europe — https://doi.org/10.1016/j.envsoft.2019.02.009</w:t>
      </w:r>
    </w:p>
    <w:p>
      <w:r>
        <w:t>Shared claim-specific concepts: strong, climate, only, until, projections; EU scope visible. This is a provisional connection, not an outcome finding.</w:t>
      </w:r>
    </w:p>
    <w:p>
      <w:r>
        <w:t>Available abstract (not full text):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r>
        <w:t>POSSIBLE 2018: Explaining European fungal fruiting phenology with climate variability — https://doi.org/10.1002/ecy.2237</w:t>
      </w:r>
    </w:p>
    <w:p>
      <w:r>
        <w:t>Shared claim-specific concepts: climate, two, main; EU scope visible. This is a provisional connection, not an outcome finding.</w:t>
      </w:r>
    </w:p>
    <w:p>
      <w:r>
        <w:t>Available abstract (not full text): Here we assess the impact of geographically dependent (latitude, longitude, and altitude) changes in bioclimatic (temperature, precipitation, and primary productivity) variability on fungal fruiting phenology across Europe. Two main nutritional guilds of fungi, saprotrophic and ectomycorrhizal, were further separated into spring and autumn fruiters. We used a path analysis to investigate how biogeographic patterns in fungal fruiting phenology coincided with seasonal changes in climate and primary production. Across central to northern Europe, mean fruiting varied by approximately 25 d, primarily with latitude. Altitude affected fruiting by up to 30 d, with spring delays and autumnal accelerations. Fruiting was as much explained by the effects of bioclimatic variability as by their large-scale spatial patterns. Temperature drove fruiting of autumnal ectomycorrhizal and saprotrophic groups as well as spring saprotrophic groups, while primary production and precipitation were major drivers for spring-fruiting ectomycorrhizal fungi. Species-specific phenology predictors were not stable, instead deviating from the overall mean. There is significant likelihood that further climatic change, especially in temperature, will impact fungal phenology patterns at large spatial scales. The ecological implications are diverse, potentially affecting food webs (asynchrony), nutrient cycling and</w:t>
      </w:r>
    </w:p>
    <w:p>
      <w:r>
        <w:t>POSSIBLE 2018: Decline in climate resilience of European wheat — https://doi.org/10.1073/pnas.1804387115</w:t>
      </w:r>
    </w:p>
    <w:p>
      <w:r>
        <w:t>Shared claim-specific concepts: climate, after, show; EU scope visible. This is a provisional connection, not an outcome finding.</w:t>
      </w:r>
    </w:p>
    <w:p>
      <w:r>
        <w:t>Available abstract (not full text): Food security relies on the resilience of staple food crops to climatic variability and extremes, but the climate resilience of European wheat is unknown. A diversity of responses to disturbance is considered a key determinant of resilience. The capacity of a sole crop genotype to perform well under climatic variability is limited; therefore, a set of cultivars with diverse responses to weather conditions critical to crop yield is required. Here, we show a decline in the response diversity of wheat in farmers' fields in most European countries after 2002-2009 based on 101,000 cultivar yield observations. Similar responses to weather were identified in cultivar trials among central European countries and southern European countries. A response diversity hotspot appeared in the trials in Slovakia, while response diversity "deserts" were identified in Czechia and Germany and for durum wheat in southern Europe. Positive responses to abundant precipitation were lacking. This assessment suggests that current breeding programs and cultivar selection practices do not sufficiently prepare for climatic uncertainty and variability. Consequently, the demand for climate resilience of staple food crops such as wheat must be better articulated. Assessments and communication of response diversity enable collective learning across supply chains. Increased awareness could foster governance of re</w:t>
      </w:r>
    </w:p>
    <w:p>
      <w:r>
        <w:t>POSSIBLE 2017: Escalating impacts of climate extremes on critical infrastructures in Europe — https://doi.org/10.1016/j.gloenvcha.2017.11.007</w:t>
      </w:r>
    </w:p>
    <w:p>
      <w:r>
        <w:t>Shared claim-specific concepts: climate, only, until, projections, show; EU scope visible. This is a provisional connection, not an outcome finding.</w:t>
      </w:r>
    </w:p>
    <w:p>
      <w:r>
        <w:t>Available abstract (not full text):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pPr>
        <w:pStyle w:val="Heading2"/>
      </w:pPr>
      <w:r>
        <w:t>Foresighting organizational learning equilibrium in European universities</w:t>
      </w:r>
    </w:p>
    <w:p>
      <w:r>
        <w:t>Original source (2016): https://doi.org/10.1007/s40309-016-0108-y</w:t>
      </w:r>
    </w:p>
    <w:p>
      <w:r>
        <w:t>Original wording (abstract; indexed_source_text_not_full_document_verified): Presently, the rate of change (and especially exogenous change) have reached a level that has given researchers and managers alike reason to reflect upon and be concerned about whether this balance could or should be maintained in the future. In this article, we use a classical organizational learning model to envision and simulate how a primary driver (mutual learning) in the balance between exploration and exploitation of knowledge in universities may evolve over time.</w:t>
      </w:r>
    </w:p>
    <w:p>
      <w:r>
        <w:t>POSSIBLE 2023: Effects of Climate Change on Areas Suitable for Maize Cultivation and Aflatoxin Contamination in Europe — https://doi.org/10.3390/toxins15100599</w:t>
      </w:r>
    </w:p>
    <w:p>
      <w:r>
        <w:t>Shared claim-specific concepts: presently, especially, about, use; EU scope visible. This is a provisional connection, not an outcome finding.</w:t>
      </w:r>
    </w:p>
    <w:p>
      <w:r>
        <w:t>Available abstract (not full text): The climate is changing in Europe: average temperatures are increasing, and so is the frequency of extreme weather events. Climate change has a severe impact on areas suitable for growing certain crops and on food safety, for example, affecting the occurrence of the aflatoxin contamination of maize. The aim of this study was to obtain insights into the impact of climate change on possible changes in land use in Europe, particularly in areas suitable for maize cultivation, and on the probability of the mycotoxin contamination of maize in order to give directions for long-term adaptation to climate change. By combining a land use model and a mycotoxin prediction model, the suitability of land for maize cultivation and the probability of aflatoxin contamination were estimated for suitable areas in Europe, comparing the current climate with the 2050 scenario. In 2050, the occurrence of aflatoxin contamination in Europe is predicted to severely increase, especially in Central and Southern Europe. More northern regions, presently unsuitable for maize cultivation, will become suitable for maize cultivation in 2050. In the baseline scenario, most regions suitable for maize cultivation have a low probability of aflatoxin contamination, whereas in 2050, about half of the regions suitable for maize cultivation have a medium to high probability of aflatoxin contamination. Regions for safel</w:t>
      </w:r>
    </w:p>
    <w:p>
      <w:r>
        <w:t>POSSIBLE 2019: Heat stress risk in European dairy cattle husbandry under different climate change scenarios – uncertainties and potential impacts — https://doi.org/10.5194/esd-10-859-2019</w:t>
      </w:r>
    </w:p>
    <w:p>
      <w:r>
        <w:t>Shared claim-specific concepts: presently, rate, about, balance; EU scope visible. This is a provisional connection, not an outcome finding.</w:t>
      </w:r>
    </w:p>
    <w:p>
      <w:r>
        <w:t>Available abstract (not full text): Abstract. In the last decades, an exceptional global warming trend was observed. Along with the temperature increase, modifications in the humidity and wind regime amplify the regional and local impacts on livestock husbandry. Direct impacts include the occurrence of climatic stress conditions. In Europe, cows are economically highly relevant and are mainly kept in naturally ventilated buildings that are most susceptible to climate change. The high-yielding cows are particularly vulnerable to heat stress. Modifications in housing management are the main measures taken to improve the ability of livestock to cope with these conditions. Measures are, however, typically taken in direct reaction to uncomfortable conditions instead of in anticipation of a long term risk for climatic stress. Moreover, measures that balance welfare, environmental and economic issues are barely investigated in the context of climate change and are thus almost not available for commercial farms. Quantitative analysis of the climate change impacts on the animal welfare and linked economic and environmental factors are rare. Therefore, we used a numerical modeling approach to estimate the future heat stress risk in such dairy cattle husbandry systems. The indoor climate was monitored inside three reference barns in Central Europe and in the Mediterranean region. An artificial neuronal network (ANN) was tra</w:t>
      </w:r>
    </w:p>
    <w:p>
      <w:r>
        <w:t>POSSIBLE 2018: Molecular Epidemiology and Evolution of European Bat Lyssavirus 2 — https://doi.org/10.3390/ijms19010156</w:t>
      </w:r>
    </w:p>
    <w:p>
      <w:r>
        <w:t>Shared claim-specific concepts: presently, rate, level; EU scope visible. This is a provisional connection, not an outcome finding.</w:t>
      </w:r>
    </w:p>
    <w:p>
      <w:r>
        <w:t>Available abstract (not full text): Bat rabies cases in Europe are mainly attributed to two lyssaviruses, namely European Bat Lyssavirus 1 (EBLV-1) and European Bat Lyssavirus 2 (EBLV-2). Prior to the death of a bat worker in Finland in 1985, very few bat rabies cases were reported. Enhanced surveillance in the two subsequent years (1986–1987) identified 263 cases (more than a fifth of all reported cases to date). Between 1977 and 2016, 1183 cases of bat rabies were reported, with the vast majority (&gt;97%) being attributed to EBLV-1. In contrast, there have been only 39 suspected cases of EBLV-2, of which 34 have been confirmed by virus typing and presently restricted to just two bat species; Myotis daubentonii and Myotis dasycneme. The limited number of EBLV-2 cases in Europe prompted the establishment of a network of European reference laboratories to collate all available viruses and data. Despite the relatively low number of EBLV-2 cases, a large amount of anomalous data has been published in the scientific literature, which we have here reviewed and clarified. In this review, 29 EBLV-2 full genome sequences have been analysed to further our understanding of the diversity and molecular evolution of EBLV-2 in Europe. Analysis of the 29 complete EBLV-2 genome sequences clearly corroborated geographical relationships with all EBLV-2 sequences clustering at the country level irrespective of the gene studied. Furth</w:t>
      </w:r>
    </w:p>
    <w:p>
      <w:pPr>
        <w:pStyle w:val="Heading2"/>
      </w:pPr>
      <w:r>
        <w:t>Futures of science with and for society: towards transformative policy orientations</w:t>
      </w:r>
    </w:p>
    <w:p>
      <w:r>
        <w:t>Original source (2016): https://doi.org/10.1108/fs-10-2014-0063</w:t>
      </w:r>
    </w:p>
    <w:p>
      <w:r>
        <w:t>Original wording (abstract; indexed_source_text_not_full_document_verified): This paper analyzes methodological and content issues of five future scenarios of transformed R&amp;I systems. Design/methodology/approach The paper elaborates a four-step methodology to assess the scenario’s policy implications: first, by articulating the scenario implications for six core dimensions of R&amp;I systems; second, an RRI assessment framework is developed to assess in each scenario opportunities and limitations for transforming R&amp;I systems towards responsibility goals; the third involves a cross-scenario analysis of similarities and differences between the scenarios, allowing the identification of robust policy options that make sense in more than one scenario.</w:t>
      </w:r>
    </w:p>
    <w:p>
      <w:r>
        <w:t>POSSIBLE 2026: The Methodological Essence and Content of the Concept of Cultural Development — https://openalex.org/W7219340893</w:t>
      </w:r>
    </w:p>
    <w:p>
      <w:r>
        <w:t>Shared claim-specific concepts: methodological, content, dimensions; EU scope not established. This is a provisional connection, not an outcome finding.</w:t>
      </w:r>
    </w:p>
    <w:p>
      <w:r>
        <w:t>Available abstract (not full text): This article examines the methodological essence and substantive content of the concept of “cultural development” in contemporary social and humanitarian sciences. Cultural development is interpreted as a complex social process that reflects qualitative transformations in the spiritual life of society. The paper elucidates its key dimensions, including the transformation of values, the development of social consciousness, the growth of knowledge and educational attainment, the expansion of creative potential, the stability of cultural institutions, and the strengthening of intercultural communication.The study provides a substantive justification of the systemic, historical, institutional, and axiological approaches to the study of cultural development and demonstrates their analytical potential. It is concluded that analyzing cultural development on a comprehensive methodological basis contributes to a deeper understanding of the moral criteria of social progress and supports the improvement of cultural policy as well as educational and critical-reflective thinking practices.</w:t>
      </w:r>
    </w:p>
    <w:p>
      <w:r>
        <w:t>POSSIBLE 2024: The essence and content of scientific research methodology — https://doi.org/10.12775/jehs.2024.63.020</w:t>
      </w:r>
    </w:p>
    <w:p>
      <w:r>
        <w:t>Shared claim-specific concepts: analyzes, content, methodology; EU scope not established. This is a provisional connection, not an outcome finding.</w:t>
      </w:r>
    </w:p>
    <w:p>
      <w:r>
        <w:t>Available abstract (not full text): The article analyzes the essence and content of the concepts "methodology", "methods of scientific research". The content of general and special methods of conducting scientific research is disclosed. It has been established that the methodology of scientific research is a conceptual statement of the content, purpose, and methods of research that allow obtaining the most objective, systematized and accurate information about phenomena and processes. The methodology systematizes the methods, methods and methods of learning objective reality, ensuring the reliability of the obtained knowledge about the object of research, their compliance with the subject of research, and is also a means of substantiating the results and conclusions of the conducted scientific research. The methods of scientific research mean a set of cognitive rules and techniques, implemented in the form of interconnected operations, designed to obtain new knowledge, consisting of three stages: research, proof and explanation. Methods are a set of techniques and methods of activity that allow a person or organization to achieve set goals. The choice of methods depends on the nature and content of the problem, the terms and resources allocated for its study, the amount and quality of available information. The authors characterized the content of empirical, theoretical and special methods of scientific research.</w:t>
      </w:r>
    </w:p>
    <w:p>
      <w:r>
        <w:t>POSSIBLE 2023: Analyzing YouTube Content: Methodological Considerations for Technical Communication Research — https://doi.org/10.1145/3615335.3623005</w:t>
      </w:r>
    </w:p>
    <w:p>
      <w:r>
        <w:t>Shared claim-specific concepts: methodological, content, approach; EU scope not established. This is a provisional connection, not an outcome finding.</w:t>
      </w:r>
    </w:p>
    <w:p>
      <w:r>
        <w:t>Available abstract (not full text): The YouTube platform plays a vital role in contemporary technical communication as a central warehouse of technical instructions. Though several studies have explored the importance of specific videos, creators, and communities, it is also necessary to study the platform with a wider, data-driven lens in order to consider rhetorical strategies across channels and communities. But while this relationship between close and distant reading has been applied successfully to text-focused platforms, YouTube's multimodality leads to challenges of scale and categorization for researchers taking a data-driven approach. This paper presents methodological insights from a study sampling and analyzing 300 YouTube videos. The authors reflect on the methodological challenges and propose potential solutions.</w:t>
      </w:r>
    </w:p>
    <w:p>
      <w:r>
        <w:t>POSSIBLE 2023: Methodology for Analyzing Qualitative Data in Multiple Languages — https://doi.org/10.1097/nnr.0000000000000673</w:t>
      </w:r>
    </w:p>
    <w:p>
      <w:r>
        <w:t>Shared claim-specific concepts: content, methodology, developed; EU scope not established. This is a provisional connection, not an outcome finding.</w:t>
      </w:r>
    </w:p>
    <w:p>
      <w:r>
        <w:t>Available abstract (not full text): BACKGROUND: Translation strategies are commonly used for qualitative interview data to bridge language barriers. Inconsistent translation of interviews can lead to conceptual inequivalence, where meanings of participants' experiences are distorted, threatening scientific rigor. OBJECTIVES: Our objective is to describe a systematic method developed to analyze multilingual, qualitative interview data while maintaining the original language of the transcripts. METHODS: A literature review of translation strategies, cross-language, and multilingual qualitative research was conducted. Combined with criteria for qualitative content analysis and trustworthiness, the methodology was developed and used for a qualitative descriptive study. RESULTS: The study had interview data in both English and Spanish. The research team consisted of both native Spanish and English speakers, who were grouped based on language. Verbatim transcription of data occurred in the original languages. All codes were kept in English, allowing the research team to view the data set as a whole. Two researchers within each group coded each transcript independently before reaching a consensus. The entire research team discussed all transcripts, and finally, major themes were determined. Participants' quotes remained in the original language for publication, with an English translation included when needed. DISCUSSIO</w:t>
      </w:r>
    </w:p>
    <w:p>
      <w:r>
        <w:t>POSSIBLE 2021: METHODOLOGY OF ANALYSIS OF THE CONTENT OF ELECTRONIC MEDIA — https://doi.org/10.32782/2224-6282/176-25</w:t>
      </w:r>
    </w:p>
    <w:p>
      <w:r>
        <w:t>Shared claim-specific concepts: content, issues, methodology, first, second; EU scope not established. This is a provisional connection, not an outcome finding.</w:t>
      </w:r>
    </w:p>
    <w:p>
      <w:r>
        <w:t xml:space="preserve">Available abstract (not full text): In the conditions of modern information society, the analysis of the flow of media information is of particular importance. Therefore, the issues of content analysis, which is based on the conversion of qualitative data into digital format in order to obtain information processing capabilities using technologies of big-data analytics and artificial intelligence approaches, are especially relevant. This study summarized the views on the use of content analysis and proposed a methodology for analyzing the content of electronic media for targeting and determining preferences for the content of publications. For this purpose, were proposed were proposed a conceptual scheme for conducting content analysis, which consists of 5 stages. The first stage consists of creating and updating a full-text database on a daily basis by automated data collection and retrieval of content from media websites (web scraping). The second stage involves using of modules for determining useful content (parsing) and its subsequent storage in the database. The quantitative analysis stage is especially important when generalization, aggregation of results, or to calculate the frequency of words (frequency analysis), categories, tags and expressions, as well as their joint use in the text. The purpose of qualitative analysis is to reduce the material so that the main content remains. Similarly, qualitative </w:t>
      </w:r>
    </w:p>
    <w:p>
      <w:r>
        <w:t>POSSIBLE 2021: Abusive supervision: a content analysis of theory and methodology — https://doi.org/10.1108/cms-01-2021-0017</w:t>
      </w:r>
    </w:p>
    <w:p>
      <w:r>
        <w:t>Shared claim-specific concepts: methodological, content, issues, design, methodology, approach; EU scope not established. This is a provisional connection, not an outcome finding.</w:t>
      </w:r>
    </w:p>
    <w:p>
      <w:r>
        <w:t>Available abstract (not full text): Purpose Despite recent organizational behavior studies have witnessed considerable progress in abusive supervision research; some demerits for both theory and methodology still remain in the past years. To clarify the current state of knowledge in the field, this study aims to analyze the current state of theories and methods on abusive supervision and provides a detailed future research agenda. Design/methodology/approach This paper conducted a literature review for both theory and methodology of the abusive supervision research using a content analysis of 134 publications. Findings For the theory part, this paper summarized the theories that had been applied to explain the relationship between abusive supervision and its consequences as well as antecedents. For the methodology part, this paper outlined some critical issues regarding country of origin, research design, measurement, analysis strategy and also summarized with a discussion of the relationship between methodological issues and article impact. Finally, this paper concluded by presenting an agenda for future abusive supervision research regarding both theory and methodology. Originality/value First, this paper summarizes the main theories, antecedents and consequences often used in abusive supervision research to allow scholars to carry out theoretically driven research investigating abusive supervision in the futur</w:t>
      </w:r>
    </w:p>
    <w:p>
      <w:r>
        <w:t>POSSIBLE 2021: Problems of developing a methodology to analyze integrated reporting — https://doi.org/10.24891/ea.20.4.645</w:t>
      </w:r>
    </w:p>
    <w:p>
      <w:r>
        <w:t>Shared claim-specific concepts: content, methodology, assessment; EU scope not established. This is a provisional connection, not an outcome finding.</w:t>
      </w:r>
    </w:p>
    <w:p>
      <w:r>
        <w:t>Available abstract (not full text): Subject. The article identifies problems related to the development of a methodology to analyze integrated reporting. Objectives. The purpose of the study is to reveal analytical capabilities of integrated reporting, develop a model of integrated reporting analysis methodology, which will become a basis for further development of this promising area of analysis. Methods. The methods of the study include analysis, synthesis, generalization, abstraction, comparison, and logic technique. Results. The study shows problems in the development of a generally accepted methodology for the analysis of integrated reporting. I offer a unique model, which includes target setting, subjects, and thematic areas. Two main thematic areas are the analysis for compliance with concepts, principles and content elements of integrated reporting, and the analysis of the process, through which value is created, preserved, or eroded. Within the latter analysis, the paper highlights the analysis of external environment, the analysis of strategy, goals, value created by an organization for itself and for others, the analysis of the business model and the quality of organization’s governance, the analysis of risks and opportunities, and the generalized assessment of value creation. Conclusions. The findings may serve as a basis for further development of integrated reporting analysis.</w:t>
      </w:r>
    </w:p>
    <w:p>
      <w:r>
        <w:t>POSSIBLE 2021: Methodological Approach to Use of Web Content by Small Business — https://doi.org/10.3103/s0147688221020040</w:t>
      </w:r>
    </w:p>
    <w:p>
      <w:r>
        <w:t>Shared claim-specific concepts: methodological, content, approach, developed; EU scope not established. This is a provisional connection, not an outcome finding.</w:t>
      </w:r>
    </w:p>
    <w:p>
      <w:r>
        <w:t>Available abstract (not full text): Abstract Digitization encourages accumulation of web content, an important resource of economic activity. Despite high level of development of technology of work with web content, the need for significant expenses restricts its use by small businesses. Web content characterized by absence of structure, diversity of sources, and high speed of data flow, is included in the concept of “Big Data”, efficient work with which requires access to financial, computing, and labor resources. The developed and tested methodological approach to use of web content, taking into account capabilities of small business, enables a specialist in any subject area to upload textual information, convert it into a database, and analyze it using widespread or public domain software.</w:t>
      </w:r>
    </w:p>
    <w:p>
      <w:r>
        <w:t>POSSIBLE 2020: Sectoral Newspaper of the USSR Food Industry in 1928-1937 as a Historical Source: on the Issue of the Methodology for Analyzing Its Content — https://doi.org/10.7256/2454-0609.2020.2.32033</w:t>
      </w:r>
    </w:p>
    <w:p>
      <w:r>
        <w:t>Shared claim-specific concepts: methodological, content, methodology, approach, first, second; EU scope not established. This is a provisional connection, not an outcome finding.</w:t>
      </w:r>
    </w:p>
    <w:p>
      <w:r>
        <w:t>Available abstract (not full text): The article considers the difficulties in formulating the correct methodological approaches for studying the Soviet print mass media. The article's research subject is the source study specifics of the sectoral newspaper of the USSR food industry during the first and second Five-Year Plans, which influence the choice of methods for analyzing this source. The author proposes an approach to studying this periodical based on a combination of classical sources and computerized analysis of editorial texts in the MAXQDA 2020 program, providing a brief description of the possibilities offered by the new version of this program to scholars studying media texts. The article concludes that the study of such a multifaceted historical source as the branch newspaper Pishchevik ("For the Food Industry", "Food Industry") should be carried out using content analysis, which will systematize the dynamics of changes in the agenda of one of the largest industries of the USSR in 1928–1937. The article considers the difficulties in formulating the correct methodological approaches for studying the Soviet print mass media. The article's research subject is the source study specifics of the sectoral newspaper of the USSR food industry during the first and second Five-Year Plans, which influence the choice of methods for analyzing this source. The author proposes an approach to studying this periodical</w:t>
      </w:r>
    </w:p>
    <w:p>
      <w:r>
        <w:t>POSSIBLE 2019: Content Analysis: An Introduction to Its Methodology — https://doi.org/10.4135/9781071878781</w:t>
      </w:r>
    </w:p>
    <w:p>
      <w:r>
        <w:t>Shared claim-specific concepts: content, methodology, core, second; EU scope not established. This is a provisional connection, not an outcome finding.</w:t>
      </w:r>
    </w:p>
    <w:p>
      <w:r>
        <w:t>Available abstract (not full text): "The Second Edition of Content Analysis is a sourcebook of the history and core principles of content analysis as well as an essential resource for present and future studies. The book introduces readers to ways of analyzing meaningful matter such as texts, images, voices - that is, data whose physical manifestations are secondary to the meanings that a particular population of people brings to them." "The author has completely revised and updated the Second Edition, integrating new information on computer-aided text analysis. The book also includes a practical guide that incorporates experiences in teaching and how to advise academic and commercial researchers. In addition, Krippendorff clarifies the epistemology and logic of content analysis as well as the methods for achieving its aims." "Intended as a textbook for advanced undergraduate and graduate students across the social sciences, Content Analysis, Second Edition will also be a valuable resource for practitioners in a variety of disciplines."--BOOK JACKET.</w:t>
      </w:r>
    </w:p>
    <w:p>
      <w:r>
        <w:t>POSSIBLE 2018: Toward a Methodology for Analyzing Visual Rhetoric in Corporate Reports — https://doi.org/10.1177/1094428118765942</w:t>
      </w:r>
    </w:p>
    <w:p>
      <w:r>
        <w:t>Shared claim-specific concepts: content, design, methodology, framework; EU scope not established. This is a provisional connection, not an outcome finding.</w:t>
      </w:r>
    </w:p>
    <w:p>
      <w:r>
        <w:t>Available abstract (not full text): This article presents a methodology that organizational scholars can use to analyze, explain, and critically interpret the role of visual rhetoric in organizational communications. Corporations invest heavily in the visual design of organizational communications, including corporate reports, recognizing the distinctive role and benefits of visual imagery, as well as the rhetorical function of these documents. Current analytical approaches to visual rhetoric are either predominantly theoretical (with little structured guidance) or procedural (with little acknowledgment of important epistemic questions). This leaves a need for a methodology that combines a clear theoretical framework with explicit guidance on how to analyze visual rhetoric. This article bridges this analytic gap by offering a methodology that integrates a theoretical foundation of a priori analytical categories informed by selected writings of the French cultural theorist Roland Barthes with three abductively derived phases (categorical analysis, content analysis, rhetorical analysis) for analysis of visual design of corporate reports. We apply this methodology in an examination of a Qantas Annual Review and articulate our contributions to the field of organizational research methods.</w:t>
      </w:r>
    </w:p>
    <w:p>
      <w:r>
        <w:t>POSSIBLE 2018: Expanding Expressive Range: Evaluation Methodologies for Procedural Content Generation — https://doi.org/10.1609/aiide.v14i1.13012</w:t>
      </w:r>
    </w:p>
    <w:p>
      <w:r>
        <w:t>Shared claim-specific concepts: content, systems, design, methodology; EU scope not established. This is a provisional connection, not an outcome finding.</w:t>
      </w:r>
    </w:p>
    <w:p>
      <w:r>
        <w:t>Available abstract (not full text): Procedural Content Generation (PCG) has been a part of video games for the majority of their existence and have been an area of active research over the past decade. How- ever, despite the interest in PCG there is no commonly ac- cepted methodology for assessing and analyzing a generator. Furthermore, the recent trend towards machine learned PCG techniques commonly state the goal of learning the design within the original content, but there has been little assess- ment of whether these techniques actually achieve this goal. This paper presents a number of techniques for the assess- ment and analysis of PCG systems, allowing practitioners and researchers better insight into the strengths and weaknesses of these systems, allowing for better comparison of systems, and reducing the reliance on ad-hoc, cherry-picking-prone tech- niques.</w:t>
      </w:r>
    </w:p>
    <w:p>
      <w:pPr>
        <w:pStyle w:val="Heading2"/>
      </w:pPr>
      <w:r>
        <w:t>Futuribles of learning 2030 - Delphi supports the reform of the core curricula in Finland</w:t>
      </w:r>
    </w:p>
    <w:p>
      <w:r>
        <w:t>Original source (2016): https://doi.org/10.1007/s40309-016-0096-y</w:t>
      </w:r>
    </w:p>
    <w:p>
      <w:r>
        <w:t>Original wording (abstract; indexed_source_text_not_full_document_verified): The aim of the Barometer is to acknowledge the futuribles of learning and take into consideration the possibilities and challenges that may affect the development of school, teaching and learning.</w:t>
      </w:r>
    </w:p>
    <w:p>
      <w:r>
        <w:t>POSSIBLE 2023: A Review of the AGE Barometer 2023: EU Good Practices and Barriers in the Empowerment of Elderly in the Labour Market - The Case of Hungary — https://doi.org/10.47225/mg/15/42/14315</w:t>
      </w:r>
    </w:p>
    <w:p>
      <w:r>
        <w:t>Shared claim-specific concepts: barometer, consideration, challenges; EU scope visible. This is a provisional connection, not an outcome finding.</w:t>
      </w:r>
    </w:p>
    <w:p>
      <w:r>
        <w:t>Available abstract (not full text): The 2023 edition of the AGE Barometer was released by the Age Platform Europe, aimed at consolidating data from European statistics and national-level sources and enriched by feedback from 19 European countries, including Hungary. The publication aimed at empowering older people in the labour market and promoting sustainable and high-quality working lives for them. The Barometer revealed that the European Union (EU) is far from reaching its 78% employment target for adults aged 20 to 64 with its current state of just 62.3%. This could be due to various barriers to the integration of older people in the labour market, which include inadequate supportive policies, ageism, and unfavourable workplace conditions. Conversely, these are broadly stated in the context of the EU; hence, a deeper analysis of these results, with a special focus on the case of a single country, such as Hungary, is relevant to establish a clearer understanding of the national and local framework of these findings and in determining facilitating policies and programmes as well as gaps in promoting elderly inclusion in the labour sector. Using various methods such as critical analysis, desk and literature review, and thematic analysis, this article examined the Barometer report and other relevant publications. The Barometer 2023 effectively provided general issues and actionable areas in supporting older peopl</w:t>
      </w:r>
    </w:p>
    <w:p>
      <w:r>
        <w:t>POSSIBLE 2018: Seabird sentinels: The barometer for island conservation in a changing world — https://openalex.org/W2810691331</w:t>
      </w:r>
    </w:p>
    <w:p>
      <w:r>
        <w:t>Shared claim-specific concepts: barometer, take, consideration, affect; EU scope not established. This is a provisional connection, not an outcome finding.</w:t>
      </w:r>
    </w:p>
    <w:p>
      <w:r>
        <w:t xml:space="preserve">Available abstract (not full text): Seabirds are the most threatened group of marine animals, 53% of Procellariiformes (albatrosses, petrels, storm petrels, shearwaters, fulmars, and prions) are experiencing population declines; thus, their protection is a global conservation priority. On land, seabirds are vulnerable to invasive mammalian predators, due to physiological, behavioural and demographic traits, such as extended immaturity, low reproductive output and colonial nesting habits. At-sea, seabirds are impacted by human activities; suffering increasing levels of mortality from fisheries bycatch, pollution, and climate change. Land-based conservation actions, such as predator eradication have been the focus of conservation efforts. Currently, gaps remain in our understanding about the recovery of seabirds on islands following predator eradication. Moreover, little is known about the population level impacts of extrinsic stressors. In this thesis, I am to contribute to understanding if invasive predator control will deliver enduring benefits for seabirds and their island ecosystems. To do this, I investigate the factors that influence seabirds returning to islands after predator eradication, how island ecosystems are recovering, new ways of measuring the abundance and recovery of seabirds to islands, and how seabird recovery is affected by intensifying marine threats. In chapter 2, I evaluate the recovery of </w:t>
      </w:r>
    </w:p>
    <w:p>
      <w:pPr>
        <w:pStyle w:val="Heading2"/>
      </w:pPr>
      <w:r>
        <w:t>Futuring European industry: assessing the ManuFuture road towards EU re-industrialization</w:t>
      </w:r>
    </w:p>
    <w:p>
      <w:r>
        <w:t>Original source (2016): https://doi.org/10.1007/s40309-016-0100-6</w:t>
      </w:r>
    </w:p>
    <w:p>
      <w:r>
        <w:t>Original wording (abstract; indexed_source_text_not_full_document_verified): Based on a systemic assessment of the multi-actor, multi-governance-level and multi-sector policy approach, success factors are elaborated as guiding principles and framework for the upcoming Vision 2030 process.</w:t>
      </w:r>
    </w:p>
    <w:p>
      <w:r>
        <w:t>POSSIBLE 2026: A network analysis of systemic risk in the European banking sector — https://doi.org/10.1007/s10203-026-00600-w</w:t>
      </w:r>
    </w:p>
    <w:p>
      <w:r>
        <w:t>Shared claim-specific concepts: based, systemic, assessment; EU scope visible. This is a provisional connection, not an outcome finding.</w:t>
      </w:r>
    </w:p>
    <w:p>
      <w:r>
        <w:t>Available abstract (not full text): Abstract In this paper, we adopt a conditional tail risk network methodology for the assessment of transmission channels of risk. In particular, we employ weighted and directed networks to model the mutual influence between banks, with the weights being linked to tail risk measures. More specifically, in the empirical comparison we focus on MES-based pairwise dependence networks and on the parametric $$\Delta $$ Δ CoVaR network estimated on ARMA(1,1)-GARCH(1,1) residuals through SCAD-penalized quantile regression. We use different network indicators to investigate the importance of a bank’s role in both spreading and absorbing risk from other financial institutions. Our analysis focuses on a sample based on banks included in the European Banking Authority 2023 stress test, complemented by two additional systemically relevant European institutions and we consider daily data for the period 2015–2024. The analyses are conducted over four economically meaningful subperiods in order to evaluate the evolution of systemic interconnections across different macro-financial regimes. We find that the choice of tail risk measure leads to substantial differences in network topology, centrality rankings, and community composition. The empirical results demonstrate significant variations in the structural characteristics of the networks through time.</w:t>
      </w:r>
    </w:p>
    <w:p>
      <w:r>
        <w:t>POSSIBLE 2024: Evaluation of the European Society of Cardiology Risk Assessment Score in Incident Systemic Sclerosis‐Associated Pulmonary Arterial Hypertension — https://doi.org/10.1002/acr.25328</w:t>
      </w:r>
    </w:p>
    <w:p>
      <w:r>
        <w:t>Shared claim-specific concepts: based, systemic, assessment; EU scope visible. This is a provisional connection, not an outcome finding.</w:t>
      </w:r>
    </w:p>
    <w:p>
      <w:r>
        <w:t>Available abstract (not full text): OBJECTIVE: Patients with pulmonary arterial hypertension (PAH) may be stratified as low, intermediate, or high risk of 1-year mortality. In 2022, the European Society of Cardiology (ESC) updated and simplified its risk stratification tool, based on three variables: World Health Organization functional class, serum N-terminal pro-brain type natriuretic peptide and six-minute walk distance, applied at follow-up visits, intended to guide therapy over time. METHODS: We applied the 2022 ESC risk assessment tool at baseline and follow-up (within 2 years) to a multinational incident cohort of systemic sclerosis-associated PAH (SSc-PAH). Kaplan-Meier curves, Cox hazards regression, and accelerated failure time models were used to evaluate survival by risk score. RESULTS: At baseline (n = 260), the majority of SSc-PAH (72.2%) were graded as intermediate risk of death according to the 2022 tool. At follow-up, according to 2022 tool, half (55.5%) of the cohort were classified as low or intermediate-low risk. The 2022 risk model at follow-up was able to differentiate survival between risk strata. All three individual parameters (World Health Organization functional class, N-terminal pro-brain type natriuretic peptide, six-minute walk distance) were significantly associated with mortality at baseline and/or follow-up. CONCLUSION: The 2022 ESC risk assessment strategy applied at baseline and</w:t>
      </w:r>
    </w:p>
    <w:p>
      <w:r>
        <w:t>POSSIBLE 2023: Conceptual models of drought risks for Europe: a step towards a systemic perspective on drought — https://doi.org/10.5194/egusphere-egu23-7991</w:t>
      </w:r>
    </w:p>
    <w:p>
      <w:r>
        <w:t>Shared claim-specific concepts: based, systemic, assessment, factors; EU scope visible. This is a provisional connection, not an outcome finding.</w:t>
      </w:r>
    </w:p>
    <w:p>
      <w:r>
        <w:t>Available abstract (not full text): In recent years, research on drought risk has expanded to include multiple types of drought hazards, various exposed elements and a multitude of factors that determine the vulnerability of a given system or sector. This has resulted in a call from the scientific community to adopt a systemic risk perspective on drought. However, a thorough understanding of how drought risks manifest, cascade and interact across different systems and sectors is still lacking, and methodological guidance on how to analyse and represent these interdependencies does not yet exist. In order to explore these gaps, we have developed conceptual models of drought risks for key selected systems and sectors in the European Union. For each system and sector considered (rain fed and irrigated agricultural systems, forest ecosystems, freshwater ecosystems, public water supply, inland water transport and the energy sector), a conceptual model was constructed to depict how drivers and root causes interact to create drought risk. The models are based on the impact chains methodology and are informed by literature review and multiple expert consultations (including a series of validation workshops). Subsequently, the system-specific models were used to build an overarching conceptual model of the critical interdependencies that exist between all the systems and sectors considered. The analysis has revealed that,</w:t>
      </w:r>
    </w:p>
    <w:p>
      <w:r>
        <w:t>POSSIBLE 2021: You’ll never work alone: A systemic assessment of the European Arrest Warrant and judicial independence — https://doi.org/10.54648/cola2021047</w:t>
      </w:r>
    </w:p>
    <w:p>
      <w:r>
        <w:t>Shared claim-specific concepts: based, systemic, assessment, framework; EU scope visible. This is a provisional connection, not an outcome finding.</w:t>
      </w:r>
    </w:p>
    <w:p>
      <w:r>
        <w:t>Available abstract (not full text): The adage is that the European Arrest Warrant (EAW) is built on the principle of mutual trust: the presumption that Member States comply with fundamental rights save in exceptional circumstances. However, the very existence of the EAW rests on the proper interpretation and application of fundamental rights standards, and on sincere cooperation between judicial authorities.With that in mind, the present article gives a systemic analysis of the EAW. After outlining the key features of its functioning, the paper discusses the system of exceptions to surrender: mandatory and optional grounds for refusal in the EAW Framework Decision (FD), the fundamental rights exception, and cases of invalidity. As the EAW is based on automaticity, the exceptions define the traits of its identity. The article’s conclusions reveal the importance of sincere cooperation to strengthen mutual trust, with judicial independence as an essential precondition. The article’s comprehensive assessment offers an original contribution to the debate about judicial independence in EU law, the operation of the EAW and its role in the wider context of the Union as a legal order.</w:t>
      </w:r>
    </w:p>
    <w:p>
      <w:r>
        <w:t>POSSIBLE 2020: Consensus-based recommendations for the management of juvenile systemic sclerosis — https://doi.org/10.1093/rheumatology/keaa584</w:t>
      </w:r>
    </w:p>
    <w:p>
      <w:r>
        <w:t>Shared claim-specific concepts: based, systemic, assessment, approach; EU scope visible. This is a provisional connection, not an outcome finding.</w:t>
      </w:r>
    </w:p>
    <w:p>
      <w:r>
        <w:t>Available abstract (not full text): Juvenile systemic sclerosis (JSSc) is a rare disease of childhood and currently no international consensus exists with regard to its assessment and treatment. This SHARE (Single Hub and Access point for paediatric Rheumatology in Europe) initiative, based on expert opinion informed by the best available evidence, provides recommendations for the assessment and treatment of patients with JSSc with a view to improving their outcome. Experts focused attention not only on the skin assessment but also on the early signs of internal organ involvement whose proper treatment can significantly affect the long-term outcome. A score for disease severity is proposed in order to perform a structured assessment of outcome over time but a validation in a wider patient population is recommended. Finally, a stepwise treatment approach is proposed in order to unify the standard of care throughout Europe with the aim to reduce morbidity and mortality in this disease.</w:t>
      </w:r>
    </w:p>
    <w:p>
      <w:r>
        <w:t>POSSIBLE 2020: A review of nature-based solutions for urban water management in European circular cities: a critical assessment based on case studies and literature — https://doi.org/10.2166/bgs.2020.932</w:t>
      </w:r>
    </w:p>
    <w:p>
      <w:r>
        <w:t>Shared claim-specific concepts: based, systemic, assessment, approach; EU scope visible. This is a provisional connection, not an outcome finding.</w:t>
      </w:r>
    </w:p>
    <w:p>
      <w:r>
        <w:t>Available abstract (not full text): Abstract Nature-based solutions (NBS) can protect, manage and restore natural or modified ecosystems. They are a multidisciplinary, integrated approach to address societal challenges and some natural hazards effectively and adaptively, simultaneously providing human well-being and biodiversity benefits. NBS applications can be easily noticed in circular cities, establishing an urban system that is regenerative and accessible. This paper aims to offer a review on NBS for urban water management from the literature and some relevant projects running within the COST Action ‘Implementing nature-based solutions for creating a resourceful circular city’. The method used in the study is based on a detailed tracking of specific keywords in the literature using Google Scholar, ResearchGate, Academia.edu, ScienceDirect and Scopus. Based on this review, three main applications were identified: (i) flood and drought protection; (ii) the water-food-energy nexus; and (iii) water purification. The paper shows that NBS provide additional benefits, such as improving water quality, increasing biodiversity, obtaining social co-benefits, improving urban microclimate, and the reduction of energy consumption by improving indoor climate. The paper concludes that a systemic change to NBS should be given a higher priority and be preferred over conventional water infrastructure.</w:t>
      </w:r>
    </w:p>
    <w:p>
      <w:r>
        <w:t>POSSIBLE 2020: The SREP assessment of systemically important financial institutions: evidence from Europe — https://openalex.org/W3165877344</w:t>
      </w:r>
    </w:p>
    <w:p>
      <w:r>
        <w:t>Shared claim-specific concepts: based, assessment, process; EU scope visible. This is a provisional connection, not an outcome finding.</w:t>
      </w:r>
    </w:p>
    <w:p>
      <w:r>
        <w:t>Available abstract (not full text): The supervisory review and evaluation process. What the SREP is: content and implementation. Regulatory steps toward the process. Empirical evidence on regulatory. SREP procedures and methodologies based on EBA’s guidelines. Overview of EBA’s guidelines. Categorization of an institution and periodic review thereof. Monitoring of key indicators. Assessment of internal governance and institution-wide controls. Assessment of risks to capital. The overall SREP assessment and application of supervisory measures. Supervisory reaction to a situation where TSCR/P2G is not met. Analysis of the SREP outcomes in the Eurozone.</w:t>
      </w:r>
    </w:p>
    <w:p>
      <w:r>
        <w:t>POSSIBLE 2018: A strategy for systemic toxicity assessment based on non-animal approaches: The Cosmetics Europe Long Range Science Strategy programme — https://doi.org/10.1016/j.tiv.2018.02.017</w:t>
      </w:r>
    </w:p>
    <w:p>
      <w:r>
        <w:t>Shared claim-specific concepts: based, systemic, assessment; EU scope visible. This is a provisional connection, not an outcome finding.</w:t>
      </w:r>
    </w:p>
    <w:p>
      <w:r>
        <w:t>Available abstract (not full text): Unavailable</w:t>
      </w:r>
    </w:p>
    <w:p>
      <w:r>
        <w:t>POSSIBLE 2018: The Role of Urban Agriculture as a Nature-Based Solution: A Review for Developing a Systemic Assessment Framework — https://doi.org/10.3390/su10061937</w:t>
      </w:r>
    </w:p>
    <w:p>
      <w:r>
        <w:t>Shared claim-specific concepts: based, systemic, assessment, framework; EU scope not established. This is a provisional connection, not an outcome finding.</w:t>
      </w:r>
    </w:p>
    <w:p>
      <w:r>
        <w:t xml:space="preserve">Available abstract (not full text): Urbanization and achieving sustainable agriculture are both major societal challenges. By reducing food miles and connecting people with nature, food cultivation in cities has several major advantages. However, due to further urban development (peri-) urban agriculture (UPA) is under threat. To strengthen UPA, we argue for considering UPA as a nature-based solution (NbS) supporting systemic approaches for societal challenges. However, academic knowledge on UPA’s contribution to various societal challenges of urbanization is still fragmented. This study addresses the gap by conducting a systemic literature review, incorporating 166 academic articles focusing on the global north. The results of the review show that UPA contributes to ten key societal challenges of urbanization: climate change, food security, biodiversity and ecosystem services, agricultural intensification, resource efficiency, urban renewal and regeneration, land management, public health, social cohesion, and economic growth. The value of UPA is its multifunctionality in providing social, economic and environmental co-benefits and ecosystem services. When implementing UPA, social, institutional, economic, technical, geographical, and ecological drivers and constraints need to be considered. To upscale UPA successfully, the study develops an integrative assessment framework for evaluating the implementation and </w:t>
      </w:r>
    </w:p>
    <w:p>
      <w:r>
        <w:t>POSSIBLE 2017: Study of Flare Assessment in Systemic Lupus Erythematosus Based on Paper Patients — https://doi.org/10.1002/acr.23252</w:t>
      </w:r>
    </w:p>
    <w:p>
      <w:r>
        <w:t>Shared claim-specific concepts: based, systemic, assessment, factors; EU scope not established. This is a provisional connection, not an outcome finding.</w:t>
      </w:r>
    </w:p>
    <w:p>
      <w:r>
        <w:t xml:space="preserve">Available abstract (not full text): OBJECTIVE: To determine the level of agreement of disease flare severity (distinguishing severe, moderate, and mild flare and persistent disease activity) in a large paper-patient exercise involving 988 individual cases of systemic lupus erythematosus. METHODS: A total of 988 individual lupus case histories were assessed by 3 individual physicians. Complete agreement about the degree of flare (or persistent disease activity) was obtained in 451 cases (46%), and these provided the reference standard for the second part of the study. This component used 3 flare activity instruments (the British Isles Lupus Assessment Group [BILAG] 2004, Safety of Estrogens in Lupus Erythematosus National Assessment [SELENA] flare index [SFI] and the revised SELENA flare index [rSFI]). The 451 patient case histories were distributed to 18 pairs of physicians, carefully randomized in a manner designed to ensure a fair case mix and equal distribution of flare according to severity. RESULTS: The 3-physician assessment of flare matched the level of flare using the 3 indices, with 67% for BILAG 2004, 72% for SFI, and 70% for rSFI. The corresponding weighted kappa coefficients for each instrument were 0.82, 0.59, and 0.74, respectively. We undertook a detailed analysis of the discrepant cases and several factors emerged, including a tendency to score moderate flares as severe and persistent activity as </w:t>
      </w:r>
    </w:p>
    <w:p>
      <w:r>
        <w:t>POSSIBLE 2017: A systemic risk assessment of OTC derivatives reforms and skin‐in‐the‐game for CCPs — https://openalex.org/W2610571913</w:t>
      </w:r>
    </w:p>
    <w:p>
      <w:r>
        <w:t>Shared claim-specific concepts: based, systemic, assessment; EU scope visible. This is a provisional connection, not an outcome finding.</w:t>
      </w:r>
    </w:p>
    <w:p>
      <w:r>
        <w:t>Available abstract (not full text): The G20 OTC (over-the-counter) derivatives reforms impose large collateral/liquidity demands on clearing members of Central Counterparty (CCP) clearing platforms in the form of initial margins, variation margins and contributions to the default fund. In Heath et al. (2016), it was shown how this introduces a trade-off between liquidity risk and solvency risk with the system manifesting considerable systemic risk from these two sources of risk while CCP penetration is at current levels. The authors extend this analysis to include the European Market Infrastructure Regulation (EMIR) skin-in-the-game requirements for CCPs, which aim to ameliorate the contributions to the default fund by clearing members and also to prevent moral hazard problems associated with the too-interconnected-to-fail (TITF) status of CCPs as more and more derivatives are centrally cleared. The authors provide a systemic risk assessment of these features of the OTC derivatives reforms using network analysis based on 2015-end data on the derivatives positions for 40 globally systemically important banks (G-SIBs).</w:t>
      </w:r>
    </w:p>
    <w:p>
      <w:pPr>
        <w:pStyle w:val="Heading2"/>
      </w:pPr>
      <w:r>
        <w:t>GLOBAL FORECAST OF US NATIONAL INTELLIGENCE COUNCIL</w:t>
      </w:r>
    </w:p>
    <w:p>
      <w:r>
        <w:t>Original source (2016): https://doi.org/10.20542/0131-2227-2016-60-11-5-13</w:t>
      </w:r>
    </w:p>
    <w:p>
      <w:r>
        <w:t>Original wording (abstract; indexed_source_text_not_full_document_verified): The paper gives an analysis of the background, main trends, scenarios and factors of the long-term development of the world till 2030 which are exposed in forecasts of the National Intelligence Council (NIC) in its report of 2012.</w:t>
      </w:r>
    </w:p>
    <w:p>
      <w:r>
        <w:t>POSSIBLE 2020: Adapting the Multilingual Assessment Instrument for Narratives (MAIN) to Torwali — https://doi.org/10.21248/zaspil.64.2020.583</w:t>
      </w:r>
    </w:p>
    <w:p>
      <w:r>
        <w:t>Shared claim-specific concepts: gives, background, main; EU scope not established. This is a provisional connection, not an outcome finding.</w:t>
      </w:r>
    </w:p>
    <w:p>
      <w:r>
        <w:t>Available abstract (not full text): Torwali, a Dardic language of the Indo-Aryan family spoken in the District Swat in Pakistan, is an endangered language that lacks a literary tradition. This paper gives a background on the Torwali language and people, and describes the development of an orthography for Torwali and the establishment of Torwali-medium schools by the local organization Idara Baraye Taleem-o-Taraqi ‘institute for education and development’ (IBT). Finally, the process of adapting the Multilingual Assessment Instruments for Narratives (MAIN) to Torwali is outlined.</w:t>
      </w:r>
    </w:p>
    <w:p>
      <w:r>
        <w:t>POSSIBLE 2020: Digital transformation: theoretical backgrounds of digital change — https://doi.org/10.15611/ms.2019.4.05</w:t>
      </w:r>
    </w:p>
    <w:p>
      <w:r>
        <w:t>Shared claim-specific concepts: gives, background, main, trends, world; EU scope not established. This is a provisional connection, not an outcome finding.</w:t>
      </w:r>
    </w:p>
    <w:p>
      <w:r>
        <w:t>Available abstract (not full text): The purpose of this paper is a review of the existing deﬁnitions of digital transformation (abbrev. DT) and to structure its implications for new business models and implementation activities. This article was inspired by literature review whose main aim was to provide insight into the understanding of the theoretical background of digital transformation by means of the digitization and current megatrends in the VUCA world. The author gives examples, completes the literature research and shows the theoretical aspects of concepts, as well briefly analyzes the trends concerning DT. The article starts from definitions of DT, through digital readiness, to efficiency in the DT area. The main findings are that the approach for the structured digitization of business models is expanding, several excellence models have been developed over the past few years, and the implementation model for DT becomes a widely known concept. The author offers a clear deﬁnition, which corresponds to phases for DT of business models using a Digital Capability Maturity Models overview. Moreover, this paper is the author’s declaration of further DT’s research in its practical dimension</w:t>
      </w:r>
    </w:p>
    <w:p>
      <w:r>
        <w:t>POSSIBLE 2020: Theoretical background — https://doi.org/10.4324/9781003018353-2</w:t>
      </w:r>
    </w:p>
    <w:p>
      <w:r>
        <w:t>Shared claim-specific concepts: gives, background, main, factors; EU scope visible. This is a provisional connection, not an outcome finding.</w:t>
      </w:r>
    </w:p>
    <w:p>
      <w:r>
        <w:t>Available abstract (not full text): This chapter gives an overview of the main literature used to form the theoretical background of this book. Being a small state, Lithuania is guided by a foreign policy that is characteristic to this category of states. The typical security and foreign policy strategies of small states discussed in this chapter will later serve to analyse the extent to which Lithuania’s foreign policy has conformed to the typical role of small states in international politics. Also discussed are the classic and modern dilemmas of structure and agent in international politics. These concepts help us to understand the role of the agent (President Grybauskaitė) and the opportunities to operate in the international system. Finally, this chapter examines the importance of leaders in international politics. The psychological factors and the behaviour of political leaders are embedded in foreign policy analysis, as it can assist in clarifying why certain agents make particular decisions, and how that may change a state’s foreign policy course and even international structures.</w:t>
      </w:r>
    </w:p>
    <w:p>
      <w:r>
        <w:t>POSSIBLE 2019: Macroeconomic background — https://doi.org/10.1787/b7d2e31f-en</w:t>
      </w:r>
    </w:p>
    <w:p>
      <w:r>
        <w:t>Shared claim-specific concepts: gives, background, main, trends; EU scope not established. This is a provisional connection, not an outcome finding.</w:t>
      </w:r>
    </w:p>
    <w:p>
      <w:r>
        <w:t>Available abstract (not full text): This chapter gives an overview of the main macroeconomic trends up until 2018.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r>
        <w:t>POSSIBLE 2018: Macroeconomic background — https://doi.org/10.1787/tax_pol-2018-4-en</w:t>
      </w:r>
    </w:p>
    <w:p>
      <w:r>
        <w:t>Shared claim-specific concepts: gives, background, main, trends; EU scope not established. This is a provisional connection, not an outcome finding.</w:t>
      </w:r>
    </w:p>
    <w:p>
      <w:r>
        <w:t>Available abstract (not full text): This chapter gives an overview of the main macroeconomic trends up until 2017.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r>
        <w:t>POSSIBLE 2018: The background markernáin Barayin — https://doi.org/10.1515/jall-2018-0001</w:t>
      </w:r>
    </w:p>
    <w:p>
      <w:r>
        <w:t>Shared claim-specific concepts: gives, background, main; EU scope not established. This is a provisional connection, not an outcome finding.</w:t>
      </w:r>
    </w:p>
    <w:p>
      <w:r>
        <w:t>Available abstract (not full text): Abstract This article gives a first account of the background markernáin Barayin, an East Chadic language spoken in the Guera region of Chad. The article describes the marker’s syntactic distribution and the semantic and pragmatic contexts it occurs in. It commonly occurs following a sentence-initial noun phrase or adverbial, and it also commonly follows a sentence-initial dependent clause such as a conditional clause. The material precedingnáis background information which provides a context for the interpretation of the following proposition, which is the main point of the communication.</w:t>
      </w:r>
    </w:p>
    <w:p>
      <w:r>
        <w:t>POSSIBLE 2018: Digital economy: backgrounds, main drivers and new challenges — https://doi.org/10.1051/shsconf/20184400006</w:t>
      </w:r>
    </w:p>
    <w:p>
      <w:r>
        <w:t>Shared claim-specific concepts: main, factors; EU scope not established. This is a provisional connection, not an outcome finding.</w:t>
      </w:r>
    </w:p>
    <w:p>
      <w:r>
        <w:t>Available abstract (not full text): The industry development over the last hundred years has had a huge impact on the development of technological infrastructure and life change. Three main components of this development are related to personalization: a car as a personal vehicle and greater personal freedom; a personal computer as a means of intellectual autonomy; a personal phone as a means of freedom of communication and access to information. These three development factors significantly changed the employee psychology and created the conditions for diffusion of qualitatively new, synthesized (cyber-physical) technologies that became the basis of the Industry 4.0 and the Internet of Things – two main working concepts of industrial and infrastructural development for the next 20 years. The conventional or classical industrial systems that are dominant to the present day have mainly been based on the principles of human muscle energy replacement, but the technological changes of our days raise the question of the substantial scale of displacement of the living manpower both in production and in management and services. The process of technological and industrial transformation that has already begun will inevitably lead to the transformation of social and economic systems, and here the key problem will not only be the provision of a new quality of economic growth, but also the solution of the employment problem</w:t>
      </w:r>
    </w:p>
    <w:p>
      <w:r>
        <w:t>POSSIBLE 2017: Macroeconomic background — https://doi.org/10.1787/9789264279919-4-en</w:t>
      </w:r>
    </w:p>
    <w:p>
      <w:r>
        <w:t>Shared claim-specific concepts: gives, background, main, trends; EU scope not established. This is a provisional connection, not an outcome finding.</w:t>
      </w:r>
    </w:p>
    <w:p>
      <w:r>
        <w:t>Available abstract (not full text): This chapter gives an overview of the main macroeconomic trends from the end of the crisis until 2016. The purpose of this overview is to provide background information to help understand tax revenue trends as well as tax policy changes. Tax policy reforms are closely connected with economic trends: tax revenues are affected by changes in macroeconomic conditions and economic trends themselves are key drivers of tax reforms.</w:t>
      </w:r>
    </w:p>
    <w:p>
      <w:r>
        <w:t>POSSIBLE 2017: Research Background on Ontology — https://doi.org/10.4018/978-1-5225-2058-0.ch011</w:t>
      </w:r>
    </w:p>
    <w:p>
      <w:r>
        <w:t>Shared claim-specific concepts: gives, background, main; EU scope not established. This is a provisional connection, not an outcome finding.</w:t>
      </w:r>
    </w:p>
    <w:p>
      <w:r>
        <w:t>Available abstract (not full text): The literature review gives the background to the research process, which consisted of three main aspects to find out the theoretical background essential to this project. These aspects were: ontological engineering, Information Science, and Communities of Practice within knowledge management. The following sections provide an overview of key literature relevant to this project. Firstly, however, the background starts with some basic definitions to establish what is meant by ontology and what the significance of creating ontology is. The survey will come back to the three key aspects of this study and review literature on these; firstly, ontology.</w:t>
      </w:r>
    </w:p>
    <w:p>
      <w:r>
        <w:t>POSSIBLE 2017: The reform of the administrative jurisdiction in Austria - theoretical background and main features of the system — https://openalex.org/W2995068676</w:t>
      </w:r>
    </w:p>
    <w:p>
      <w:r>
        <w:t>Shared claim-specific concepts: background, main; EU scope visible. This is a provisional connection, not an outcome finding.</w:t>
      </w:r>
    </w:p>
    <w:p>
      <w:r>
        <w:t>Available abstract (not full text): The Austrian Administrative Jurisdiction has undergone a decisive change by the “Verwaltungsgerichtsbarkeits-Novelle 2012”, BGBl. I 2012/51 (Amendment to the Federal Constitutional Law concerning the Administrative Jurisdiction). There was established a system of two instances of Administrative Courts. At the same time the possibility to lodge an appeal with the higher administrative authority has been abolished. The reform provides for 9 Administrative Courts of First Instance in the Länder (the Austrian Provinces; deciding upon appeals against decisions of authorities of the Länder) and two Administrative Courts of the Federation (deciding upon appeals against decisions of Federal authorities). The article aims at describing the contents of the reform and its main characteristics. For the sake of a better understanding of the background of the reform and the principle legal foundations of the new system a short description of the development of the Austrian Administrative Jurisdiction is given in the beginning. In the main part of the contribution the competences and tasks of the new Administrative Courts are described in detail. The focus of the description lies on the unique character of the system because of the competence of the Administrative Courts to decide on the substance of the (administrative) matter that makes it different from the ones in other European countries</w:t>
      </w:r>
    </w:p>
    <w:p>
      <w:r>
        <w:t>POSSIBLE 2017: Hybrid method for background modeling and subtracting — https://doi.org/10.1109/isacv.2017.8054941</w:t>
      </w:r>
    </w:p>
    <w:p>
      <w:r>
        <w:t>Shared claim-specific concepts: gives, background, main; EU scope not established. This is a provisional connection, not an outcome finding.</w:t>
      </w:r>
    </w:p>
    <w:p>
      <w:r>
        <w:t>Available abstract (not full text): In this paper, we propose a hybrid method for background modeling, subtracting, and extracting moving objects, which is based on the use of W4and Extended Centre Symmetric Local Binary Pattern (XCS-LBP) approaches. Initially, we apply W4 to get the foreground mask of the video scene, after that we use XCS-LBP to clarify the results obtained. The main focus of this paper is to illustrate moving objects. In the evaluation section, we will prove that the proposed hybrid method gives better results than W4with the use of datasets contains a different background.</w:t>
      </w:r>
    </w:p>
    <w:p>
      <w:pPr>
        <w:pStyle w:val="Heading2"/>
      </w:pPr>
      <w:r>
        <w:t>Global food security: assessing trends in view of guiding future EU policies</w:t>
      </w:r>
    </w:p>
    <w:p>
      <w:r>
        <w:t>Original source (2016): https://doi.org/10.1108/fs-07-2015-0040</w:t>
      </w:r>
    </w:p>
    <w:p>
      <w:r>
        <w:t>Original wording (abstract; indexed_source_text_not_full_document_verified): The structure of the foresight was designed based on the following five objectives: envision the future of food systems, agree on the most crucial drivers of change affecting food security, reach a consensus on a likely vision for 2030, challenge this vision and analyse current policies and policy needs in terms of responsiveness and resilience to food security future challenges. A new paradigm shift is proposed: securing “regular” access to adequate food for the majority of the 8-9 billion people who will live on earth in the period 2030-2050, while addressing the food insecurity of a fraction of that total, is how a future European food security policy should be approached.</w:t>
      </w:r>
    </w:p>
    <w:p>
      <w:r>
        <w:t>POSSIBLE 2025: From Reaction to Foresight: EUPHA’s vision for health security in Europe — https://doi.org/10.1093/eurpub/ckaf071</w:t>
      </w:r>
    </w:p>
    <w:p>
      <w:r>
        <w:t>Shared claim-specific concepts: foresight, designed, based, systems, security, reach; EU scope visible. This is a provisional connection, not an outcome finding.</w:t>
      </w:r>
    </w:p>
    <w:p>
      <w:r>
        <w:t>Available abstract (not full text):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r>
        <w:t>POSSIBLE 2025: Foresight in heritage: fostering future consciousness to proactively face change — https://doi.org/10.1108/jchmsd-12-2024-0298</w:t>
      </w:r>
    </w:p>
    <w:p>
      <w:r>
        <w:t>Shared claim-specific concepts: foresight, drivers, current; EU scope visible. This is a provisional connection, not an outcome finding.</w:t>
      </w:r>
    </w:p>
    <w:p>
      <w:r>
        <w:t>Available abstract (not full text): Purpose This paper introduces Foresight as a structured approach that is increasingly employed across industries and disciplines for anticipating future change and proposes its utility for the heritage sector. We illustrate how integrating greater Foresight into heritage practice can encourage proactive engagement with emerging trends; develop resilient strategies for heritage research, planning and management; and locate where heritage-based actions can bring transformative change for both communities and societies. Design/methodology/approach This paper presents research undertaken as part of the Alliance for Cultural Heritage Research in Europe (ARCHE) to inform a new Strategic Research and Innovation Agenda. We analysed foresight and future-oriented publications from a range of disciplines to consolidate insights on current and emerging trends across sectors and global regions and to understand the heritage sector's engagement with Foresight approaches thus far. Findings The analysis identifies several drivers shaping our existing and future landscape and their implications for heritage research and practice. It also highlights opportunities for action where heritage can have a vital role in shaping futures and catalysing societal benefits. To conclude, the paper discusses gaps in the current body of heritage foresight research and identifies avenues to produce a more robus</w:t>
      </w:r>
    </w:p>
    <w:p>
      <w:r>
        <w:t>POSSIBLE 2024: Emerging Biotechnologies in Europe: Foresight for Policy — https://doi.org/10.2760/4814109</w:t>
      </w:r>
    </w:p>
    <w:p>
      <w:r>
        <w:t>Shared claim-specific concepts: foresight, policies; EU scope visible. This is a provisional connection, not an outcome finding.</w:t>
      </w:r>
    </w:p>
    <w:p>
      <w:r>
        <w:t>Available abstract (not full text):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r>
        <w:t>POSSIBLE 2022: Unsettling the Coloniality of Foresight — https://doi.org/10.4324/9781003199816-10</w:t>
      </w:r>
    </w:p>
    <w:p>
      <w:r>
        <w:t>Shared claim-specific concepts: foresight, designed, systems; EU scope not established. This is a provisional connection, not an outcome finding.</w:t>
      </w:r>
    </w:p>
    <w:p>
      <w:r>
        <w:t>Available abstract (not full text): The practice of foresight is not neutral. It is conditioned by society’s cultural values, its economic systems, and its capacity for collective imagination. Pursuing rigid frames of progress forces people to bend their choices, their perspectives, and their sense of selves to fit those rigid frames, and therefore reduce the breadth of their collective humanity to templates that are designed and understood by a privileged few. This chapter discusses the practice of decoloniality in foresight that interrogates and repairs the deep systemic levels of oppressions that have marginalised and minoritised so many. It requires a consideration of justice in the governance of futures so that we are not locking those that are excluded from these conversations into future indebtedness or inequity. It ensures the responsibilities of intended and unintended consequences of actions in the short and long term are embedded in design, decision-making and governance processes.</w:t>
      </w:r>
    </w:p>
    <w:p>
      <w:r>
        <w:t>POSSIBLE 2021: Networked foresight — https://doi.org/10.25932/publishup-50385</w:t>
      </w:r>
    </w:p>
    <w:p>
      <w:r>
        <w:t>Shared claim-specific concepts: foresight, designed, based, systems; EU scope visible. This is a provisional connection, not an outcome finding.</w:t>
      </w:r>
    </w:p>
    <w:p>
      <w:r>
        <w:t>Available abstract (not full text): The goal of this dissertation is to contribute to the corporate foresight research field by investigating capabilities, practices, and challenges particularly in the context of interorganizational settings and networked organizations informed by the theoretical perspectives of the relational view and dynamic capabilities. Firms are facing an increasingly complex environment and highly complex product and service landscapes that often require multiple organizations to collaborate for innovation and offerings. Public-private partnerships that are targeted at supporting this have been introduced by policy-makers in the recent past. One example for such a partnership is the European Institute of Innovation and Technology (EIT) with multiple Knowledge and Innovation Communities (KICs). The EIT has been initiated by the European Commission in 2008 with the ambition of addressing grand societal challenges, driving innovativeness of European companies, and supporting systemic change. The resulting network organizations are managed similarly to corporations with managers, boards, and firm-like governance structures. EIT Digital as one of the EIT KICs are a central case of this work. Research in this dissertation was based on the expectation that corporate foresight activities will increasingly be embedded in such interorganizational settings and a) can draw on such settings for the bene</w:t>
      </w:r>
    </w:p>
    <w:p>
      <w:r>
        <w:t>POSSIBLE 2020: Foresight for Career Development — https://doi.org/10.17323/2500-2597.2020.2.88.104</w:t>
      </w:r>
    </w:p>
    <w:p>
      <w:r>
        <w:t>Shared claim-specific concepts: foresight, current; EU scope visible. This is a provisional connection, not an outcome finding.</w:t>
      </w:r>
    </w:p>
    <w:p>
      <w:r>
        <w:t>Available abstract (not full text): Career planning and development becomes a process of managing learning, experience and change in order to achieve a personally determined, preferred professional future. In the context of dynamic social, economic and technological changes, the role of career counselling services increases, although their character also evolves. New competences and abilities to use innovative tools that enable effective processes of creating career visions in a systemic manner are expected. In this context the adaptation of Futures Studies to both practice and education of career counselling seems to be an interesting prospect. Exploring the future not only develops individual planning and adaptation skills, but also allows detecting and identifying upcoming trends. It means the ability to adapt to new conditions, or proactive creation of the future, in a way that is favourable. The aim of the article is to present comprehensive methodology and the results of a nationwide survey conducted in Poland among practitioners in the field of career counselling. The scope of the study included exploring the potential of foresight methodology and future studies application for education and practice in the field of career counselling. The main focus of the research to examine the current quality and scope of education offer for career counsellors by the disconfirmation between the ideal features of the co</w:t>
      </w:r>
    </w:p>
    <w:p>
      <w:r>
        <w:t>POSSIBLE 2017: Envisioning future innovative experimental ecosystems through the foresight approach. Case: Design Factory — https://doi.org/10.1007/s40309-017-0128-2</w:t>
      </w:r>
    </w:p>
    <w:p>
      <w:r>
        <w:t>Shared claim-specific concepts: foresight, drivers; EU scope visible. This is a provisional connection, not an outcome finding.</w:t>
      </w:r>
    </w:p>
    <w:p>
      <w:r>
        <w:t>Available abstract (not full text): Change makers are visionaries who wish to bring change to their respective fields. As technological change is accelerating, it is relevant to consider, how the way and what we teach can evolve with the future to remain meaningful and pioneering. Design Factory at Aalto University, as an innovative experimental ecosystem with interdisciplinary principles and new teaching methodologies has been successful in and at the forefront in educating the students to be change-makers. The paper presents a case study of holistically anticipating plausible futures for innovative experimental ecosystems utilizing a foresight approach. We analyze how the ways of working, spaces, and teaching methods of one such ecosystem, Design Factory at Aalto University in Finland, could support students learning in the year 20 × 6 {x = 2, 3}. We present the process of drawing virtual lines that connect trends, future drivers, visions, and scenarios using a contemporary approach that fuses qualitative and quantitative methods. The results from the study are six future scenarios for the Design Factory, that have implications for innovation ecosystems in general. These results are expected to further foster or trigger new research and development experiments, directions for building radical environments, new teaching methods and ways of working.</w:t>
      </w:r>
    </w:p>
    <w:p>
      <w:pPr>
        <w:pStyle w:val="Heading2"/>
      </w:pPr>
      <w:r>
        <w:t>Imaginary scenarios: Literature and Democracy in Europe</w:t>
      </w:r>
    </w:p>
    <w:p>
      <w:r>
        <w:t>Original source (2016): https://doi.org/10.25071/2369-7326.40256</w:t>
      </w:r>
    </w:p>
    <w:p>
      <w:r>
        <w:t>Original wording (abstract; indexed_source_text_not_full_document_verified): The concept ‘imaginary scenario’ will be implemented to investigate imaginative scripts and settings constructed by authors to visualize democratic structures, as such commenting on political and social events and ideas. Tavares (Learning to pray in the age of technique) build their novels around a Vorstellung of how (future) individuals and people in power could act and speak.</w:t>
      </w:r>
    </w:p>
    <w:p>
      <w:r>
        <w:t>POSSIBLE 2024: Navigating the transition: Unraveling the EU's different imaginaries for a just future — https://doi.org/10.1016/j.futures.2024.103483</w:t>
      </w:r>
    </w:p>
    <w:p>
      <w:r>
        <w:t>Shared claim-specific concepts: concept, imaginary; EU scope visible. This is a provisional connection, not an outcome finding.</w:t>
      </w:r>
    </w:p>
    <w:p>
      <w:r>
        <w:t>Available abstract (not full text): The European Union has translated the imperative of Just Transition into a comprehensive mix of instruments. In this way, the EU formulates its future visions of a just and sustainable European society. However, researchers have not yet examined the mix of instruments as an object of “making of futures”. To understand these future visions and the practical implications for the implementation of the instrument mix, our paper draws on the concept of imaginaries. Through a typological content analysis of the instruments, we reveal that the instruments are rooted in two distinct imaginaries. The Impact Mitigation Imaginary conservatively seeks to mitigate the negative impacts of transition on the socio-economic status quo. The Social Justice Imaginary, by contrast, progressively aims for a more equitable society during the transition. Considering also the implementation aspects of the instruments, we show that the instrument mix is inconsistent and only partially credible. We conclude that the implementation of the mix shifts the negotiation between progressive and conservative visions of a just and sustainable future to the national level with its own (power) interests. In this process, several implementation challenges may arise.</w:t>
      </w:r>
    </w:p>
    <w:p>
      <w:r>
        <w:t>POSSIBLE 2023: European Constitutional Imaginaries — https://doi.org/10.1093/oso/9780192855480.003.0001</w:t>
      </w:r>
    </w:p>
    <w:p>
      <w:r>
        <w:t>Shared claim-specific concepts: concept, imaginary, political; EU scope visible. This is a provisional connection, not an outcome finding.</w:t>
      </w:r>
    </w:p>
    <w:p>
      <w:r>
        <w:t>Available abstract (not full text): Abstract This chapter acts as an introduction to the whole volume. It first defines the concept of constitutional imaginary and sets it in the wider context of political theory and philosophy. Next, it explains what is missing from a number of recent publications that deal with European constitutionalism at a more reflexive and theoretical level and how the approach taken in this volume can enrich our understanding of the EU’s present predicament. Two perspectives are particularly important: that of history and that of political economy. The conclusion presents the broader project of which this volume is part and gives a brief overview of each chapter’s contents.</w:t>
      </w:r>
    </w:p>
    <w:p>
      <w:r>
        <w:t>POSSIBLE 2020: Law, biomedical technoscience, and imaginaries — https://doi.org/10.1093/jlb/lsaa088</w:t>
      </w:r>
    </w:p>
    <w:p>
      <w:r>
        <w:t>Shared claim-specific concepts: concept, imaginary, investigate, constructed; EU scope visible. This is a provisional connection, not an outcome finding.</w:t>
      </w:r>
    </w:p>
    <w:p>
      <w:r>
        <w:t>Available abstract (not full text): This special issue advances understanding of the way in which imaginaries underpin law’s engagement with biomedical technologies and science. It is the first collection of law-led interdisciplinary accounts of imaginaries. The articles draw upon examples from biomedical technoscience to illuminate the hitherto unseen or underappreciated roles of imaginaries in the relationships between law and biomedical technoscience. We have conceptualized ‘law’, ‘biomedical technoscience’, and ‘imaginaries’ in broad, inclusive, and dynamic ways. ‘Law’ and ‘biomedical technoscience’ (biomedical technology and science) require no further clarification. ‘Imaginaries’, though, is a relatively novel concept within legal, socio-legal, and regulatory studies scholarship,1 and as such it requires an introduction. In the following, we introduce imaginaries before explaining how this special issue aims to address the dearth of legal scholarship on them. Subsequently, we note the conceptualizations of imaginaries in the articles, where imaginaries can be found in law and legal discourse, and finally what it is that imaginaries do and why they matter for law. Conceptualizations of imaginaries are found in several disciplines. Beckert, working within economics, formulates imaginaries as ‘imagined futures’.2 Jasanoff and Kim, from science and technology studies (STS), conceive sociotechnical imaginaries a</w:t>
      </w:r>
    </w:p>
    <w:p>
      <w:r>
        <w:t>POSSIBLE 2019: The Circular Economy in Europe: Critical Perspectives on Policies and Imaginaries — https://doi.org/10.4324/9780429061028</w:t>
      </w:r>
    </w:p>
    <w:p>
      <w:r>
        <w:t>Shared claim-specific concepts: authors, ideas; EU scope visible. This is a provisional connection, not an outcome finding.</w:t>
      </w:r>
    </w:p>
    <w:p>
      <w:r>
        <w:t>Available abstract (not full text): The Circular Economy in Europe presents an overview and a critical discussion on how circularity is conceived, imagined, and enacted in current EU policy-making. In 2013, the idea of a circular economy entered the stage of European policy-making in the efforts to reconcile environmental and economic policy objectives. In 2019 the European Commission declared in a press release that the Circular Economy Action Plan has been delivered. The level of circularity in the European economy, however, has remained the same. Bringing together perspectives from social sciences, environmental economics and policy analysis, The Circular Economy in Europe provides a critical analysis of policies and promises of the next panacea for growth and sustainability. The authors provide a theoretical and empirical basis to discuss how contemporary societies conceive their need to re-organise production and consumption and explores the messy assemblage of institutions, actors, waste streams, biophysical flows, policy objectives, scientific disciplines, values, expectations, promises and aspirations involved. This book is essential reading for all those interested in understanding how ideas about the circular economy emerged historically, how they gained traction and are used in policy processes, and what the practical challenges in implementing this policy are.</w:t>
      </w:r>
    </w:p>
    <w:p>
      <w:r>
        <w:t>POSSIBLE 2019: The social imaginaries of data activism — https://doi.org/10.1177/2053951718821146</w:t>
      </w:r>
    </w:p>
    <w:p>
      <w:r>
        <w:t>Shared claim-specific concepts: imaginary, structures, political; EU scope visible. This is a provisional connection, not an outcome finding.</w:t>
      </w:r>
    </w:p>
    <w:p>
      <w:r>
        <w:t>Available abstract (not full text): Data activism, promoting new forms of civic and political engagement, has emerged as a response to problematic aspects of datafication that include tensions between data openness and data ownership, and asymmetries in terms of data usage and distribution. In this article, we discuss MyData, a data activism initiative originating in Finland, which aims to shape a more sustainable citizen-centric data economy by means of increasing individuals' control of their personal data. Using data gathered during long-term participant-observation in collaborative projects with data activists, we explore the internal tensions of data activism by first outlining two different social imaginaries – technological and socio-critical – within MyData, and then merging them to open practical and analytical space for engaging with the socio-technical futures currently in the making. While the technological imaginary favours data infrastructures as corrective measures, the socio-critical imaginary questions the effectiveness of technological correction. Unpacking them clarifies the kinds of political and social alternatives that different social imaginaries ascribe to the notions underlying data activism, and highlights the need to consider the social structures in play. The more far-reaching goal of our exercise is to provide practical and analytical resources for critical engagement in the context o</w:t>
      </w:r>
    </w:p>
    <w:p>
      <w:pPr>
        <w:pStyle w:val="Heading2"/>
      </w:pPr>
      <w:r>
        <w:t>Interpreting long-term energy scenarios and the role of bioenergy in Germany</w:t>
      </w:r>
    </w:p>
    <w:p>
      <w:r>
        <w:t>Original source (2016): https://doi.org/10.1016/j.rser.2016.02.016</w:t>
      </w:r>
    </w:p>
    <w:p>
      <w:r>
        <w:t>Original wording (abstract; indexed_source_text_not_full_document_verified): This article aims to provide with information for better understanding energy scenarios and to interpret the expectations of the role that bioenergy can play in 2050. The results for the four indicators show a high uncertainty and a wide range of potential bioenergy development futures in Germany by 2050 – e.g. the sustainable domestic biomass potential ranges from 350 to 1700 PJ, the share of biomass in final energy consumption lies between 5 and 28% – principally due to the different key questions and methods and heterogeneous driving forces.</w:t>
      </w:r>
    </w:p>
    <w:p>
      <w:r>
        <w:t>POSSIBLE 2024: A Mapping of Textile Waste Recycling Technologies in Europe and Spain — https://doi.org/10.3390/textiles4030022</w:t>
      </w:r>
    </w:p>
    <w:p>
      <w:r>
        <w:t>Shared claim-specific concepts: article, aims, provide; EU scope visible. This is a provisional connection, not an outcome finding.</w:t>
      </w:r>
    </w:p>
    <w:p>
      <w:r>
        <w:t>Available abstract (not full text):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r>
        <w:t>POSSIBLE 2023: The European Universities Initiative and European spatial imaginaries — https://doi.org/10.1080/14767724.2023.2210515</w:t>
      </w:r>
    </w:p>
    <w:p>
      <w:r>
        <w:t>Shared claim-specific concepts: article, role, range; EU scope visible. This is a provisional connection, not an outcome finding.</w:t>
      </w:r>
    </w:p>
    <w:p>
      <w:r>
        <w:t>Available abstract (not full text): The European Universities Initiative (EUI), launched in 2019, fosters the development of networks of universities across Europe with the aim of enabling students to obtain a degree by combining studies in several countries and strengthening collaboration in both teaching and research, and by extension, the international competitiveness of European universities. As well as constituting one of the European Commission’s most significant policies with respect to higher education, over recent years, the initiative also provides a useful lens to explore how European higher education is understood by a range of social actors. Indeed, drawing on relevant policy documents and interviews with key policy actors, this article examines what broader messages about the European higher education space (actual and ideal) are conveyed by public discussions about EUI networks. The analysis reveals significantly different perspectives about: the geographical boundaries of the European higher education space; the extent to which European higher education should be inclusive and/or aim to promote excellence; whether higher education constitutes a vehicle for further Europeanisation; and the role of nation-states in a changing Europe.</w:t>
      </w:r>
    </w:p>
    <w:p>
      <w:r>
        <w:t>POSSIBLE 2023: The Impact of COVID-19 in Europe: A Comprehensive Analysis — https://doi.org/10.54783/ijsoc.v5i4.787</w:t>
      </w:r>
    </w:p>
    <w:p>
      <w:r>
        <w:t>Shared claim-specific concepts: article, aims, provide; EU scope visible. This is a provisional connection, not an outcome finding.</w:t>
      </w:r>
    </w:p>
    <w:p>
      <w:r>
        <w:t>Available abstract (not full text): The COVID-19 pandemic, caused by the novel coronavirus SARS-CoV-2, has had a profound impact on the European continent. This scientific journal article aims to provide a comprehensive analysis of the spread, healthcare response, socio-economic consequences, and lessons learned from the COVID-19 pandemic in Europe. It combines data-driven insights with a review of relevant scientific literature to present a holistic view of the situation in Europe</w:t>
      </w:r>
    </w:p>
    <w:p>
      <w:r>
        <w:t>POSSIBLE 2023: A Study on the Interpretation and Application of Article 2 of the European Convention on Human Rights: Focusing on the Case Law of the European Court of Human Rights — https://doi.org/10.21592/eucj.2023.42.99</w:t>
      </w:r>
    </w:p>
    <w:p>
      <w:r>
        <w:t>Shared claim-specific concepts: article, aims, provide, understanding, role; EU scope visible. This is a provisional connection, not an outcome finding.</w:t>
      </w:r>
    </w:p>
    <w:p>
      <w:r>
        <w:t>Available abstract (not full text): This study examines the interpretation and application of Article 2, the right to life, which is one of the most central rights guaranteed by the European Convention on Human Rights. It is universally recognized that the right to life represents a fundamental right of all human beings and that its proper understanding and protection is a fundamental basis for individual freedom and respect for human rights. The European Convention on Human Rights is an important document that ensures that individuals in Europe are guaranteed their fundamental rights and freedoms as human beings. Article 2, the right to life, is at the heart of the Convention and guarantees one of the most fundamental rights that every human being has. However, the understanding and application of this right to life can raise complex issues in different social and political contexts. For this reason, this study aims to provide an in-depth examination of the complexities of the right to life. The aim is to examine the role of the right to life in ensuring human dignity and promoting social justice through the case law of the European Court of Human Rights. Based on this, the general concept of the right to life and the interpretation of the right to life by the European Court of Human Rights will be introduced in the next chapter, followed by an analysis of the Court's main decisions, with the aim of bridging the</w:t>
      </w:r>
    </w:p>
    <w:p>
      <w:r>
        <w:t>POSSIBLE 2023: The Impact of COVID-19 in Europe: An Overview of the Pandemic's Challenges and Responses — https://openalex.org/W7217768397</w:t>
      </w:r>
    </w:p>
    <w:p>
      <w:r>
        <w:t>Shared claim-specific concepts: article, aims, provide; EU scope visible. This is a provisional connection, not an outcome finding.</w:t>
      </w:r>
    </w:p>
    <w:p>
      <w:r>
        <w:t>Available abstract (not full text): The COVID-19 pandemic has emerged as one of the most significant global health crises in recent history, affecting nearly every corner of the world, including Europe. This article aims to provide a comprehensive overview of the impact of COVID-19 in Europe, focusing on the challenges faced by the region and the responses adopted by various countries to combat the spread of the virus. By examining the epidemiological trends, healthcare infrastructure, socio-economic implications, and public health strategies, this study aims to shed light on the lessons learned from the pandemic and the way forward for Europe's health systems.</w:t>
      </w:r>
    </w:p>
    <w:p>
      <w:r>
        <w:t>POSSIBLE 2022: The Regional Development Trap in Europe — https://doi.org/10.1080/00130095.2022.2080655</w:t>
      </w:r>
    </w:p>
    <w:p>
      <w:r>
        <w:t>Shared claim-specific concepts: article, indicators; EU scope visible. This is a provisional connection, not an outcome finding.</w:t>
      </w:r>
    </w:p>
    <w:p>
      <w:r>
        <w:t>Available abstract (not full text): The concept of regional development trap refers to regions that face significant structural challenges in retrieving past dynamism or improving prosperity for their residents. This article introduces and measures the concept of the regional development trap for regions in Europe. The concept draws inspiration from the middle-income trap in international development theory but widens it to shed light on traps in higher-income countries and at the regional scale. We propose indicators—involving the economic, productivity, and employment performance of regions relative to themselves in the immediate past, and to other regions in their respective countries and elsewhere in Europe—to identify regions either in a development trap or at significant near-term risk of falling into it. Regions facing development traps generate economic, social, and political risks at the national scale but also for Europe as a whole.</w:t>
      </w:r>
    </w:p>
    <w:p>
      <w:r>
        <w:t>POSSIBLE 2022: European Investigation Order and the Right to a Trial Consecrated in Article 47 of the Charter of Fundamental Rights of the European Union. — https://doi.org/10.51389/sxtm4110</w:t>
      </w:r>
    </w:p>
    <w:p>
      <w:r>
        <w:t>Shared claim-specific concepts: article, aims, provide; EU scope visible. This is a provisional connection, not an outcome finding.</w:t>
      </w:r>
    </w:p>
    <w:p>
      <w:r>
        <w:t>Available abstract (not full text): In 2019, the Court of Justice of the European Union (CJEU) delivered its first decision on the European Investigation Order (EIO) adopted by Directive 2014/41/EU in Case C-324/17, Gavanozov, 24th of October. Following a request for a preliminary ruling, the CJEU stated that "Article 5(1) of Directive 2014/41/EU of the European Parliament and the Council, of 3 April 2014, on the European Investigation Order (EIO), read in conjunction with Section J of the form in Annex A to that directive, must be interpreted as meaning that the judicial authority of a Member State does not, at the time of issuing a European investigative decision, have to include in this section a description of any legal remedies in its Member State against the issuing of that decision". However, the Advocate General of the Union, Yves Bot, considered that the Bulgarian judicial authority could not have issued the EIO because the national legislation did not provide for any legal remedy against the investigative measures that were requested, which is contrary to what is foreseen in Article 47 of the Charter of Fundamental Rights of the European Union (CFREU). In view of the opposite readings regarding this instrument of judicial cooperation in criminal matters, this presentation aims to examine the Court of Justice’s decision and the AG’s conclusions to substantiate a position on the possible need for the EU l</w:t>
      </w:r>
    </w:p>
    <w:p>
      <w:r>
        <w:t>POSSIBLE 2021: The Integrated Carbon Observation System in Europe — https://doi.org/10.1175/bams-d-19-0364.1</w:t>
      </w:r>
    </w:p>
    <w:p>
      <w:r>
        <w:t>Shared claim-specific concepts: article, aims, provide, information; EU scope visible. This is a provisional connection, not an outcome finding.</w:t>
      </w:r>
    </w:p>
    <w:p>
      <w:r>
        <w:t xml:space="preserve">Available abstract (not full text): Abstract Since 1750, land-use change and fossil fuel combustion has led to a 46% increase in the atmospheric carbon dioxide (CO2) concentrations, causing global warming with substantial societal consequences. The Paris Agreement aims to limit global temperature increases to well below 2°C above preindustrial levels. Increasing levels of CO2 and other greenhouse gases (GHGs), such as methane (CH4) and nitrous oxide (N2O), in the atmosphere are the primary cause of climate change. Approximately half of the carbon emissions to the atmosphere are sequestered by ocean and land sinks, leading to ocean acidification but also slowing the rate of global warming. However, there are significant uncertainties in the future global warming scenarios due to uncertainties in the size, nature, and stability of these sinks. Quantifying and monitoring the size and timing of natural sinks and the impact of climate change on ecosystems are important information to guide policy-makers’ decisions and strategies on reductions in emissions. Continuous, long-term observations are required to quantify GHG emissions, sinks, and their impacts on Earth systems. The Integrated Carbon Observation System (ICOS) was designed as the European in situ observation and information system to support science and society in their efforts to mitigate climate change. It provides standardized and open data currently from </w:t>
      </w:r>
    </w:p>
    <w:p>
      <w:r>
        <w:t>POSSIBLE 2019: Challenges to the sustainability of climate services in Europe — https://doi.org/10.1002/wcc.587</w:t>
      </w:r>
    </w:p>
    <w:p>
      <w:r>
        <w:t>Shared claim-specific concepts: article, aims, provide, role; EU scope visible. This is a provisional connection, not an outcome finding.</w:t>
      </w:r>
    </w:p>
    <w:p>
      <w:r>
        <w:t>Available abstract (not full text): Abstract Climate services have emerged as a research and operational field in recent years. This development has been underpinned and supported by significant research, funding and agenda‐setting efforts such as the Global Framework for Climate Services internationally and the Roadmap for Climate Services and the Copernicus Climate Change Service in Europe. The fast pace at which this field is developing raises a number of key challenges that need to be critically examined and addressed to ensure the future development and sustainability of climate services in Europe. This opinion piece highlights a number of challenges currently threatening the viability of climate services including the complexity of the concept of climate services; the complex landscape of complementary research and development areas relevant to climate services; existing rights to freely access and use climate services; current limitations to funding structures and mechanisms and how that impacts on the development of climate services; the emphasis on co‐production as a precondition to climate services development; and the limited role of the social sciences in the research and operational field of climate services. Effectively addressing these challenges will require a commitment from the scientific and practitioner communities to engage in critical and reflective debates around the future conceptualizatio</w:t>
      </w:r>
    </w:p>
    <w:p>
      <w:r>
        <w:t>POSSIBLE 2018: The Race-Religion Constellation: A European Contribution to the Critical Philosophy of Race — https://doi.org/10.5325/critphilrace.6.1.0058</w:t>
      </w:r>
    </w:p>
    <w:p>
      <w:r>
        <w:t>Shared claim-specific concepts: article, aims, provide; EU scope visible. This is a provisional connection, not an outcome finding.</w:t>
      </w:r>
    </w:p>
    <w:p>
      <w:r>
        <w:t>Available abstract (not full text): Abstract This article traces the hidden race-religion constellation in Europe. The term “race-religion constellation” refers to the connection or co-constitution of the categories of race and “religion.” Specifically, the term “race-religion constellation” is used to refer to the practice of classifying people into races according to categories we now associate with the term “religion.” This calls for a consideration of European history and forms of racism in Europe, such as anti-Semitism and Islamophobia. This article aims to provide an alternative non-secularized or biological account of the origins of the socially constructed category of race in Europe. The alternative story begins in the sixteenth century, when the category of “religion” as a means for classifying peoples was both constructed and politicized. In tracing this alternative story, this article seeks to outline a framework for a critical philosophy of race focused on a European religion line that intersects with Du Bois's color line.</w:t>
      </w:r>
    </w:p>
    <w:p>
      <w:r>
        <w:t>POSSIBLE 2017: Policies for biosimilar uptake in Europe: An overview — https://doi.org/10.1371/journal.pone.0190147</w:t>
      </w:r>
    </w:p>
    <w:p>
      <w:r>
        <w:t>Shared claim-specific concepts: article, provide, information, sustainable; EU scope visible. This is a provisional connection, not an outcome finding.</w:t>
      </w:r>
    </w:p>
    <w:p>
      <w:r>
        <w:t>Available abstract (not full text): BACKGROUND: Across European countries, differences exist in biosimilar policies, leading to variations in uptake of biosimilars and divergences in savings all over Europe. OBJECTIVES: The aim of this article is to provide an overview of different initiatives and policies that may influence the uptake of biosimilars in different European countries. Recommendations will be formulated on how to create sustainable uptake. METHODS: An overview of policies on biosimilars was obtained via a questionnaire, supplemented with relevant articles. Topics were organized in five themes: availability, pricing, reimbursement, demand-side policies, and recommendations to enhance uptake. RESULTS: In all countries studied, biological medicines are available. Restrictions are mainly dependent on local organization of the healthcare system. Countries are willing to include biosimilars for reimbursement, but for commercial reasons they are not always marketed. In two thirds of countries, originator and biosimilar products may be subjected to internal reference pricing systems. Few countries have implemented specific incentives targeting physicians. Several countries are implementing pharmacist substitution; however, the scope and rules governing such substitution tend to vary between these countries. Reported educational policies tend to target primarily physicians, whereas fewer initiatives were rep</w:t>
      </w:r>
    </w:p>
    <w:p>
      <w:r>
        <w:t>POSSIBLE 2017: Export Promotion Aims and Reality: A Comparison of the Iberian, Baltic and Central European Region — https://doi.org/10.1515/bjes-2017-0004</w:t>
      </w:r>
    </w:p>
    <w:p>
      <w:r>
        <w:t>Shared claim-specific concepts: article, aims, provide, role; EU scope visible. This is a provisional connection, not an outcome finding.</w:t>
      </w:r>
    </w:p>
    <w:p>
      <w:r>
        <w:t>Available abstract (not full text): Abstract As a consequence of the international crisis in 2008-2009, the role of exports in economic growth came into focus in most countries. Exports of EU Member States gained momentum from 2010 onward but with certain changes in their structure and direction. In several countries, the turn towards non-EU areas, such as China or Latin America was part of the state export strategy. On the one hand, our article describes these foreign trade strategies and their institutional framework of the Iberian, Baltic and Central European governments, detecting possible similarities. On the other hand, we analyse recent export data. This way we can get a picture on the structure and direction of exports of periphery economies and this can be compared to the aims of the given states. Our hypothesis is that there is a gap between the reality and the intentions of the governments. The size of this gap varies and is influenced by certain factors such as the different involvement of multinational companies in foreign trade or the different economic structure of these countries. In our paper we list which countries adopted a government strategy and with what aim. We provide a short literature review on state trade promotion policies and discuss these policies and their institutions in the Baltic, Visegrád and Iberian countries.</w:t>
      </w:r>
    </w:p>
    <w:p>
      <w:pPr>
        <w:pStyle w:val="Heading2"/>
      </w:pPr>
      <w:r>
        <w:t>Long-term outlook for wood construction in Europe</w:t>
      </w:r>
    </w:p>
    <w:p>
      <w:r>
        <w:t>Original source (2016): https://doi.org/10.14214/df.211</w:t>
      </w:r>
    </w:p>
    <w:p>
      <w:r>
        <w:t>Original wording (abstract; indexed_source_text_not_full_document_verified): The aim of the study is to examine the factors affecting the market potential of wood construction in Europe towards 2030.The study takes three complementary perspectives: Past trends and current structures, future trends and uncertainties and measures required to meet the long-term targets of the industries.The methodological framework builds on combining quantitative, descriptive and participative research approaches.By adopting methods and approaches from the field of foresight, the study aims to contribute also to the methodology development for long-term forest sector outlook studies.The trends and pressures in the operating environment of construction were found to primarily relate to the need for reducing the environmental impact of construction and improving the quality and productivity of construction.However, few of the trends would appear to have decisive impact on the diffusion of wood construction.That is, the positive drivers might not translate into improved competitive advantage for wood construction to the extent often expected, due to the lack of willingness or ability to pay for the attributes exceeding the requirements posed by the building regulations.Instead, the cultural and structural hindrances culminating to the fragmented structure and risk-averse characteristics of the construction and wood products industries seem to create significant inertia for the diffusion of wood construction.Based on scenario analysis, the outlook would appear to be dependent on the possible regulatory push for green building and on the possible changes in the strategic orientations of the industries.However, the empirical part indicated that the short-term strategy and policy measures suggested by experts are regarded either as unlikely or as unattractive by the industry stakeholders.The results therefore suggest that the diffusion of wood construction in Europe is likely to be a gradual process, subject to significant inertia, and restricted to a few niche sub-sectors and regions towards 2030.</w:t>
      </w:r>
    </w:p>
    <w:p>
      <w:r>
        <w:t>POSSIBLE 2024: Community Mental Health in Türkiye and Europe: Data and Influencing Factors — https://doi.org/10.18863/pgy.1392348</w:t>
      </w:r>
    </w:p>
    <w:p>
      <w:r>
        <w:t>Shared claim-specific concepts: aim, examine, factors, affecting, three; EU scope visible. This is a provisional connection, not an outcome finding.</w:t>
      </w:r>
    </w:p>
    <w:p>
      <w:r>
        <w:t>Available abstract (not full text): Human is an entity that can be completed with the combination of biological, psychological and social factors. The concept of health is defined as being in a state of complete mental, social and physical well-being. The term "community mental health" defines mental health care in relation to the individual and the environment in which the individual interacts. If the factors affecting mental health are known and intervened, it is predicted that community mental health will make positive progress. The aim of this study is to examine and compare the factors affecting community mental health by analysing community mental health data in Türkiye and Europe. The World Health Organisation (WHO) examines these factors in three groups as individual, family and community and structural factors. In order to analyse the degree to which these factors affect mental health, data from Türkiye and Europe were analysed by examining the reports of the World Health Organization, European Commission, European Parliament, OECD, Institute for Health Metrics and Evaluation and Turkish Statistical Institute. It is seen that community mental health is affected by the community's understanding of health and illness, access to mental health services, gender, age, education, the concept of loneliness, unemployment, diseases affecting the world such as pandemics and the economy. As a result of mental health</w:t>
      </w:r>
    </w:p>
    <w:p>
      <w:r>
        <w:t>POSSIBLE 2021: Escalating incidence of infective endocarditis in Europe in the 21st century — https://doi.org/10.1136/openhrt-2021-001846</w:t>
      </w:r>
    </w:p>
    <w:p>
      <w:r>
        <w:t>Shared claim-specific concepts: aim, factors, past, trends; EU scope visible. This is a provisional connection, not an outcome finding.</w:t>
      </w:r>
    </w:p>
    <w:p>
      <w:r>
        <w:t>Available abstract (not full text): AIM: To provide a contemporary analysis of incidence trends of infective endocarditis (IE) with its changing epidemiology over the past two decades in Europe. METHODS: A systematic review was conducted at the Mayo Clinic, Rochester. Ovid EBM Reviews, Ovid Embase, Ovid Medline, Scopus and Web of Science were searched for studies published between 1 January 2000 and 30 November 2020. All studies were independently reviewed by four referees and those that included a population-based incidence of IE in patients, irrespective of age, in Europe were included. Least squares regression was used to estimate pooled temporal trends in IE incidence. RESULTS: Of 9138 articles screened, 18 studies were included in the review. Elderly men predominated in all studies. IE incidence increased 4.1% per year (95% CI 1.8% to 6.4%) in the pooled regression analysis of eight studies that included comprehensive and consistent trends data. When trends data were weighted according to population size of individual countries, an increase in yearly incidence of 0.27 cases per 100 000 people was observed. Staphylococci and streptococci were the most common pathogens identified. The rate of surgical intervention ranged from 10.2% to 60.0%, and the rate of inpatient mortality ranged from 14.3% to 17.5%. In six studies that examined the rate of injection drug use, five of them reported a rate of less than 10%.</w:t>
      </w:r>
    </w:p>
    <w:p>
      <w:r>
        <w:t>POSSIBLE 2020: Stressors, coping and symptoms of adjustment disorder in the course of the COVID-19 pandemic – study protocol of the European Society for Traumatic Stress Studies (ESTSS) pan-European study — https://doi.org/10.1080/20008198.2020.1780832</w:t>
      </w:r>
    </w:p>
    <w:p>
      <w:r>
        <w:t>Shared claim-specific concepts: examine, factors, current, framework; EU scope visible. This is a provisional connection, not an outcome finding.</w:t>
      </w:r>
    </w:p>
    <w:p>
      <w:r>
        <w:t>Available abstract (not full text): BACKGROUND: During the current COVID-19 pandemic, the people in Europe are exposed to self-isolation, quarantine, job loss, risk of contracting COVID-19, or grief of loved ones. Such a complex array of stressors may lead to symptoms of adjustment disorder or posttraumatic stress disorder. This research protocol describes a study launched by the European Society of Traumatic Stress Studies (ESTSS) to investigate the impact of the COVID-19 pandemic on symptoms of adjustment disorder across European countries. OBJECTIVE: The longitudinal online cohort study aims (1) to explore psychosocial reactions to the COVID-19 pandemic across ten European countries; (2) to examine the relationships between risk and resilience factors, stressors and symptoms of adjustment disorder during the pandemic; and (3) to investigate whether these relationships are moderated by coping behaviours. METHOD: In ten countries (Austria, Croatia, Georgia, Germany, Italy, Lithuania, Netherlands, Poland, Portugal, and Sweden), between 1,000 and 2,000 participants will be recruited, depending on the size of the country. Participants will be assessed at two timepoints with a six-month interval. Following a conceptual framework based on the WHO's social framework of health, an assessment of risk and resilience factors, COVID-19 related stressors and pandemic-specific coping behaviours will be measured to estimate t</w:t>
      </w:r>
    </w:p>
    <w:p>
      <w:r>
        <w:t>POSSIBLE 2019: Spatial and Seasonal Patterns in Vegetation Growth-Limiting Factors over Europe — https://doi.org/10.3390/rs11202406</w:t>
      </w:r>
    </w:p>
    <w:p>
      <w:r>
        <w:t>Shared claim-specific concepts: factors, current, long-term; EU scope visible. This is a provisional connection, not an outcome finding.</w:t>
      </w:r>
    </w:p>
    <w:p>
      <w:r>
        <w:t>Available abstract (not full text): Water and energy are recognized as the most influential climatic vegetation growth-limiting factors. These factors are usually measured from ground meteorological stations. However, since both vary in space, time, and scale, they can be assessed by satellite-derived biophysical indicators. Energy, represented by land surface temperature (LST), is assumed to resemble air temperature; and water availability, related to precipitation, is represented by the normalized difference vegetation index (NDVI). It is hypothesized that positive correlations between LST and NDVI indicate energy-limited conditions, while negative correlations indicate water-limited conditions. The current project aimed to quantify the spatial and seasonal (spring and summer) distributions of LST–NDVI relations over Europe, using long-term (2000–2017) MODIS images. Overlaying the LST–NDVI relations on the European biome map revealed that relations between LST and NDVI were highly diverse among the various biomes and throughout the entire study period (March–August). During the spring season (March–May), 80% of the European domain, across all biomes, showed the dominance of significant positive relations. However, during the summer season (June–August), most of the biomes—except the northern ones—turned to negative correlation. This study demonstrates that the drought/vegetation/stress spectral indices, based o</w:t>
      </w:r>
    </w:p>
    <w:p>
      <w:r>
        <w:t>POSSIBLE 2018: Dietary Patterns in European and Brazilian Adolescents: Comparisons and Associations with Socioeconomic Factors — https://doi.org/10.3390/nu10010057</w:t>
      </w:r>
    </w:p>
    <w:p>
      <w:r>
        <w:t>Shared claim-specific concepts: aim, examine, factors; EU scope visible. This is a provisional connection, not an outcome finding.</w:t>
      </w:r>
    </w:p>
    <w:p>
      <w:r>
        <w:t>Available abstract (not full text): Associations between dietary patterns (DP) and socioeconomic factors have been little explored in adolescents. The aim of this study was to identify DP in European and Brazilian adolescents and to investigate their associations with a range of socioeconomic indicators. Adolescents from the HELENA-study and the Household Budget Survey were analyzed. Factor analysis was used to obtain DP. Linear regression was used to examine the association between DP and SES. In Europeans, the Western DP was associated with low education of the mother, high socioeconomic status (boys), older age (boys), and living in cities of the Northern Europe; in Brazilians, the Western DP was associated with high secondary education of the mother, high socioeconomic status and living in Southern areas of the country. The Traditional European DP, in both genders, was associated with high secondary education of the mother and inversely associated with a high socioeconomic status; the Traditional Brazilian DP, was associated with university level education of the mother and older age (boys). The association between DP and socioeconomic factors is relevant for the understanding of food-related practices and highlight the importance of performing a complete assessment of the socioeconomic influence in adolescent's DP from developed and developing countries.</w:t>
      </w:r>
    </w:p>
    <w:p>
      <w:r>
        <w:t>POSSIBLE 2017: Socioeconomic inequality in clusters of health-related behaviours in Europe: latent class analysis of a cross-sectional European survey — https://doi.org/10.1186/s12889-017-4440-3</w:t>
      </w:r>
    </w:p>
    <w:p>
      <w:r>
        <w:t>Shared claim-specific concepts: examine, factors, three; EU scope visible. This is a provisional connection, not an outcome finding.</w:t>
      </w:r>
    </w:p>
    <w:p>
      <w:r>
        <w:t xml:space="preserve">Available abstract (not full text): BACKGROUND: Modifiable health-related behaviours tend to cluster among most vulnerable sectors of the population, particularly those at the bottom of the social hierarchy. This study aimed to identify the clusters of health-related behaviours in 27 European countries and to examine the socioeconomic inequalities in these clusters. METHODS: Data were from Eurobarometer 72.3-2009, a cross-sectional survey of 27 European countries. The analyses were conducted in 2016. The main sections of the survey included questions pertaining to sociodemographic factors, health-related behaviours, and use of services. In this study, those aged 18 years and older were included. We selected five health-related behaviours, namely smoking, excessive alcohol consumption, frequent fresh fruit consumption, physical activity and dental check-ups. Socioeconomic position was indicated by education, subjective social status and difficulty in paying bills. Latent class analysis was conducted to explore the clusters of these five behaviours. Multinomial logistic regression model was used to examine the relationships between the clusters and socioeconomic positions adjusting for age, gender, marital status and urbanisation. RESULTS: The eligible total population was 23,842. Latent class analysis identified three clusters; healthy, moderate and risky clusters in this European population. Individuals with the </w:t>
      </w:r>
    </w:p>
    <w:p>
      <w:r>
        <w:t>POSSIBLE 2017: The Style As a Factor of Office Building Concentration Locations in European Cities — https://doi.org/10.1515/ceer-2017-0001</w:t>
      </w:r>
    </w:p>
    <w:p>
      <w:r>
        <w:t>Shared claim-specific concepts: aim, examine, factors, structures; EU scope visible. This is a provisional connection, not an outcome finding.</w:t>
      </w:r>
    </w:p>
    <w:p>
      <w:r>
        <w:t>Available abstract (not full text): Where should office building concentrations be located in cities? What kind of factors has an influence on its locations? The aim of the research is to examine factors of office locations in cities. Selected office building concentrations in European cities were investigated as case studies. The research method was the spatial decision paradigm. The style, one of the main elements of the paradigm, was selected to answer the research question. The style was defined a composition of existing urban structures. Basic elements of urban composition in selected European cities were examined closely. Research results are conditions of office building concentration locations in European cities in term of urban composition. Such knowledge should be a base of decision-making processe during preparing master plans and city development plans.</w:t>
      </w:r>
    </w:p>
    <w:p>
      <w:pPr>
        <w:pStyle w:val="Heading2"/>
      </w:pPr>
      <w:r>
        <w:t>New opportunities for future tourism after 25 years of political and socioeconomic transformation – foresight in Poland’s tourism planning</w:t>
      </w:r>
    </w:p>
    <w:p>
      <w:r>
        <w:t>Original source (2016): https://doi.org/10.1108/jtf-05-2015-0031</w:t>
      </w:r>
    </w:p>
    <w:p>
      <w:r>
        <w:t>Original wording (abstract; indexed_source_text_not_full_document_verified): Since one of the main foresight goals is to identify trends, the paper takes attempt to verify trends that occurred in Poland after 1989 and if they have now and will have in the near future influence on Polish tourism. Findings The analysis of the political and economic changes that have taken place in Poland over the last 25 years shows that they were positive for the development of tourism base.</w:t>
      </w:r>
    </w:p>
    <w:p>
      <w:r>
        <w:t>POSSIBLE 2026: From the Single European Act to the One Europe, One Market Agenda. — https://doi.org/10.22370/pe.2026.20.5851</w:t>
      </w:r>
    </w:p>
    <w:p>
      <w:r>
        <w:t>Shared claim-specific concepts: since, one, main, political; EU scope visible. This is a provisional connection, not an outcome finding.</w:t>
      </w:r>
    </w:p>
    <w:p>
      <w:r>
        <w:t>Available abstract (not full text): This article traces the main stages that have characterized the construction of the current European Union. To do this, we outlined the relationship among law, politics, public policies. In particular, through a rigorous methodological approach based on the comparison of sources and the search for technical aspects investigated through the specific categories of multiple disciplines to have the broadest possible vision of the phenomenon, the historical stages that led the European elites to pursue a common idea of Europe that exists and live the challenges of contemporaneity to ensure a solid peace through a transversal involvement of institutions are retraced public and private on the basis of economic interests. The common thread of this work is the theme of European competitiveness and the position that Europe assumes on the geopolitical chessboard: from the entry into force of the Single European Act in 1986 to the presentation of the One Europe, One Market Agenda in 2026. The research is aimed at showing the importance of choral choices in the path of integration and Europeanization, highliting the limits and potential that the Old Continent has faced since the dawn of the project of a united Europe and what prospects remain open in the current scenarios according to the agenda of leaders who see in a systemic approach the way to compete with other global technological and</w:t>
      </w:r>
    </w:p>
    <w:p>
      <w:r>
        <w:t>POSSIBLE 2024: The Main Concerns towards the European Union that Led the British to Vote for Brexit — https://doi.org/10.2478/eustu-2024-0008</w:t>
      </w:r>
    </w:p>
    <w:p>
      <w:r>
        <w:t>Shared claim-specific concepts: since, one, main; EU scope visible. This is a provisional connection, not an outcome finding.</w:t>
      </w:r>
    </w:p>
    <w:p>
      <w:r>
        <w:t>Available abstract (not full text): Summary Brexit is one of the main international events of the twenty-first century. Although as a process it was finalized in 2021, there is still curiosity about its causes. The purpose of this article is to specify the main concerns towards the European Union that led the Britons to vote for Brexit. For realization of the research were used qualitative methods, characterized by the collection of data from the bibliography and internet sources related to the United Kingdom, the EU and the Brexit process. The research results show that since its membership in the European Economic Community in 1973, the UK has had contradictions with certain EU policies. But, immigration was the biggest concern and the main factor that led the British people to vote for Brexit. The conclusions aim to increase information about the Brexit process and factors that had a great impact on the British people’s vote for Brexit.</w:t>
      </w:r>
    </w:p>
    <w:p>
      <w:r>
        <w:t>POSSIBLE 2023: Genomic epidemiology of West Nile virus in Europe — https://doi.org/10.1016/j.onehlt.2023.100664</w:t>
      </w:r>
    </w:p>
    <w:p>
      <w:r>
        <w:t>Shared claim-specific concepts: since, one, main, occurred; EU scope visible. This is a provisional connection, not an outcome finding.</w:t>
      </w:r>
    </w:p>
    <w:p>
      <w:r>
        <w:t>Available abstract (not full text): West Nile virus is one of the most widespread mosquito-borne zoonotic viruses, with unique transmission dynamics in various parts of the world. Genomic surveillance has provided important insights in the global patterns of West Nile virus emergence and spread. In Europe, multiple West Nile virus lineages have been isolated, with lineage 1a and 2 being the main lineages responsible for human infections. In contrast to North America, where a single introduction of lineage 1a resulted in the virus establishing itself in a new continent, at least 13 introductions of lineages 1a and 2 have occurred into Europe, which is likely a vast underestimation of the true number of introductions. Historically, lineage 1a was the main lineage circulating in Europe, but since the emergence of lineage 2 in the early 2000s, the latter has become the predominant lineage. This shift in West Nile virus lineage prevalence has been broadly linked to the expansion of the virus into northerly temperate regions, where autochthonous cases in animals and humans have been reported in Germany and The Netherlands. Here, we discuss how genomic analysis has increased our understanding of the epidemiology of West Nile virus in Europe, and we present a global Nextstrain build consisting of publicly available West Nile virus genomes (https://nextstrain.org/community/grubaughlab/WNV-Global). Our results elucidate re</w:t>
      </w:r>
    </w:p>
    <w:p>
      <w:r>
        <w:t>POSSIBLE 2023: The World Order Challenges and the Main Risks of European Integration — https://openalex.org/W4414693906</w:t>
      </w:r>
    </w:p>
    <w:p>
      <w:r>
        <w:t>Shared claim-specific concepts: since, one, main, after, influence; EU scope visible. This is a provisional connection, not an outcome finding.</w:t>
      </w:r>
    </w:p>
    <w:p>
      <w:r>
        <w:t>Available abstract (not full text): This paper is dedicated to the World Economic Order and to its evolution since the end of the Second World War, while showing its influence on the European Union's position as one of the key global actors. The author highlights also the new phase of the Global Order and the main forces that drive a new system of international relations under the strength of regionalization. At the same time, the position of the EU under the pressure of the main challenging forces has been analysed by the author, after more than 15 years since the eruption and spreading of the deepest financial international crises of the last century. The 2008 international financial crash and the post-crisis period embodied a seismic shock to the world economy in the form of a deep economic recession. It is important in the rapidly changing world that the EU Member States take the necessary measures to increase their competitiveness position in the world.</w:t>
      </w:r>
    </w:p>
    <w:p>
      <w:r>
        <w:t>POSSIBLE 2023: TRENDS AND MAIN WAYS OF UPGRADING EUROPEAN EDUCATION — https://doi.org/10.32342/2522-4115-2023-1-25-13</w:t>
      </w:r>
    </w:p>
    <w:p>
      <w:r>
        <w:t>Shared claim-specific concepts: since, one, main, goals, identify, trends; EU scope visible. This is a provisional connection, not an outcome finding.</w:t>
      </w:r>
    </w:p>
    <w:p>
      <w:r>
        <w:t xml:space="preserve">Available abstract (not full text): In the modern socio-economic context of the development of educational systems, the processes of globalization and internationalization play an important role, which determine the reformation of higher education. Competition and cooperation between educational and scientific organizations are intensifying all over the world, the exchange of students, teachers, graduate students and researchers is intensifying, distance education is becoming widespread, and the role of continuing education is growing. The purpose of the research is to identify and justify system-wide trends in the renewal of European education. The main task of this research is to determine the mechanisms and characterize the orientation of the renewal of the European education system under the conditions of internationalization and globalization. The methodological basis of the research consists of: the general scientific principle of objectivity; the principle of historical and logical unity; systemic and contextual approach, principle of interconnection; sociological, cultural and pedagogical concepts. It is determined that today the European Union is one of the world leaders in research and innovation. It is scientific knowledge, experience, high standards of the research, developed research infrastructure that guarantee many years of successful cooperation between the EU and other countries. At the present </w:t>
      </w:r>
    </w:p>
    <w:p>
      <w:r>
        <w:t>POSSIBLE 2022: Seropositivity of main vector-borne pathogens in dogs across Europe — https://doi.org/10.1186/s13071-022-05316-5</w:t>
      </w:r>
    </w:p>
    <w:p>
      <w:r>
        <w:t>Shared claim-specific concepts: main, identify; EU scope visible. This is a provisional connection, not an outcome finding.</w:t>
      </w:r>
    </w:p>
    <w:p>
      <w:r>
        <w:t>Available abstract (not full text): BACKGROUND: Canine vector-borne disease (CVBD) has been an area of increasing interest in Europe over the last few decades, and there have been changes in the prevalence and distribution of many of these diseases. Monitoring CVBD infections in Europe is often done by individual countries, but aggregated data for the European countries are helpful to understand the distribution of CVBDs. METHODS: We used an extensive retrospective database of results from point-of-care rapid enzyme-linked immunosorbent assay (ELISA) tests on dogs across Europe to identify distribution and seropositivity in animals tested for selected CVBDs (Anaplasma spp., Ehrlichia spp., Borrelia burgdorferi, Leishmania spp., and Dirofilaria immitis) from 2016 through 2020. Geographic distribution of positive tests and relative percent positive values were mapped by the Nomenclature of Territorial Units for Statistics classification for regions with sufficient test results for reporting. RESULTS: A total of 404,617 samples corresponding to 1,134,648 canine results were available from dogs tested in 35 countries over the 5-year study period. Over this period the number of test results per year increased whereas test positivity decreased. Leishmania spp. had the largest increase in total test results from 25,000 results in 2016 to over 60,000 results in 2020. Test positivity for Leishmania spp. fell from 13.9% in</w:t>
      </w:r>
    </w:p>
    <w:p>
      <w:r>
        <w:t>POSSIBLE 2020: Identity Politics and Populism in Europe — https://doi.org/10.1146/annurev-polisci-050718-033542</w:t>
      </w:r>
    </w:p>
    <w:p>
      <w:r>
        <w:t>Shared claim-specific concepts: since, main, political; EU scope visible. This is a provisional connection, not an outcome finding.</w:t>
      </w:r>
    </w:p>
    <w:p>
      <w:r>
        <w:t>Available abstract (not full text): We review the literature on the rise of identity politics and populism in Europe. Populist parties have gained large vote shares since the Great Recession of 2008. We observe in many countries, and even in the European Parliament, a transformation of the main dimension of politics from the left–right cleavage to a new cleavage opposing the mainstream parties to populist parties. We examine how this transformation relates to changes in voter attitudes and the adjustment of political parties to these changes. Two main types of causes for the rise of populism have emerged: economic and cultural. In reviewing the evidence, we find a complex interaction between economic and cultural factors. Economic anxiety among large groups of voters related to the Great Recession and austerity policies triggers a heightened receptivity to the messages of cultural backlash from populist parties.</w:t>
      </w:r>
    </w:p>
    <w:p>
      <w:r>
        <w:t>POSSIBLE 2019: Causes and main routes of the mass immigration to Europe in 2015 — https://doi.org/10.18778/1231-1952.26.2.01</w:t>
      </w:r>
    </w:p>
    <w:p>
      <w:r>
        <w:t>Shared claim-specific concepts: since, one, main, after, political, place; EU scope visible. This is a provisional connection, not an outcome finding.</w:t>
      </w:r>
    </w:p>
    <w:p>
      <w:r>
        <w:t>Available abstract (not full text): The flow of immigrants into Europe is a phenomenon commonly known since the end of the Second World War. To a large extent it was the result of a colonial and then post-colonial relationship between metropolises and their overseas territories. Migration movements in Europe intensified after 1989 along with systemic changes in the eastern part of the continent. The phenomenon of increased migration to Europe observed since March 2015 combines both processes: economic migration, which undoubtedly dominates in terms of number, and exiles, of a much smaller scale, but given as the cause of migration by almost all migrants. A new phenomenon is the fact that a large part of migrants constitutes uncontrolled migration, which in previous years was marginal. In 2015, asylum applications were submitted in EU countries by as many as 1.25 million people. The influx of refugees to Europe has become not only a demographic phenomenon, but also a political one, evoking strong political emotions. Mass migrations also seem to be an instrument of international policy implementation by key world powers. The main purpose of the article was to present the background of the mass migration to Europe that took place in 2015. The main reasons for the decision to emigrate by the citizens of origin countries were shown, as well as the routes by which refugees flow into Europe.</w:t>
      </w:r>
    </w:p>
    <w:p>
      <w:r>
        <w:t>POSSIBLE 2019: Is social transnationalism fusing European societies into one? — https://doi.org/10.46692/9781447334217.010</w:t>
      </w:r>
    </w:p>
    <w:p>
      <w:r>
        <w:t>Shared claim-specific concepts: since, one, main, they, tourism; EU scope visible. This is a provisional connection, not an outcome finding.</w:t>
      </w:r>
    </w:p>
    <w:p>
      <w:r>
        <w:t>Available abstract (not full text): Introduction: one Europe for whom? ‘Europe’ – as such – is the main intercontinental travel destination of Chinese tourists. In 2016, 12 million visited from Mainland China, six times their number in 2000 (Artl 2016). The rise continues, as 2018 was announced by the EU and the Chinese government as the ‘EU–China Year of Tourism’ (whatever this may mean). More sophisticated and diversified than in the early 2000s, still the majority of Chinese tourists set foot on the Old Continent as part of an organised group package trip. On average they stay between one and three nights per country – overall visiting between five and ten different nations (Croce 2016). The Schengen visa (which costs €60) favours such cross-border travel, as it allows access to more than 20 countries with a single authorisation, and removes the perception of frontiers. On their way from one destination to the other, typically under strict timelines, Chinese tourists hardly have the impression of crossing national borders. In their eyes, Europe is one. Contrast this with the experience of European movers. Their perceptions along with their hosts’ resonate with persisting cultural differences, language barriers, diverse cuisines, bureaucratic rules, sexual and family mores. It is true that passport controls have been removed since the 1990s (but have been reinstated more or less systematically since the Islamis</w:t>
      </w:r>
    </w:p>
    <w:p>
      <w:r>
        <w:t>POSSIBLE 2019: European Journal of Preventive Cardiology — https://doi.org/10.1093/eurheartj/ehz546</w:t>
      </w:r>
    </w:p>
    <w:p>
      <w:r>
        <w:t>Shared claim-specific concepts: since, one, main; EU scope visible. This is a provisional connection, not an outcome finding.</w:t>
      </w:r>
    </w:p>
    <w:p>
      <w:r>
        <w:t>Available abstract (not full text): If there is one thing more relevant than maintaining the current health status, it is improving it. This should be one of the main objectives of the preventive cardiologist when it comes to cardiovascular health. Sharing and disseminating the supporting knowledge to that end is the object of the European Journal of Preventive Cardiology (EJPC), published by Sage (@SAGEClinMed). Whether primary, secondary, or tertiary prevention, the goal is always to improve the state of health. The various disciplines that the EJPC embraces include primary care and risk factor management, public health and epidemiology, rehabilitation, exercise physiology, and sports cardiology. These also represent the main sections of the European Association of Preventive Cardiology (EAPC-#EAPC_ESC), of which the EJPC is the official journal. Unlike other cardiovascular journals, the EJPC instead of focusing on a specific area of cardiology provides the reader with a unique perspective of medicine, traversing all fields and sub-specialities. That is prevention. An approach that is able to include the whole spectrum of cardiovascular medicine, with topics that vary from a general population and epidemiological approach, to the molecular effects of medications and basic science. There is no doubt that interest in preventive cardiology is increasing. Numbers confirm the increase as can be seen in the EJPC’s in</w:t>
      </w:r>
    </w:p>
    <w:p>
      <w:r>
        <w:t>POSSIBLE 2019: Morphogenesis of New Straits and Islands Originated in the European Arctic Since the 1980s — https://doi.org/10.3390/geosciences9110476</w:t>
      </w:r>
    </w:p>
    <w:p>
      <w:r>
        <w:t>Shared claim-specific concepts: since, one, main; EU scope visible. This is a provisional connection, not an outcome finding.</w:t>
      </w:r>
    </w:p>
    <w:p>
      <w:r>
        <w:t>Available abstract (not full text): Several new islands and many islets have appeared in the European Arctic since the end of the 20th century due to glacial recession under climate warming. The specificity of the formation of each individual strait and island is shown in the paper (apart from its location and timing of its origin). Analysis of available maps and satellite images of all three European Arctic archipelagos, from different times since 1909–1910, was the main research method. There are three pathways of the morphogenesis of the new islands: (1) simultaneous recession of glaciers from both sides of a depression in bedrock being a potential strait (typical in Franz Josef Land), (2) uncovering a rocky hill (which protrudes from a depression in bedrock) from under a receding glacier, (3) recession of one glacier which had reached a rocky fragment of a coastline (e.g., headland or peninsula), being a potential new island, during a maximum extent of this glacier during the Little Ice Age (in the beginning of the 20th century). Additional straits and islands are currently at the stage of formation and will continue to form in the European Arctic in the case of further warming or stabilization of the current climate conditions.</w:t>
      </w:r>
    </w:p>
    <w:p>
      <w:pPr>
        <w:pStyle w:val="Heading2"/>
      </w:pPr>
      <w:r>
        <w:t>Pathways to Deep Decarbonization in Italy</w:t>
      </w:r>
    </w:p>
    <w:p>
      <w:r>
        <w:t>Original source (2016): https://doi.org/10.22004/ag.econ.230582</w:t>
      </w:r>
    </w:p>
    <w:p>
      <w:r>
        <w:t>Original wording (abstract; indexed_source_text_not_full_document_verified): These 16 countries are: Australia, Brazil, Canada, China, France, Germany, India, Indonesia, Italy, Japan, Mexico, Russia, South Africa, South Korea, the United Kingdom, and the United States. “Pathways to Deep Carbonization in Italy” contributes to the national debate on climate-change mitigation, and the importance of deep decarbonization, by examining three alternative pathways that could reduce Italian CO2 emissions by at least 40% in 2030 and 80% in 2050, compared to 1990. It analyzes the challenges the Italian energy system faces, and possible future technological developments that will need to be pursued.</w:t>
      </w:r>
    </w:p>
    <w:p>
      <w:r>
        <w:t>POSSIBLE 2026: BOOK REVIEW: OPEN AND DISTANCE EDUCATION IN AUSTRALIA, EUROPE AND THE AMERICAS: NATIONAL PERSPECTIVES IN A DIGITAL AGE — https://openalex.org/W7167292450</w:t>
      </w:r>
    </w:p>
    <w:p>
      <w:r>
        <w:t>Shared claim-specific concepts: australia, brazil, canada, germany, united, kingdom; EU scope visible. This is a provisional connection, not an outcome finding.</w:t>
      </w:r>
    </w:p>
    <w:p>
      <w:r>
        <w:t>Available abstract (not full text): This book review examines Open and Distance Education in Australia, Europe and the Americas: National Perspectives in a Digital Age, edited by Adnan Qayyum and Olaf Zawacki-Richter, offers a comparative analysis of open and distance education within diverse national higher education systems. Moving beyond technology-centered explanations, the book situates distance education within historical, political, regulatory, and socio-economic contexts. Through country-based chapters covering Brazil, Canada, Germany, the United Kingdom, and the United States, the volumes illustrate how open and distance education has evolved from marginal and experimental practices into institutionally recognized—though unevenly integrated—components of higher education. The book highlights differing governance structures, public–private dynamics, quality assurance mechanisms, and policy frameworks shaping digital and distance learning across regions. By foregrounding national trajectories rather than universal models, the work contributes to a nuanced understanding of digital transformation in higher education. Overall, the book provides a valuable resource for researchers, policymakers, and practitioners seeking to understand the structural conditions, opportunities, and limitations of open and distance education in a global yet nationally embedded context.</w:t>
      </w:r>
    </w:p>
    <w:p>
      <w:r>
        <w:t>POSSIBLE 2024: THE RELEVANCE OF THE BRAZILIAN AMAZON FOR THE RELATIONSHIP BETWEEN BRAZIL AND THE EUROPEAN UNION — https://openalex.org/W7119374139</w:t>
      </w:r>
    </w:p>
    <w:p>
      <w:r>
        <w:t>Shared claim-specific concepts: countries, brazil, national; EU scope visible. This is a provisional connection, not an outcome finding.</w:t>
      </w:r>
    </w:p>
    <w:p>
      <w:r>
        <w:t xml:space="preserve">Available abstract (not full text): There is plentiful scientific literature about the importance of the Amazon Forest to climate regulation and biological diversity drawing from analytical frameworks such as the Anthropocene, “planetary boundaries” and “Earth System Governance”. In the Brazilian case, the forest is part of the Legal Amazon region, which comprises other biomes also threatened by the recent and predatory expansion of the agricultural frontiers, as well as other illegal activities. They violate the rights of more than thirty-eight million local inhabitants, especially indigenous communities (Fellows et al, 2023). In this context, we raise the question: how is the Legal Amazon important for the relationship between Brasilia and Brussels? We contend Brazilians keep the national approach on the Legal Amazon, while the Europeans have a more global view, but focusing on the forest. From an international political economy perspective, the two tipping points chosen were the signature of the trade agreement between the European Union (EU) and Brazil in 2019, and the European Regulation on Deforestation-free products of 2022. In this context of valorization of the standing forest and the ecosystem services it provides, this article aims to analyse the relevance of the Legal Amazon to the relationship between the EU and Brazil, based on the concept of “deforestation-free value chains”, which is the basis of </w:t>
      </w:r>
    </w:p>
    <w:p>
      <w:r>
        <w:t>POSSIBLE 2022: Systematic literature review and meta-analysis of the prevalence of secondary progressive multiple sclerosis in the USA, Europe, Canada, Australia, and Brazil — https://doi.org/10.1186/s12883-022-02820-0</w:t>
      </w:r>
    </w:p>
    <w:p>
      <w:r>
        <w:t>Shared claim-specific concepts: countries, australia, brazil, canada, united, states; EU scope visible. This is a provisional connection, not an outcome finding.</w:t>
      </w:r>
    </w:p>
    <w:p>
      <w:r>
        <w:t>Available abstract (not full text): BACKGROUND: Secondary progressive multiple sclerosis (SPMS) is a subtype of multiple sclerosis (MS), which is a chronic neurological disease, characterised by inflammation of the central nervous system. Most of MS patients eventually progress to SPMS. This study estimates the prevalence of SPMS in the United States of America, Europe, Canada, Australia, and Brazil. METHODS: A systematic literature search of the Medline and Embase databases was performed using the OVID™ SP platform to identify MS epidemiological studies published in English from database inception to September 22, 2020. Studies reporting the prevalence of MS and proportion of SPMS patients in the included population were selected. The pooled prevalence of SPMS was calculated based on the proportion of SPMS patients. The Loney quality assessment checklist was used for quality grading. A meta-analysis of the proportions was conducted in RStudio. RESULTS: A total of 4754 articles were retrieved, and prevalence was calculated from 97 relevant studies. Overall, 86 medium- and high-quality studies were included in the meta-analysis. Most studies were conducted in European countries (84 studies). The estimated pooled prevalence of SPMS was 22.42 (99% confidence interval: 18.30, 26.95)/100,000. The prevalence of SPMS was more in the North European countries, highest in Sweden and lowest in Brazil. A decline in SPMS prev</w:t>
      </w:r>
    </w:p>
    <w:p>
      <w:r>
        <w:t>POSSIBLE 2021: Relevant aspects of carbon storage activities’ liability in paradigmatic countries: Australia, Brazil, Canada, European Union, Japan, Norway, United Kingdom, and United States — https://doi.org/10.1016/b978-0-323-85250-0.00013-x</w:t>
      </w:r>
    </w:p>
    <w:p>
      <w:r>
        <w:t>Shared claim-specific concepts: countries, australia, brazil, canada, japan, united; EU scope visible. This is a provisional connection, not an outcome finding.</w:t>
      </w:r>
    </w:p>
    <w:p>
      <w:r>
        <w:t>Available abstract (not full text): Unavailable</w:t>
      </w:r>
    </w:p>
    <w:p>
      <w:r>
        <w:t>POSSIBLE 2021: Comparison of Prices and Affordability of Cancer Medicines in 16 Countries in Europe and Latin America — https://doi.org/10.1007/s40258-021-00670-4</w:t>
      </w:r>
    </w:p>
    <w:p>
      <w:r>
        <w:t>Shared claim-specific concepts: countries, brazil, france, germany, mexico, national; EU scope visible. This is a provisional connection, not an outcome finding.</w:t>
      </w:r>
    </w:p>
    <w:p>
      <w:r>
        <w:t>Available abstract (not full text): BACKGROUND: There are concerns that high prices of cancer medicines may limit patient access. Since information on prices for cancer medicines and their impact on affordability is lacking for several countries, particularly for lower income countries, this study surveys prices of originator cancer medicines in Europe and Latin America and assesses their affordability. METHODS: For 19 cancer medicines, public procurement and ex-factory prices, as of 2017, were surveyed in five Latin American (LATAM) countries (Brazil, Chile, Colombia, Mexico, and Peru) and 11 European countries (Austria, France, Germany, Greece, Hungary, the Netherlands, Poland, Romania, Spain, Sweden, and the UK). Price data (public procurement prices in LATAM and ex-factory prices in Europe) in US dollar purchasing power parities (PPP) were analyzed per defined daily dose. Affordability was measured by setting medicines prices in relation to national minimum wages. RESULTS: The prices of cancer medicines varied considerably between countries. In European countries with higher levels of income, PPP-adjusted prices tended to be lower than in European countries of lower income and LATAM countries. Except for one medicine, all surveyed medicines were considered unaffordable in most countries. In European countries of lower income and LATAM countries, more than 15 days' worth of minimum wages would be required by a</w:t>
      </w:r>
    </w:p>
    <w:p>
      <w:r>
        <w:t>POSSIBLE 2021: Clinical practices related to high-flow nasal cannulas in pediatric critical care in Brazil compared to other countries: a Brazilian survey — https://doi.org/10.5935/0103-507x.20210055</w:t>
      </w:r>
    </w:p>
    <w:p>
      <w:r>
        <w:t>Shared claim-specific concepts: countries, australia, brazil, canada, india, south; EU scope visible. This is a provisional connection, not an outcome finding.</w:t>
      </w:r>
    </w:p>
    <w:p>
      <w:r>
        <w:t>Available abstract (not full text): OBJECTIVE: To describe current clinical practices related to the use of high-flow nasal cannula therapy by Brazilian pediatric intensivists and compare them with those in other countries. METHODS: A questionnaire was administered to pediatric intensivists in North and South America, Asia, Europe, and Australia/New Zealand for the main study. We compared the Brazilian cohort with cohorts in the United States of America, Canada, the United Kingdom, and India. RESULTS: Overall, 501 physicians responded, 127 of which were in Brazil. Only 63.8% of respondents in Brazil had a high-flow nasal cannula available, in contrast to 100% of respondents in the United Kingdom, Canada, and the United States. The attending physician was responsible for the decision to start a high-flow nasal cannula according to 61.2% respondents in Brazil, 95.5% in the United Kingdom, 96.6% in the United States, 96.8% in Canada, and 84.7% in India. A total of 62% of respondents in Brazil, 96.3% in the United Kingdom, 96.6% in the United States, 96.8% in Canada, and 84.7% in India reported that the attending physician was responsible for the decision to wean or modify the high-flow nasal cannula settings. When high-flow nasal cannula therapy failed due to respiratory distress/failure, 82% of respondents in Brazil would consider a trial of noninvasive ventilation before endotracheal intubation, compared to 93% in</w:t>
      </w:r>
    </w:p>
    <w:p>
      <w:r>
        <w:t>POSSIBLE 2021: Evolution of Medical Device Sector in India and Comparison of Registration Processes of Medical Devices in India with Countries like China, Australia, U.S. and Europe — https://doi.org/10.23880/pdraj-16000127</w:t>
      </w:r>
    </w:p>
    <w:p>
      <w:r>
        <w:t>Shared claim-specific concepts: countries, australia, china, india, national; EU scope visible. This is a provisional connection, not an outcome finding.</w:t>
      </w:r>
    </w:p>
    <w:p>
      <w:r>
        <w:t>Available abstract (not full text): The medical device market in India is a sunrise sector in the pharmaceutical industry and has achieved a milestone in the last few years securing 4th position in the medical device market in Asia with increasing foreign direct investments through governments Make in India Campaign 2017, and PLI (Product linked incentive) schemes. To enter the medical device market in any country, one has to go through different procedures and regulatory requirements of that country. Medical devices are regulated in India by the DCGI (Drug Controller General of India) under the CDSCO (Central Drug Standard Control Organization). In China, the registration approval process is under NMPA (National Medical Product Administration) and requires complying with Chinese regulatory standard notice No. 218. Europe and Australian regulations are bit same and require a CE (Conformité Européenne) mark for manufacturing and marketing. U.S. regulations for approving medical devices are stringent and 510 (k) and PMA (pre-market authorization) is compulsory. In this review, the reader would get an idea about the evolution of medical devices and legislative changes in India and also about international standards and auditing programs. There is a comparison of Indian, Chinese, Australian, U.S., and European medical device registration processes for understanding the similarities and differences.</w:t>
      </w:r>
    </w:p>
    <w:p>
      <w:r>
        <w:t>POSSIBLE 2021: AUSTRALIA AND BRAZIL: A DIALOGUE ON CITIZENSHIP EDUCATIONAL IN THE SCHOOL CURRICULA — https://doi.org/10.18224/educ.v24i1.8259</w:t>
      </w:r>
    </w:p>
    <w:p>
      <w:r>
        <w:t>Shared claim-specific concepts: countries, australia, brazil, debate; EU scope not established. This is a provisional connection, not an outcome finding.</w:t>
      </w:r>
    </w:p>
    <w:p>
      <w:r>
        <w:t>Available abstract (not full text): The debate on citizenship education has impacted the area of education in several aspects, mainly in the introduction of changes in school curricula. Therefore, it is timely to identify, analyse and discuss the implications that such changes have had on curricula. The present study was carried out to understand the contents, skills, attitudes and values the Australian Curriculum and the Brazilian Curriculum have incorporated to develop citizenship education. This qualitative research highlights the relevance attributed to citizenship in the curriculum of several countries and in the proposals of international organizations. Therefore, it explains the main features of the curricula in focus. Finally, the results are discussed.</w:t>
      </w:r>
    </w:p>
    <w:p>
      <w:r>
        <w:t>POSSIBLE 2020: Psychosocial Experiences of African Migrants in Six European Countries — https://doi.org/10.1007/978-3-030-48347-0</w:t>
      </w:r>
    </w:p>
    <w:p>
      <w:r>
        <w:t>Shared claim-specific concepts: countries, france, germany, italy; EU scope visible. This is a provisional connection, not an outcome finding.</w:t>
      </w:r>
    </w:p>
    <w:p>
      <w:r>
        <w:t>Available abstract (not full text): This open access book is an empirical narrative of the psychological and social experiences of 3500 African migrants who migrated to 6 European countries: Germany, Spain, Italy, The Netherlands, France, and the UK. It is the only book that reports a cross-cultural study of African migrants to Europe</w:t>
      </w:r>
    </w:p>
    <w:p>
      <w:r>
        <w:t>POSSIBLE 2020: A qualitative meta-synthesis study of the convergence between organic crop regulations in the United States, Brazil, and Europe — https://doi.org/10.1016/j.tifs.2020.10.044</w:t>
      </w:r>
    </w:p>
    <w:p>
      <w:r>
        <w:t>Shared claim-specific concepts: brazil, united, states; EU scope visible. This is a provisional connection, not an outcome finding.</w:t>
      </w:r>
    </w:p>
    <w:p>
      <w:r>
        <w:t>Available abstract (not full text): Unavailable</w:t>
      </w:r>
    </w:p>
    <w:p>
      <w:r>
        <w:t>POSSIBLE 2019: Brazilian consumers’ perception of edible insects — https://doi.org/10.1590/0103-8478cr20180960</w:t>
      </w:r>
    </w:p>
    <w:p>
      <w:r>
        <w:t>Shared claim-specific concepts: countries, australia, south, africa; EU scope visible. This is a provisional connection, not an outcome finding.</w:t>
      </w:r>
    </w:p>
    <w:p>
      <w:r>
        <w:t>Available abstract (not full text): ABSTRACT: It is estimated that by 2050 the world population will be 9 billion people; and therefore, the need for alternative sources of protein is inevitable, since conventional sources, such as beef, pork and poultry, will not be sufficient to meet the demand of population growth. Food that includes alternative sources of protein, such as insects, is a reality in countries of Latin America, Asia, Australia, Europe and Africa. This research presents the results of an exploratory study that analysed the food profile of 1,619 consumers in the five Brazilian regions (North, Northeast, Midwest, Southeast and South) as well as their perception, motivation and preferred form of edible insects. The data were analysed by cross-tabulation and expressed as frequencies. Our results show that women are more reluctant than men to consume insects. In general, there is a preference for consumption of insects in the form of flour. However, those with more familiarity with this type of consumption prefer the whole insect. Most Brazilian consumers have no opinion about the safety of consuming insects; however, consumers with higher levels of education and familiarity consider it safe.</w:t>
      </w:r>
    </w:p>
    <w:p>
      <w:r>
        <w:t>POSSIBLE 2018: Global burden of hypoglycaemia-related mortality in 109 countries, from 2000 to 2014: an analysis of death certificates — https://doi.org/10.1007/s00125-018-4626-y</w:t>
      </w:r>
    </w:p>
    <w:p>
      <w:r>
        <w:t>Shared claim-specific concepts: countries, australia, brazil, canada, japan, south; EU scope visible. This is a provisional connection, not an outcome finding.</w:t>
      </w:r>
    </w:p>
    <w:p>
      <w:r>
        <w:t>Available abstract (not full text): AIMS/HYPOTHESIS: In the context of increasing prevalence of diabetes in elderly people with multimorbidity, intensive glucose control may increase the risk of severe hypoglycaemia, potentially leading to death. While rising trends of severe hypoglycaemia rates have been reported in some European, North American and Asian countries, the global burden of hypoglycaemia-related mortality is unknown. We aimed to investigate global differences and trends of hypoglycaemia-related mortality. METHODS: We used the WHO mortality database to extract information on death certificates reporting hypoglycaemia or diabetes as the underlying cause of death, and the United Nations demographic database to obtain data on mid-year population estimates from 2000 to 2014. We calculated crude and age-standardised proportions (defined as number of hypoglycaemia-related deaths divided by total number of deaths from diabetes [i.e. the sum of hypoglycaemia- and diabetes-related deaths]) and rates (hypoglycaemia-related deaths divided by mid-year population) of hypoglycaemia-related mortality and compared estimates across countries and over time. RESULTS: Data for proportions were extracted from 109 countries (31 had data from all years analysed [2000-2014] available). Combining all countries, the age-standardised proportion of hypoglycaemia-related deaths was 4.49 (95% CI 4.44, 4.55) per 1000 total diabete</w:t>
      </w:r>
    </w:p>
    <w:p>
      <w:pPr>
        <w:pStyle w:val="Heading2"/>
      </w:pPr>
      <w:r>
        <w:t>Possible Futures towards a Wood-Based Bioeconomy: A Scenario Analysis for Germany</w:t>
      </w:r>
    </w:p>
    <w:p>
      <w:r>
        <w:t>Original source (2016): https://doi.org/10.3390/su8010098</w:t>
      </w:r>
    </w:p>
    <w:p>
      <w:r>
        <w:t>Original wording (abstract; indexed_source_text_not_full_document_verified): Driven by the growing awareness of the finite nature of fossil raw materials and the need for sustainable pathways of industrial production, the bio-based economy is expected to expand worldwide. We conclude that the wood-based bioeconomy has a certain potential to develop further, if adequate political framework conditions are implemented and meet voter support, if consumers exhibit an enhanced willingness to pay for bio-based products, and if among companies, a chance-oriented advocacy coalition of bioeconomy supporters dominates over proponents of fossil pathways.</w:t>
      </w:r>
    </w:p>
    <w:p>
      <w:r>
        <w:t>POSSIBLE 2025: Europe Lawn Care Products Market Overview — https://doi.org/10.5281/zenodo.17897377</w:t>
      </w:r>
    </w:p>
    <w:p>
      <w:r>
        <w:t>Shared claim-specific concepts: driven, growing, awareness, sustainable; EU scope visible. This is a provisional connection, not an outcome finding.</w:t>
      </w:r>
    </w:p>
    <w:p>
      <w:r>
        <w:t>Available abstract (not full text): The Europe Lawn Care Products Market was valued at USD 11.53 billion in 2023 and is projected to reach USD 17.46 billion by 2030, growing at a CAGR of 5.7%. Demand is driven by rising homeowner interest in outdoor aesthetics, increased urbanization, and growing awareness of lawn health. Consumers are also leaning toward organic and eco-friendly products, boosting innovation in sustainable lawn care solutions. For more information visit: https://www.nextmsc.com/report/europe-lawn-care-products-market</w:t>
      </w:r>
    </w:p>
    <w:p>
      <w:r>
        <w:t>POSSIBLE 2025: Europe Electric Vehicle Charging Market: Accelerating Infrastructure for a Sustainable Mobility Future — https://doi.org/10.5281/zenodo.18081601</w:t>
      </w:r>
    </w:p>
    <w:p>
      <w:r>
        <w:t>Shared claim-specific concepts: driven, growing, awareness, sustainable; EU scope visible. This is a provisional connection, not an outcome finding.</w:t>
      </w:r>
    </w:p>
    <w:p>
      <w:r>
        <w:t>Available abstract (not full text): The Europe Electric Vehicle (EV) Charging Market is witnessing strong expansion, driven by rapid electrification of transportation and increasing commitments toward carbon neutrality. Governments, utility providers, and private stakeholders are investing heavily in charging networks to address infrastructure gaps and range anxiety among EV users. The market benefits from a well-established automotive ecosystem, strong policy alignment, and growing consumer awareness regarding environmental sustainability. Access Full Report- https://www.nextmsc.com/report/europe-electric-vehicle-ev-charging-market</w:t>
      </w:r>
    </w:p>
    <w:p>
      <w:r>
        <w:t>POSSIBLE 2025: Europe Pet Food Ingredients Market: Growth Dynamics, Trends, and Regional Insights — https://doi.org/10.5281/zenodo.17731410</w:t>
      </w:r>
    </w:p>
    <w:p>
      <w:r>
        <w:t>Shared claim-specific concepts: driven, growing, awareness, sustainable, expected; EU scope visible. This is a provisional connection, not an outcome finding.</w:t>
      </w:r>
    </w:p>
    <w:p>
      <w:r>
        <w:t>Available abstract (not full text): The Europe Pet Food Ingredients Market has witnessed significant growth, driven by rising pet ownership, increasing consumer awareness of pet nutrition, and growing sustainability concerns. Valued at USD 11.67 billion in 2023, the market is projected to reach USD 21.98 billion by 2030, growing at a CAGR of 9.0% from 2024 to 2030. In terms of volume, the market stood at 1,804.21 kilotons in 2023 and is expected to reach 2,756.01 kilotons by 2030, at a CAGR of 5.9%. This manuscript provides a comprehensive overview of the European market, analyzing key growth drivers, restraints, opportunities, regional dynamics, and competitive landscape. It also highlights emerging trends such as sustainable protein adoption and consumer preference for ethically sourced pet food ingredients.</w:t>
      </w:r>
    </w:p>
    <w:p>
      <w:r>
        <w:t>POSSIBLE 2025: What Factors Drive a Sustainable Energy Transition in Europe? A Data-Driven Exploration of Economic and Policy Influences — https://doi.org/10.22541/au.175883292.27456920/v1</w:t>
      </w:r>
    </w:p>
    <w:p>
      <w:r>
        <w:t>Shared claim-specific concepts: driven, growing, awareness, fossil, sustainable, further; EU scope visible. This is a provisional connection, not an outcome finding.</w:t>
      </w:r>
    </w:p>
    <w:p>
      <w:r>
        <w:t>Available abstract (not full text): The global transition to cleaner energy is accelerating, driven by government policies, technological advances, financial support, and growing public demand for sustainable solutions. Policies aimed at reducing greenhouse gas emissions and encouraging renewable adoption, combined with technological investments, are central to this shift. At the same time, public awareness, international collaboration, and economic incentives further strengthen the momentum. Despite significant progress, comparative studies that examine how different countries approach energy use remain limited. This study analyzes global energy trends with a particular focus on Europe, investigating whether higher investments in renewable energy sources such as wind and hydropower are associated with lower reliance on fossil fuels. To explore this relationship, we apply statistical techniques including linear regression, logistic regression, multicollinearity testing, and exploratory factor analysis to assess the influence of economic, policy, and technological factors on the transition to clean energy. The results highlight key drivers of successful energy transitions and provide insights for Norway and other European nations to identify effective strategies that can be adapted and scaled in pursuit of a sustainable green transition.</w:t>
      </w:r>
    </w:p>
    <w:p>
      <w:r>
        <w:t>POSSIBLE 2020: European heart health survey 2019 — https://doi.org/10.1002/clc.23478</w:t>
      </w:r>
    </w:p>
    <w:p>
      <w:r>
        <w:t>Shared claim-specific concepts: driven, awareness, potential; EU scope visible. This is a provisional connection, not an outcome finding.</w:t>
      </w:r>
    </w:p>
    <w:p>
      <w:r>
        <w:t>Available abstract (not full text): BACKGROUND: Rising life expectancy in the western population is increasing the prevalence of heart valve diseases (HVD). HYPOTHESIS: The level of awareness and initial screening for HVD should be sufficient. The potential impact of HVD on the daily activities of the elderly population in Europe might affect our society. METHODS AND RESULTS: A survey was conducted, including a total of 12 832 people aged ≥ 60 years in 11 European countries. Of all the people surveyed, 5.6% could correctly describe aortic valve stenosis. Most participants (75.0%) claimed they regularly do activities like sports or social activities, 29.2% provide care for a family member, friend or acquaintance. The majority (69.2%) would be prevented from doing these activities by symptoms such as chest pain, fatigue or shortness of breath. Having chest pain (76.5%) and shortness of breath (57.8%) were reasons for most people to arrange an appointment with their GP, whereas only 26.2% would visit a GP for fatigue. 67.6% of respondents claimed to be checked with a stethoscope by their GP occasionally, never, or only when they ask. The preferred treatment option for HVD is a keyhole procedure (45.8%), whereas open heart surgery would only be preferred by 7.0%. CONCLUSION: Knowledge about HVD is still low. Neither appointments with a GP driven by symptoms nor regular use of a stethoscope are a reliable guarantee fo</w:t>
      </w:r>
    </w:p>
    <w:p>
      <w:r>
        <w:t>POSSIBLE 2019: Social Innovation in Community Energy in Europe: A Review of the Evidence — https://doi.org/10.3389/fenrg.2019.00031</w:t>
      </w:r>
    </w:p>
    <w:p>
      <w:r>
        <w:t>Shared claim-specific concepts: production, economy, worldwide;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pPr>
        <w:pStyle w:val="Heading2"/>
      </w:pPr>
      <w:r>
        <w:t>Prediction of population with Alzheimer's disease in the European Union using a system dynamics model</w:t>
      </w:r>
    </w:p>
    <w:p>
      <w:r>
        <w:t>Original source (2016): https://doi.org/10.2147/ndt.s107969</w:t>
      </w:r>
    </w:p>
    <w:p>
      <w:r>
        <w:t>Original wording (abstract; indexed_source_text_not_full_document_verified): In this research, population growth of the European Union (EU) until the year 2080 and the number of patients with AD are modeled.</w:t>
      </w:r>
    </w:p>
    <w:p>
      <w:r>
        <w:t>POSSIBLE 2026: Assessment of the impact of population ageing on economic growth in European Union countries — https://openalex.org/W7161216025</w:t>
      </w:r>
    </w:p>
    <w:p>
      <w:r>
        <w:t>Shared claim-specific concepts: population, union; EU scope visible. This is a provisional connection, not an outcome finding.</w:t>
      </w:r>
    </w:p>
    <w:p>
      <w:r>
        <w:t>Available abstract (not full text): Visuomenės senėjimas yra vienas svarbiausių šiuolaikinių demografinių procesų, darantis reikšmingą įtaką ekonominiam augimui Europos Sąjungos (ES) šalyse. Tyrimo problema – kokį poveikį visuomenės senėjimas daro ekonominiam augimui ES šalyse? Darbo objektas – visuomenės senėjimo poveikis ekonominiam augimui ES šalyse. Darbo tikslas – įvertinti visuomenės senėjimo poveikį ekonominiam augimui ES šalyse, remiantis 2015-2024 m. laikotarpio duomenimis. Tyrimo metodai – mokslinės literatūros analizė, aprašomoji statistinė analizė, koreliacinė analizė ir panelinių duomenų regresijos metodas. Tyrime analizuojamas visuomenės senėjimo poveikis ekonominiam augimui ES šalyse, taikant panelinių duomenų regresijos modelį. Pagrindinis aiškinamasis kintamasis – senatvės priklausomybės koeficientas. Į modelį taip pat įtraukti kontroliniai kintamieji: investicijos (bendrojo pagrindinio kapitalo formavimas, proc. nuo BVP), nedarbo lygis, infliacija, švietimo lygis, eksportas, importas, institucinės aplinkos kokybė bei ekonominio išsivystymo lygį atspindintis logaritmuotas BVP vienam gyventojui rodiklis. Išvados – visuomenės senėjimas daro teigiamą ir statistiškai reikšmingą poveikį ekonominiam augimui ES šalyse. Taip pat nustatyta, kad investicijos ir eksportas daro teigiamą poveikį ekonominiam augimui, o nedarbo lygis ir importas – neigiamą. Švietimo ir institucinės aplinkos kokybės poveikis sta</w:t>
      </w:r>
    </w:p>
    <w:p>
      <w:r>
        <w:t>POSSIBLE 2026: CO2 Emissions Scenarios in the European Union—The Urgency of Carbon Capture and Controlled Economic Growth — https://doi.org/10.3390/su18021043</w:t>
      </w:r>
    </w:p>
    <w:p>
      <w:r>
        <w:t>Shared claim-specific concepts: population, union; EU scope visible. This is a provisional connection, not an outcome finding.</w:t>
      </w:r>
    </w:p>
    <w:p>
      <w:r>
        <w:t>Available abstract (not full text): Although greenhouse gas emissions have significantly reduced, the European Union still faces a major challenge in meeting its 2050 net-zero goal set under the European Green Deal. Focusing on the impacts of population, economic output, and carbon intensity of economy, this study employs Index Decomposition Analysis to estimate the reductions in carbon intensity needed to reach this target. The findings show that the extent of the technical effort required for decarbonization is much influenced by economic expansion. Under a 3% annual Gross Domestic Product growth scenario, the EU’s carbon intensity of economy must decline by 11.8% per year, which is a particularly demanding rate given the already low baseline. The decomposition also quantifies the technological challenge: under high growth, up to 5867 MtCO2 in reductions would be needed by 2050 (compared with 1990), with Carbon Capture and Storage (CCS) contributing only 10–15%. In contrast, in zero- or negative-growth scenarios, required reductions fall to 4923–4594 MtCO2, with CCS accounting for up to 50–90%. These results show that decarbonization in EU industrial sectors requires systemic transformations and strategic CCS deployment. A balanced approach, limiting economic growth and increasing innovation, appears essential to achieve the climate neutrality target.</w:t>
      </w:r>
    </w:p>
    <w:p>
      <w:r>
        <w:t>POSSIBLE 2025: Effect of Population Aging on Economic Growth in countries of the European Union — https://openalex.org/W7135768500</w:t>
      </w:r>
    </w:p>
    <w:p>
      <w:r>
        <w:t>Shared claim-specific concepts: population, union; EU scope visible. This is a provisional connection, not an outcome finding.</w:t>
      </w:r>
    </w:p>
    <w:p>
      <w:r>
        <w:t>Available abstract (not full text): CHARLES UNIVERSITY FACULTY OF SOCIAL SCIENCES Institute of Economic Studies Abstract - English 2025 Maximilián Demko CHARLES UNIVERSITY FACULTY OF SOCIAL SCIENCES Institute of Economic Studies Effect of Population Aging on Economic Growth in countries of the European Union Bachelor's Thesis Author of the Thesis: Maximilián Demko Study programme: Economics and Finance Supervisor: Mgr. Barbara Pertold-Gebicka, M.A., Ph.D. Year of the defence: 2025 8 Abstract The thesis examines the impact of aging on economic growth in countries of the European Union, by examining the relationship between the changes in the old-age dependency ratio, defined as the proportion of individuals aged 65 and over to those aged 20 to 64, and economic growth in all current 27 countries of the European Union in the period from 1980 to 2020. By utilising econometric methods, this thesis presents conclusive evidence, that an increase in this ratio has a negative impact on economic growth in the countries of the Union. According to the main estimate, a one percentage point increase in the old-age dependency ratio is associated with a 0,95% decrease in GDP per capita growth over a 5-year period. Subsample analysis revealed that effect of changes in old-age dependency is more pronounced in the core member countries of the European union,...</w:t>
      </w:r>
    </w:p>
    <w:p>
      <w:r>
        <w:t>POSSIBLE 2025: Europeans support large carnivore recovery while opposing both further population growth and hunting — https://doi.org/10.1038/s41559-025-02914-1</w:t>
      </w:r>
    </w:p>
    <w:p>
      <w:r>
        <w:t>Shared claim-specific concepts: population, union; EU scope visible. This is a provisional connection, not an outcome finding.</w:t>
      </w:r>
    </w:p>
    <w:p>
      <w:r>
        <w:t>Available abstract (not full text): After centuries of persecution in Europe, large carnivores are now recovering. Whether this conservation success continues depends in part on public support. Here we show, using a survey of 10,000 respondents across European Union Member States, that while support for the recovery of wolves, bears and lynx remains strong, most respondents oppose both further population growth and hunting-particularly of wolves. Attitudes are remarkably consistent across rural and urban populations, and many respondents express no strong position, suggesting that large carnivores are less polarizing than often portrayed. The recent amendment to the Habitats Directive, which grants Member States greater flexibility to manage their wolf populations, appears broadly aligned with public opinion, as long as its implementation does not lead to population declines. However, the presence of views in tension-rejecting both population growth and hunting- may pose challenges for designing policies that are both science based and supported by the public.</w:t>
      </w:r>
    </w:p>
    <w:p>
      <w:r>
        <w:t>POSSIBLE 2024: TRANSPORT INFRASTRUCTURE DEVELOPMENT AND ECONOMIC GROWTH IN THE EUROPEAN UNION — https://doi.org/10.47535/1991auoes33(1)007</w:t>
      </w:r>
    </w:p>
    <w:p>
      <w:r>
        <w:t>Shared claim-specific concepts: population, union; EU scope visible. This is a provisional connection, not an outcome finding.</w:t>
      </w:r>
    </w:p>
    <w:p>
      <w:r>
        <w:t>Available abstract (not full text): Transport infrastructure has a strategic importance in the social and economic development of countries. From Antiquity to the present day, transport infrastructure has aimed to facilitate freedom of movement, and access to goods, services, and information. Investments in the development of transport infrastructure led to economic growth, the development of trade, the increase of national and regional competitiveness, as well as the increase of the well-being of the population. The purpose of this article is to analyze the contribution that transport infrastructure manifests to the economic growth of European Union countries. Through this article we aim to explore the correlation between public expenditures on transport infrastructure and economic growth, using the data available in the Eurostat database. The obtained results confirm the hypothesis that, indeed, public spending on transport infrastructure contributes significantly to the economic growth of EU states. The main conclusion of the study carried out in this article supports the need for investments in the modernization and maintenance of the transport infrastructure to enhance sustainable economic growth and the well-being of the population.</w:t>
      </w:r>
    </w:p>
    <w:p>
      <w:r>
        <w:t>POSSIBLE 2024: Government Expenditure, Education, and Productivity in the European Union: Effects on Economic Growth — https://doi.org/10.1515/econ-2022-0081</w:t>
      </w:r>
    </w:p>
    <w:p>
      <w:r>
        <w:t>Shared claim-specific concepts: population, union; EU scope visible. This is a provisional connection, not an outcome finding.</w:t>
      </w:r>
    </w:p>
    <w:p>
      <w:r>
        <w:t>Available abstract (not full text): Abstract In this article, we will analyse the effects of public spending on education on productivity, wages, and growth at European Union level. We are trying to find out to what extent education expenditures and human capital contribute to improving productivity, achieving higher wages, and enhancing the standard of living of the population, as measured by per capita growth. Our results do not show a clear and direct relationship between public expenditure on education and productivity, but an indirect relationship through the acquisition of a higher level of human capital and technological skills, which leads to output increases.</w:t>
      </w:r>
    </w:p>
    <w:p>
      <w:r>
        <w:t>POSSIBLE 2023: Zero population growth rate and eldercare hours: Are both optimal for some European Union countries?# — https://doi.org/10.1111/1468-0106.12418</w:t>
      </w:r>
    </w:p>
    <w:p>
      <w:r>
        <w:t>Shared claim-specific concepts: population, union; EU scope visible. This is a provisional connection, not an outcome finding.</w:t>
      </w:r>
    </w:p>
    <w:p>
      <w:r>
        <w:t>Available abstract (not full text): Abstract As zero population growth rates have existed for approximately 30 years in many European Union countries, one wonders whether this is optimal in these countries, considering differences in consumer preferences and wages. In this paper, we construct a framework to examine this issue, in particular incorporating both eldercare and immigration. Our theoretical and empirical analyses show that zero population growth rates are optimal, population growth rates and eldercare hours are determined separately, and eldercare hours may be optimal because of added support with public long‐term care spending of each country.</w:t>
      </w:r>
    </w:p>
    <w:p>
      <w:r>
        <w:t>POSSIBLE 2022: Effects of Immigrants, Health, and Ageing on Economic Growth in the European Union — https://doi.org/10.3390/ijerph20010224</w:t>
      </w:r>
    </w:p>
    <w:p>
      <w:r>
        <w:t>Shared claim-specific concepts: population, union, number, modeled; EU scope visible. This is a provisional connection, not an outcome finding.</w:t>
      </w:r>
    </w:p>
    <w:p>
      <w:r>
        <w:t>Available abstract (not full text): Population ageing and low birth rates are two problems of the EU that have an impact on employment, production, and economic growth. Against this background, immigration, health expenditure, and the health of migrants must become a key element of European policy. For this reason, this paper focused on identifying the effect of immigration, health, and ageing on economic growth in order to highlight their importance from an economic perspective. We constructed different econometric models with Eurostat data for 27 countries and 13 years (2008-2020), whose dependent variable was gross domestic product. Independent variables were the number of immigrants by gender and age, health expenditure per capita (total and by function), immigrants' perception of their health as very good, and the proportion of the population aged 65 years and over. The model selected to analyze the results was Prais-Winsten regression heteroskedastic panels corrected standard errors modeled by applying the option (ar1) to correct for autocorrelation, using Stata software (version 16). The results show that health expenditure has a significant positive effect on economic growth, higher in hospital services, followed by medical products; immigrants' perception as very good is only significant in some models. The number of immigrants has a (positive) effect, although less significant than public expenditure on</w:t>
      </w:r>
    </w:p>
    <w:p>
      <w:r>
        <w:t>POSSIBLE 2021: Unveiling the local determinants of population growth in the European Union — https://doi.org/10.1111/grow.12469</w:t>
      </w:r>
    </w:p>
    <w:p>
      <w:r>
        <w:t>Shared claim-specific concepts: population, union; EU scope visible. This is a provisional connection, not an outcome finding.</w:t>
      </w:r>
    </w:p>
    <w:p>
      <w:r>
        <w:t>Available abstract (not full text): Abstract This paper studies the population growth dynamics in European NUTS3 regions over the period of 2000–2015 and offers generalizable evidence on the main drivers of population change at this sub‐level of analysis, which is so far rather unexplored. Results obtained by means of a spatial Durbin model highlight the roles of economic and demographic regional conditions in shaping population dynamics and the minor role of geography and environmental conditions. The fact that geographical polarization of population is occurring, which might result in an increase in regional imbalances, calls for policy actions in mitigating this phenomenon.</w:t>
      </w:r>
    </w:p>
    <w:p>
      <w:r>
        <w:t>POSSIBLE 2021: Determinants of economic growth in the European Union. An empirical analysis of conditional convergence — https://doi.org/10.21272/sec.5(2).26-34.2021</w:t>
      </w:r>
    </w:p>
    <w:p>
      <w:r>
        <w:t>Shared claim-specific concepts: population, union; EU scope visible. This is a provisional connection, not an outcome finding.</w:t>
      </w:r>
    </w:p>
    <w:p>
      <w:r>
        <w:t>Available abstract (not full text): Being established from the initiative of six visionary countries in the second half of the 20th century, the European Economic Community has shifted the history of the European continent by promoting economic collaboration and political stability. Given its initial success, the regional group has quickly evolved from customs union to Economic and Monetary Union, comprising nowadays twenty-seven European countries. Although the European Union has successfully managed political, economic, social and even sanitary turmoil, the stability of the European architecture continues to be threatened by the heterogeneity of its members. In this respect, one of the main challenges for the European Union in its current composition aims the convergence of the economic performance between countries and regions. The purpose of this paper is to study the economic growth patterns in the European Union during 2000 and 2019, also conducting a comparative analysis between New and Old Member States. In order to capture the European economic landscape, the methodology was based on conditional β-convergence and the estimates were conducted by using ordinary least squares and generalized least squares with fixed effects. We have tried to find the relationship between the lagged value of GDP per capita and the subsequent growth rates, but also to study the influence of macroeconomic and social-related va</w:t>
      </w:r>
    </w:p>
    <w:p>
      <w:r>
        <w:t>POSSIBLE 2019: Taxation and economic growth in the European Union: a quantile approach — https://doi.org/10.33776/rem.v0i51.3909</w:t>
      </w:r>
    </w:p>
    <w:p>
      <w:r>
        <w:t>Shared claim-specific concepts: population, union; EU scope visible. This is a provisional connection, not an outcome finding.</w:t>
      </w:r>
    </w:p>
    <w:p>
      <w:r>
        <w:t>Available abstract (not full text): The available literature on the relationship between taxation and economic growth is mixed, although some consensus exists on the negative effects of some taxes on growth. In this paper we study the relationship between taxation and growth for the European Union in 2004?2016 through a quantile regression approach to detect different patterns along the distribution. The results show a negative effect of the tax burden, with higher impact at the last quantiles, evidencing a non-linear relationship between tax burden and economic growth in the European Union. In contrast, the top corporate tax rate appears as non-significant in this study. In addition, population growth, with negative impact, and investment and human capital, with positive effect, also explain the economic growth in the period.</w:t>
      </w:r>
    </w:p>
    <w:p>
      <w:r>
        <w:t>POSSIBLE 2019: ECONOMIC GROWTH PROJECTION FOR EUROPEAN UNION BY 2030 — https://doi.org/10.5755/j01.eis.0.13.23709</w:t>
      </w:r>
    </w:p>
    <w:p>
      <w:r>
        <w:t>Shared claim-specific concepts: population, union; EU scope visible. This is a provisional connection, not an outcome finding.</w:t>
      </w:r>
    </w:p>
    <w:p>
      <w:r>
        <w:t>Available abstract (not full text): The paper contributes to a discussion on developments in output for the EU-27 group over the next 11 years, up to year 2030. It departs from a discussion on arguments of the production function, with focus on sudden changes to population in Europe, its growth rate and composition. A brief study of population-decreasing events in the European historical perspective may represent an inspiring part. Reasons for inconsistency in estimated parameters of production function for European countries seems to be well-explained this way. The projection for the next 11 years, up to 2030 has employed the production function framework. Parameters have been estimated on the period 2004 – 2016 that matches most closely conditions that one may expect over the projection horizon. Feeding the estimated production function for the 2018-2030 forecast has employed projected population by Eurostat, while private capital investment has been generated by an ARIMA model. Projection is offered in two forms: (1) aggregated real output for the whole EU, and (2) the same category for each of the EU-27 countries.</w:t>
      </w:r>
    </w:p>
    <w:p>
      <w:pPr>
        <w:pStyle w:val="Heading2"/>
      </w:pPr>
      <w:r>
        <w:t>Problem of “Dinosauring” of European Union and Mapping of Its Future</w:t>
      </w:r>
    </w:p>
    <w:p>
      <w:r>
        <w:t>Original source (2016): https://doi.org/10.11114/smc.v4i1.1617</w:t>
      </w:r>
    </w:p>
    <w:p>
      <w:r>
        <w:t>Original wording (abstract; indexed_source_text_not_full_document_verified): The popular European vision of its future can be called The Davos World - simple scenario based of the economic benefits, predicting that the driving force for ruling the world will be the endless economic interest.</w:t>
      </w:r>
    </w:p>
    <w:p>
      <w:r>
        <w:t>POSSIBLE 2023: The European Rural Development Vision in Romanian Context — https://doi.org/10.15835/buasvmcn-hort:2022.0034</w:t>
      </w:r>
    </w:p>
    <w:p>
      <w:r>
        <w:t>Shared claim-specific concepts: vision, based; EU scope visible. This is a provisional connection, not an outcome finding.</w:t>
      </w:r>
    </w:p>
    <w:p>
      <w:r>
        <w:t>Available abstract (not full text): Rural areas need our implication more than ever, in Romania, we identify a large percentage of people leaving behind their homes. Without a strategy to support and create opportunities, we will lose the heartbeat of our economy and an important part of our identity. This paper aims to study ways to develop self-sustained communities and achieve economic potential by investing in our rural areas’ future through good policies. Based on debate between 25 participants from various professional backgrounds for 5 days, the focus group investigated the study cases of their nations to better grasp the future steps. The focus group is a dynamic mix of youth from European countries such as Greece, Ireland, Croatia, Ireland, and Romania with different educational backgrounds who took the opportunity to study the High value and rural areas in their countries. They identify the needs of different village stockholders and bring all the knowledge together. A great lack of trust in collaboration between farmers and the need for more practical policies was found, in addition to the need for education and a better understanding of how they can round their income. The objectives of this vision will be accomplished with the aid of a Rural Pact and an EU Rural Action Plan with concrete flagship projects and innovative tools.</w:t>
      </w:r>
    </w:p>
    <w:p>
      <w:r>
        <w:t>POSSIBLE 2019: Conan Fischer. A Vision of Europe: Franco-German Relations during the Great Depression, 1929–1932. — https://doi.org/10.1093/ahr/rhz1012</w:t>
      </w:r>
    </w:p>
    <w:p>
      <w:r>
        <w:t>Shared claim-specific concepts: popular, vision, world; EU scope visible. This is a provisional connection, not an outcome finding.</w:t>
      </w:r>
    </w:p>
    <w:p>
      <w:r>
        <w:t>Available abstract (not full text): With the one hundredth anniversary of the signing of the Treaty of Versailles (June 28, 1919), historians have lined up to have their say on what went wrong in post–World War I Europe. Two rather entrenched narratives usually parse the Paris Peace Conference of 1919. On the one hand, the conference is lauded for creating a world system in the League of Nations, which was ultimately betrayed and hobbled by the depredations of the dictators in the 1930s. The second interpretation is more specifically related to the Treaty of Versailles, which brought a formal end to World War I between Germany and the Entente Powers. In A Vision of Europe: Franco-German Relations during the Great Depression, 1929–1932, Conan Fischer calls it “a treaty too benign to guarantee French security and too severe to secure German goodwill” (14); Versailles is linked in the popular and scholarly minds with the advent...</w:t>
      </w:r>
    </w:p>
    <w:p>
      <w:pPr>
        <w:pStyle w:val="Heading2"/>
      </w:pPr>
      <w:r>
        <w:t>Prospects of labour migration pressure in Algeria, Morocco, Tunisia and Turkey</w:t>
      </w:r>
    </w:p>
    <w:p>
      <w:r>
        <w:t>Original source (2016): https://doi.org/10.1186/s41118-016-0015-x</w:t>
      </w:r>
    </w:p>
    <w:p>
      <w:r>
        <w:t>Original wording (abstract; indexed_source_text_not_full_document_verified): This model is then used as framework for deriving storylines for three different scenarios of economic and demographic change up to 2035. Subsequently, storylines are operationalized, leading to scenario estimates of migration pressure up to 2035.</w:t>
      </w:r>
    </w:p>
    <w:p>
      <w:r>
        <w:t>POSSIBLE 2020: A primer on model selection using the Akaike Information Criterion — https://doi.org/10.1016/j.idm.2019.12.010</w:t>
      </w:r>
    </w:p>
    <w:p>
      <w:r>
        <w:t>Shared claim-specific concepts: then, different; EU scope not established. This is a provisional connection, not an outcome finding.</w:t>
      </w:r>
    </w:p>
    <w:p>
      <w:r>
        <w:t>Available abstract (not full text): A powerful investigative tool in biology is to consider not a single mathematical model but a collection of models designed to explore different working hypotheses and select the best model in that collection. In these lecture notes, the usual workflow of the use of mathematical models to investigate a biological problem is described and the use of a collection of model is motivated. Models depend on parameters that must be estimated using observations; and when a collection of models is considered, the best model has then to be identified based on available observations. Hence, model calibration and selection, which are intrinsically linked, are essential steps of the workflow. Here, some procedures for model calibration and a criterion, the Akaike Information Criterion, of model selection based on experimental data are described. Rough derivation, practical technique of computation and use of this criterion are detailed.</w:t>
      </w:r>
    </w:p>
    <w:p>
      <w:r>
        <w:t>POSSIBLE 2019: A note on model selection using information criteria for general linear models estimated using REML — https://doi.org/10.1111/anzs.12254</w:t>
      </w:r>
    </w:p>
    <w:p>
      <w:r>
        <w:t>Shared claim-specific concepts: then, used, different, estimates; EU scope not established. This is a provisional connection, not an outcome finding.</w:t>
      </w:r>
    </w:p>
    <w:p>
      <w:r>
        <w:t xml:space="preserve">Available abstract (not full text): It is common practice to compare the fit of non‐nested models using the Akaike (AIC) or Bayesian (BIC) information criteria. The basis of these criteria is the log‐likelihood evaluated at the maximum likelihood estimates of the unknown parameters. For the general linear model (and the linear mixed model, which is a special case), estimation is usually carried out using residual or restricted maximum likelihood (REML). However, for models with different fixed effects, the residual likelihoods are not comparable and hence information criteria based on the residual likelihood cannot be used. For model selection, it is often suggested that the models are refitted using maximum likelihood to enable the criteria to be used. The first aim of this paper is to highlight that both the AIC and BIC can be used for the general linear model by using the full log‐likelihood evaluated at the REML estimates. The second aim is to provide a derivation of the criteria under REML estimation. This aim is achieved by noting that the full likelihood can be decomposed into a marginal (residual) and conditional likelihood and this decomposition then incorporates aspects of both the fixed effects and variance parameters. Using this decomposition, the appropriate information criteria for model selection of models which differ in their fixed effects specification can be derived. An example is presented to </w:t>
      </w:r>
    </w:p>
    <w:p>
      <w:r>
        <w:t>POSSIBLE 2017: Model selection using information criteria, but is the “best” model any good? — https://doi.org/10.1111/1365-2664.13060</w:t>
      </w:r>
    </w:p>
    <w:p>
      <w:r>
        <w:t>Shared claim-specific concepts: used, leading; EU scope not established. This is a provisional connection, not an outcome finding.</w:t>
      </w:r>
    </w:p>
    <w:p>
      <w:r>
        <w:t>Available abstract (not full text): Abstract Information criteria ( IC s) are used widely for data summary and model building in ecology, especially in applied ecology and wildlife management. Although IC s are useful for distinguishing among rival candidate models, IC s do not necessarily indicate whether the “best” model (or a model‐averaged version) is a good representation of the data or whether the model has useful “explanatory” or “predictive” ability. As editors and reviewers, we have seen many submissions that did not evaluate whether the nominal “best” model(s) found using IC is a useful model in the above sense. We scrutinized six leading ecological journals for papers that used IC to compare models. More than half of papers using IC for model comparison did not evaluate the adequacy of the best model(s) in either “explaining” or “predicting” the data. Synthesis and applications . Authors need to evaluate the adequacy of the model identified as the “best” model by using information criteria methods to provide convincing evidence to readers and users that inferences from the best models are useful and reliable.</w:t>
      </w:r>
    </w:p>
    <w:p>
      <w:r>
        <w:t>POSSIBLE 2017: AraVec: A set of Arabic Word Embedding Models for use in Arabic NLP — https://doi.org/10.1016/j.procs.2017.10.117</w:t>
      </w:r>
    </w:p>
    <w:p>
      <w:r>
        <w:t>Shared claim-specific concepts: used, three, different; EU scope not established. This is a provisional connection, not an outcome finding.</w:t>
      </w:r>
    </w:p>
    <w:p>
      <w:r>
        <w:t>Available abstract (not full text): Advancements in neural networks have led to developments in fields like computer vision, speech recognition and natural language processing (NLP). One of the most influential recent developments in NLP is the use of word embeddings, where words are represented as vectors in a continuous space, capturing many syntactic and semantic relations among them. AraVec is a pre-trained distributed word representation (word embedding) open source project which aims to provide the Arabic NLP research community with free to use and powerful word embedding models. The first version of AraVec provides six different word embedding models built on top of three different Arabic content domains; Tweets, World Wide Web pages and Wikipedia Arabic articles. The total number of tokens used to build the models amounts to more than 3,300,000,000. This paper describes the resources used for building the models, the employed data cleaning techniques, the carried out preprocessing step, as well as the details of the employed word embedding creation techniques.</w:t>
      </w:r>
    </w:p>
    <w:p>
      <w:r>
        <w:t>POSSIBLE 2017: Modelling isoscapes using mixed models — https://doi.org/10.1101/207662</w:t>
      </w:r>
    </w:p>
    <w:p>
      <w:r>
        <w:t>Shared claim-specific concepts: used, framework; EU scope visible. This is a provisional connection, not an outcome finding.</w:t>
      </w:r>
    </w:p>
    <w:p>
      <w:r>
        <w:t>Available abstract (not full text): Isoscapes are maps depicting the continuous spatial (and sometimes temporal) variation in isotope composition. They have various applications ranging from the study of isotope circulation in the main earth systems to the determination of the provenance of migratory animals. Isoscapes can be produced from the fit of statistical models to observations originating from a set of discrete locations. Mixed models are powerful tools for drawing inferences from correlated data. While they are widely used to study non-spatial variation, they are often overlooked in spatial analyses. In particular, they have not been used to study the spatial variation of isotope composition. Here, we introduce this statistical framework and illustrate the methodology by building isoscapes of the isotope composition of hydrogen for precipitation water in Europe. For this example, the approach based on mixed models presents a higher predictive power than a widespread alternative approach. We discuss other advantages offered by mixed models including: the ability to model the residual variance in isotope composition, the quantification of prediction uncertainty, and the simplicity of model comparison and selection using an adequate information criterion: the conditional AIC (cAIC). We provide all source code required for the replication of the results of this paper as a small R package to foster a transpar</w:t>
      </w:r>
    </w:p>
    <w:p>
      <w:r>
        <w:t>POSSIBLE 2017: Mining Logs to Model the Use of a System — https://doi.org/10.1109/esem.2017.47</w:t>
      </w:r>
    </w:p>
    <w:p>
      <w:r>
        <w:t>Shared claim-specific concepts: used, different; EU scope not established. This is a provisional connection, not an outcome finding.</w:t>
      </w:r>
    </w:p>
    <w:p>
      <w:r>
        <w:t>Available abstract (not full text): Background. Process mining is a technique to build process models from "execution logs" (i.e., events triggered by the execution of a process). State-of-the-art tools can provide process managers with different graphical representations of such models. Managers use these models to compare them with an ideal process model or to support process improvement. They typically select the representation based on their experience and knowledge of the system. Aim. This work studies how to automatically build process models representing the actual intents (or uses) of users while interacting with a software system. Such intents are expressed as a set of actions performed by a user to a system to achieve specific use goals. Method. This work applies the theory of Hidden Markov Models to mine use logs and automatically model the use of a system. Results. Unlike the models generated with process mining tools, the Hidden Markov Models automatically generated in this study provide the intents of a user and can be used to recommend managers with a faithful representation of the use of their systems. Conclusions. The automatic generation of the Hidden Markov Models can achieve a good level of accuracy in representing the actual user's intents provided the log dataset is carefully chosen. In our study, the information contained in one-month set of logs helped automatically build Hidden Markov Mod</w:t>
      </w:r>
    </w:p>
    <w:p>
      <w:pPr>
        <w:pStyle w:val="Heading2"/>
      </w:pPr>
      <w:r>
        <w:t>Record dry summer in 2015 challenges precipitation projections in Central Europe</w:t>
      </w:r>
    </w:p>
    <w:p>
      <w:r>
        <w:t>Original source (2016): https://doi.org/10.1038/srep28334</w:t>
      </w:r>
    </w:p>
    <w:p>
      <w:r>
        <w:t>Original wording (abstract; indexed_source_text_not_full_document_verified): Climate change projections suggest that climate in this area will shift towards warmer temperatures by the end of the 21 st century, while projected precipitation changes are highly uncertain. Even though the models best capturing past droughts are not necessarily generally more reliable in the future, the 2015 drought event illustrates that potential future drying trends have severe implications and could be stronger than commonly assumed from the entire IPCC AR5 model ensemble.</w:t>
      </w:r>
    </w:p>
    <w:p>
      <w:r>
        <w:t>POSSIBLE 2026: Mopo pan-European VRE data: Climate change projections — https://doi.org/10.5281/zenodo.18549864</w:t>
      </w:r>
    </w:p>
    <w:p>
      <w:r>
        <w:t>Shared claim-specific concepts: climate, projections; EU scope visible. This is a provisional connection, not an outcome finding.</w:t>
      </w:r>
    </w:p>
    <w:p>
      <w:r>
        <w:t>Available abstract (not full text): This dataset provides simulated hourly wind and solar PV generation time series used in the Mopo project for pan‑European energy system modeling. The modeling framework follows https://doi.org/10.5281/zenodo.17950647 (validated in Nayak et al. (2025)), extended here to run on climate projections. Climate inputs come from two models from the Copernicus Climate Change Service (2024): MPI‑ESM1‑2‑HR (MEHR)and EC‑Earth3 (ECE3). For each model, two scenarios are simulated: SSP2‑4.5, representing an intermediate “middle‑of‑the‑road” pathway, and SSP5‑8.5, representing a very high‑emission pathway. This yields four climate projections covering 2015–2100 at hourly resolution. Following Luzia (2023), wind speeds in all projections are scaled using GWA2. Each climate projection includes: Solar PV: 3 simulated PV technologies. Offshore wind: 4 specific technologies (2 bottom‑fixed (FB) and 2 floating (FO)) plus an “existing” configuration. Onshore wind: 9 specific technologies plus an “existing” configuration. “Existing” runs represent installations characteristic of 2020 in the analyzed regions, while “specific technology” runs represent possible future VRE installations. See https://doi.org/10.5281/zenodo.17950647 for more details about the simulated VRE technologies and regions.</w:t>
      </w:r>
    </w:p>
    <w:p>
      <w:r>
        <w:t>POSSIBLE 2026: Hydrological drought projections across Europe under climate change — https://doi.org/10.1038/s44304-025-00152-w</w:t>
      </w:r>
    </w:p>
    <w:p>
      <w:r>
        <w:t>Shared claim-specific concepts: climate, projections; EU scope visible. This is a provisional connection, not an outcome finding.</w:t>
      </w:r>
    </w:p>
    <w:p>
      <w:r>
        <w:t>Available abstract (not full text): Abstract Although drought is a natural hazard, growing global concern surrounds its increasing frequency and severity due to climate change. Projections indicate that drought conditions are expected to intensify worldwide in the future, and Europe is no exception. Therefore, understanding the pattern and characteristics of future drought is crucial to developing region-specific adaptation strategies to enhance resilience. This study presents a comprehensive assessment of future hydrological drought dynamics across Europe using the standardized runoff index (SRI). SRI was calculated at 1- and 3-month timescales for the historical period (1990–2014) and near-future period (2015–2049) based on downscaled climate data from Coupled Model Intercomparison Project Phase 6 (CMIP6) under two emission scenarios: SSP1-2.6 and SSP5-8.5, where SSP stands for shared socioeconomic pathways. The findings reveal an intensification of hydrological drought conditions, particularly in southern Europe. Notable increases in the frequency, severity, and spatial extent of drought events are observed, especially in countries such as France, Spain, and the Balkans. Seasonal analysis highlights spring as the most drought-prone season under both scenarios. These results underscore the urgent need for seasonally adaptive water management strategies to better anticipate future drought risks and strengthen re</w:t>
      </w:r>
    </w:p>
    <w:p>
      <w:r>
        <w:t>POSSIBLE 2025: Projections of streamflow intermittence under climate change in European drying river networks — https://doi.org/10.5194/hess-29-1615-2025</w:t>
      </w:r>
    </w:p>
    <w:p>
      <w:r>
        <w:t>Shared claim-specific concepts: climate, projections, shift, end, century, past; EU scope visible. This is a provisional connection, not an outcome finding.</w:t>
      </w:r>
    </w:p>
    <w:p>
      <w:r>
        <w:t>Available abstract (not full text): Abstract. Climate and land use changes, as well as human water use and flow alterations, are causing worldwide shifts in river flow dynamics. During the last decades, low-flows, flow intermittence, and drying have increased in many regions of the world, including Europe. This trend is projected to continue and exacerbate in the future, resulting in more frequent and intense hydrological droughts. However, due to a lack of data and studies on temporary rivers in the past, little is known about the processes governing the development of flow intermittence and drying, their timing and frequency, as well as their long-term evolution under climate change. Moreover, understanding the impact of climate change on the drying up of rivers is crucial to assess the impact of climate change on aquatic ecosystems, biodiversity and functional integrity of freshwater systems. This study is one of the first to present future projections of drying in intermittent river networks, and to analyze future changes in the drying patterns at high resolution spatial and temporal scale. The flow intermittence projections were produced using a hybrid hydrological model forced with climate projection data from 1985 until 2100 under three climate scenarios in six European drying river networks. The watersheds areas are situated in different biogeographic regions, located in Spain, France, Croatia, Hungary, C</w:t>
      </w:r>
    </w:p>
    <w:p>
      <w:r>
        <w:t>POSSIBLE 2024: Projections and uncertainties of winter windstorm damage in Europe in a changing climate — https://doi.org/10.5194/nhess-24-1555-2024</w:t>
      </w:r>
    </w:p>
    <w:p>
      <w:r>
        <w:t>Shared claim-specific concepts: climate, projections, highly, uncertain; EU scope visible. This is a provisional connection, not an outcome finding.</w:t>
      </w:r>
    </w:p>
    <w:p>
      <w:r>
        <w:t>Available abstract (not full text): Abstract. Winter windstorms are among the most significant natural hazards in Europe linked to fatalities and substantial economic damages. However, projections of windstorm impact in Europe under climate change are highly uncertain. This study combines climate projections from 30 general circulation models participating in CMIP6 with the climate-risk assessment model CLIMADA to obtain projections of future change in windstorm-induced damages over Europe. We conduct an uncertainty-sensitivity analysis, and find large uncertainties in the projected changes in the damages, with climate model uncertainty being the dominant factor of uncertainty in the projections. We investigate spatial patterns of the future changes in windstorm damages and find an increase in the damages in northwestern and northern-central Europe, and a decrease over the rest of Europe, in agreement with an eastward extension of the North Atlantic storm track into Europe. We combine all 30 available climate models in an ensemble of opportunity approach and find evidence for an intensification of future windstorm damages, with damages with return periods of 100 years under current climate conditions becoming damages with return periods of 28 years under future SSP585 climate scenarios. Our findings demonstrate the importance of climate model uncertainty for the CMIP6 projections of windstorms in Europe, and emph</w:t>
      </w:r>
    </w:p>
    <w:p>
      <w:r>
        <w:t>POSSIBLE 2024: Changes in universal thermal climate index from regional climate model projections over European beaches — https://doi.org/10.1016/j.cliser.2024.100447</w:t>
      </w:r>
    </w:p>
    <w:p>
      <w:r>
        <w:t>Shared claim-specific concepts: climate, projections, end, century; EU scope visible. This is a provisional connection, not an outcome finding.</w:t>
      </w:r>
    </w:p>
    <w:p>
      <w:r>
        <w:t>Available abstract (not full text): Millions of people travel to European beaches making beach tourism the largest tourism sector. Understanding how person’s thermal comfort changes with projected climate change, which is paramount in deciding where and when to visit, can help the tourism sector mitigate risk and identify opportunities. Sustainable adaptation strategies for coastal tourism can be developed for different regional changes. This work calculates the Universal Thermal Comfort Index (UTCI), a comprehensive assessment of the human physiological response to the thermal environment, from an ensemble of regional climate models participating in EURO-CORDEX. Under Representative Concentration Pathways (RCP) 8.5, the ensemble’s projections of the UTCI in the near- and far-future, compared to a historical reference period, show a robust and statistically significant increase across the entire EURO-CORDEX domain. Four popular beach regions in Germany, Italy, France, and Spain show the beach season can be extended - starting earlier and ending later each year. Across the Mediterranean, July and August exhibit, on average, 4 more days of ‘very strong’ heat stress and 1 day of ‘extreme’ heat stress at the end of the century. In accordance with FAIR data science principles, the UTCI calculation is available in the xclim open-source python library.</w:t>
      </w:r>
    </w:p>
    <w:p>
      <w:r>
        <w:t>POSSIBLE 2023: European projections of West Nile virus transmission under climate change scenarios — https://doi.org/10.1016/j.onehlt.2023.100509</w:t>
      </w:r>
    </w:p>
    <w:p>
      <w:r>
        <w:t>Shared claim-specific concepts: climate, projections, area, not; EU scope visible. This is a provisional connection, not an outcome finding.</w:t>
      </w:r>
    </w:p>
    <w:p>
      <w:r>
        <w:t>Available abstract (not full text): West Nile virus (WNV), a mosquito-borne zoonosis, has emerged as a disease of public health concern in Europe. Recent outbreaks have been attributed to suitable climatic conditions for its vectors favoring transmission. However, to date, projections of the risk for WNV expansion under climate change scenarios is lacking. Here, we estimate the WNV-outbreaks risk for a set of climate change and socioeconomic scenarios. We delineate the potential risk-areas and estimate the growth in the population at risk (PAR). We used supervised machine learning classifier, XGBoost, to estimate the WNV-outbreak risk using an ensemble climate model and multi-scenario approach. The model was trained by collating climatic, socioeconomic, and reported WNV-infections data (2010-22) and the out-of-sample results (1950-2009, 2023-99) were validated using a novel Confidence-Based Performance Estimation (CBPE) method. Projections of area specific outbreak risk trends, and corresponding population at risk were estimated and compared across scenarios. Our results show up to 5-fold increase in West Nile virus (WNV) risk for 2040-60 in Europe, depending on geographical region and climate scenario, compared to 2000-20. The proportion of disease-reported European land areas could increase from 15% to 23-30%, putting 161 to 244 million people at risk. Across scenarios, Western Europe appears to be facing the l</w:t>
      </w:r>
    </w:p>
    <w:p>
      <w:r>
        <w:t>POSSIBLE 2023: Climate change projections of commercial fish distribution and suitable habitat around north western Europe — https://doi.org/10.1111/faf.12773</w:t>
      </w:r>
    </w:p>
    <w:p>
      <w:r>
        <w:t>Shared claim-specific concepts: climate, projections, past; EU scope visible. This is a provisional connection, not an outcome finding.</w:t>
      </w:r>
    </w:p>
    <w:p>
      <w:r>
        <w:t>Available abstract (not full text): Abstract Under future climate change, modification of temperature and salinity are expected to result in distribution shifts of marine organisms, including commercial fish and shellfish. Changes are anticipated everywhere, including in the seas of many important fishing nations. Species turnover will in turn result in both opportunities and threats to fishing industries. To determine the impacts for northwest European shelf fisheries, we project changes for 49 commercially important fish and shellfish species using an ensemble of five ecological niche models and three different downscaled climate change projections. The habitat suitability and latitudinal shifts projected from the recent past (1997–2016) to two futures (2030–2050; 2050–2070) were calculated for waters around the United Kingdom. Of the species examined, around half were projected to have consistently more suitable habitat in the future, including European seabass ( Dicentrarchus labrax , Moronidae), sardine ( Sardina pilchardus , Alosidae) and anchovy ( Engraulis encrasicolus , Engraulidae). Conversely, it is suggested that UK waters will become less suitable for species including Atlantic cod ( Gadus morhua , Gadidae) and saithe ( Pollachius virens , Gadidae). Our comprehensive approach using a number of models and climate change scenarios shows that while there are differences in the magnitude of change betwee</w:t>
      </w:r>
    </w:p>
    <w:p>
      <w:r>
        <w:t>POSSIBLE 2023: Climate Change Projections of Agricultural Droughts in Europe: A Comparison between Standardized Drought Indices — https://doi.org/10.5194/ems2023-289</w:t>
      </w:r>
    </w:p>
    <w:p>
      <w:r>
        <w:t>Shared claim-specific concepts: climate, projections, precipitation, uncertain, droughts; EU scope visible. This is a provisional connection, not an outcome finding.</w:t>
      </w:r>
    </w:p>
    <w:p>
      <w:r>
        <w:t xml:space="preserve">Available abstract (not full text): Drought is one of the most devastating natural hazards, affecting ecosystems, communities, and their economies worldwide. According to the last IPCC report, is expected, indeed, an increase in severity and frequency of drought under a changing climate, at least over Mediterranean regions. However, is still more uncertain the effect of climate change in other regions in the world. To analyze the effect of this extreme phenomenon, many drought indices have been developed in recent years based on different hydroclimatic variables and depending on the type of drought under study. Among these indices it is worth mentioning, for meteorological droughts, the Standardized Precipitation Index (SPI) or the Standardized Precipitation Evapotranspiration Index (SPEI), agricultural drought indices such as the Standardized Soil moisture Index (SSI), or those that make use of different variables or multivariate indices such as the Multivariate Standardized Drought Index (MSDI) that combines soil moisture and precipitation, and the Standardized Precipitation Evapotranspiration Soil Moisture Index (SPESMI), an adaptation of the MSDI that incorporates the effect of potential evapotranspiration on the water balance. This work aims to analyze from meteorological to agricultural droughts projections over Europe using standardized drought indices. For this, we evaluate drought characteristics (i.e., </w:t>
      </w:r>
    </w:p>
    <w:p>
      <w:r>
        <w:t>POSSIBLE 2022: Attribution of streamflow changes to future climate projections across Europe — https://doi.org/10.5194/iahs2022-569</w:t>
      </w:r>
    </w:p>
    <w:p>
      <w:r>
        <w:t>Shared claim-specific concepts: climate, projections, century, droughts; EU scope visible. This is a provisional connection, not an outcome finding.</w:t>
      </w:r>
    </w:p>
    <w:p>
      <w:r>
        <w:t>Available abstract (not full text): Ongoing warming strongly influences the water cycle at the regional scale and increases concerns about future streamflow changes with consequences for water availability and potential intensification of hydrological extremes, i.e. floods and droughts. Detecting and identifying controlling factors of future streamflow changes is a key point to understand the hydrological response to changing climate and develop tailored strategies for the water resources management and risk adaption. In this study we investigate the streamflow changes, including extremes, across Europe in the mid (2041-2070) and late (2070-2099) century. We used streamflow simulations from the E-HYPE hydrological model and the EURO-CORDEX climate model projections. The sensitivity of streamflow changes to the climatic factors compared to the reference period (1981-2010) is evaluated with the climatic elasticity method based on the Budyko framework. Moreover, we assess the spatial consistency and uncertainty of the streamflow changes due to the ensemble variability. Results show that the sensitivity of streamflow changes to climatic change varies depending on the climatic gradient and physiographic properties of the domain.</w:t>
      </w:r>
    </w:p>
    <w:p>
      <w:r>
        <w:t>POSSIBLE 2021: Climate change and infectious disease in Europe: Impact, projection and adaptation — https://doi.org/10.1016/j.lanepe.2021.100230</w:t>
      </w:r>
    </w:p>
    <w:p>
      <w:r>
        <w:t>Shared claim-specific concepts: climate, precipitation, not; EU scope visible. This is a provisional connection, not an outcome finding.</w:t>
      </w:r>
    </w:p>
    <w:p>
      <w:r>
        <w:t>Available abstract (not full text): Europeans are not only exposed to direct effects from climate change, but also vulnerable to indirect effects from infectious disease, many of which are climate sensitive, which is of concern because of their epidemic potential. Climatic conditions have facilitated vector-borne disease outbreaks like chikungunya, dengue, and West Nile fever and have contributed to a geographic range expansion of tick vectors that transmit Lyme disease and tick-borne encephalitis. Extreme precipitation events have caused waterborne outbreaks and longer summer seasons have contributed to increases in foodborne diseases. Under the Green Deal, The European Union aims to support climate change health policy, in order to be better prepared for the next health security threat, particularly in the aftermath of the traumatic COVID-19 experience. To bolster this policy process we discuss climate change-related hazards, exposures and vulnerabilities to infectious disease and describe observed impacts, projected risks, with policy entry points for adaptation to reduce these risks or avoid them altogether.</w:t>
      </w:r>
    </w:p>
    <w:p>
      <w:r>
        <w:t>POSSIBLE 2021: How does the CMIP6 ensemble change the picture for European climate projections? — https://doi.org/10.1088/1748-9326/ac1ed9</w:t>
      </w:r>
    </w:p>
    <w:p>
      <w:r>
        <w:t>Shared claim-specific concepts: climate, projections, warmer, temperatures, precipitation; EU scope visible. This is a provisional connection, not an outcome finding.</w:t>
      </w:r>
    </w:p>
    <w:p>
      <w:r>
        <w:t>Available abstract (not full text): Abstract We compare Coupled Model Intercomparison Project (CMIP) ensemble (CMIP6) projections for seasonal mean temperature and precipitation to CMIP5 for northern Europe, central Europe and the Mediterranean. The CMIP6 ensemble shows increased projected summer warming compared to CMIP5, which was found to be statistically significant in central Europe and the Mediterranean. Precipitation projections for Central Europe in CMIP6 were found to have a stronger drying trend in the summer months, there was also a substantially narrower projection range. Spatial comparisons indicate that this stronger drying trend also extends into a large part northern Europe. We show that warmer projected summer temperatures in northern Europe and the Mediterranean are largely driven by the higher global climate sensitivities in CMIP6 models, while regional changes are broadly similar. In central Europe a significant difference in the regional responses was found and in these cases the picture can be said to have changed. We find the difference in regional sensitivity is important in central Europe where it accounts for roughly 40 % of the differences between ensembles in projected regional temperature.</w:t>
      </w:r>
    </w:p>
    <w:p>
      <w:r>
        <w:t>POSSIBLE 2021: High-resolution projections of the aridity in Europe under climate change — https://doi.org/10.1016/b978-0-12-822184-6.00009-0</w:t>
      </w:r>
    </w:p>
    <w:p>
      <w:r>
        <w:t>Shared claim-specific concepts: climate, projections; EU scope visible. This is a provisional connection, not an outcome finding.</w:t>
      </w:r>
    </w:p>
    <w:p>
      <w:r>
        <w:t>Available abstract (not full text): Unavailable</w:t>
      </w:r>
    </w:p>
    <w:p>
      <w:pPr>
        <w:pStyle w:val="Heading2"/>
      </w:pPr>
      <w:r>
        <w:t>STRATEGIC DIRECTIONS OF DEVELOPMENT OF THE POLISH POWER SECTOR IN THE LIGHT OF CLIMATE AND ENERGY POLICY OF THE EUROPEAN UNION</w:t>
      </w:r>
    </w:p>
    <w:p>
      <w:r>
        <w:t>Original source (2016): https://doi.org/10.7862/rz.2016.hss.18</w:t>
      </w:r>
    </w:p>
    <w:p>
      <w:r>
        <w:t>Original wording (abstract; indexed_source_text_not_full_document_verified): The paper analyzes the possible directions of development of the Polish electricity sector by 2050 in terms of its adaptation to the EU requirements.The analysis was performed for different scenarios of development of CCS technology, nuclear energy development conditions and forecasted fuel prices on the domestic market, assuming the EU's targets for energy and climate policy.Strategic directions of sector development, taking into account investments in gas-fired and nuclear power plants were considered.Position of coal in the future fuel structure of Polish electricity generation and its conditions were discussed.The costs of electricity production in the analyzed scenarios are set out.The areas of government activityessential for strategic decisions determining the direction of development of the energy sector in Poland are presented.The presented studies assumed equal preferences for all types of fuels and technologies while assuming the market prices of fuels.The Government, determining the desired directions of development of the sector, can stimulate their development by creating preferences, such as preferential tax treatment.Essential is active participation of the Polish government in setting the specific targets valid for European countries in future.Without denying the need to reduce emissions, Poland should have an impact on the choice of quantity and quality of indicative targets, which will have to be met.A target to reduce emissions should not be accompanied by further objectives.For example, a target to increase share of renewable energy sources limits the development of energy mix.</w:t>
      </w:r>
    </w:p>
    <w:p>
      <w:r>
        <w:t>POSSIBLE 2024: Study of directions of unification of technology transfer in ukraine with the regulation of the European Union — https://doi.org/10.37772/2518-1718-2024-3(47)-2</w:t>
      </w:r>
    </w:p>
    <w:p>
      <w:r>
        <w:t>Shared claim-specific concepts: possible, directions, requirements, technology, conditions; EU scope visible. This is a provisional connection, not an outcome finding.</w:t>
      </w:r>
    </w:p>
    <w:p>
      <w:r>
        <w:t>Available abstract (not full text): Problem setting. In modern economic conditions, the key to effective economic development of any country is the development of the production sphere of the national economy. At the same time, its level depends on the penetration of knowledge-intensive, advanced and breakthrough technologies. Most economically developed countries even implement integrated state policies aimed at stimulating and scaling technology transfer processes. Thanks to this, the number of those technologies that are implemented in the sphere of public production increases, and the share of highly competitive products increases significantly. The economic system of Ukraine is no exception to this rule. Thus, since 2006, Ukraine has had a special official document the Law of Ukraine “On State Regulation of Activities in the Field of Technology Transfer”. Its main task is to determine the requirements of how the state (in the form of authorized bodies) will contribute to the scaling process of technology transfer. The course announced by Ukraine for joining the European Union (hereinafter referred to as “the EU”) imposes on it special obligations regarding the unification of regulatory approaches to the identification of technology transfer with EU requirements. The specified situation determines, on the one hand, the relevance of scientific research on this topic, and places on scientists the task of formin</w:t>
      </w:r>
    </w:p>
    <w:p>
      <w:r>
        <w:t>POSSIBLE 2023: Decoding ChatGPT: A taxonomy of existing research, current challenges, and possible future directions — https://doi.org/10.1016/j.jksuci.2023.101675</w:t>
      </w:r>
    </w:p>
    <w:p>
      <w:r>
        <w:t>Shared claim-specific concepts: possible, directions; EU scope not established. This is a provisional connection, not an outcome finding.</w:t>
      </w:r>
    </w:p>
    <w:p>
      <w:r>
        <w:t>Available abstract (not full text): Chat Generative Pre-trained Transformer (ChatGPT) has gained significant interest and attention since its launch in November 2022. It has shown impressive performance in various domains, including passing exams and creative writing. However, challenges and concerns related to biases and trust persist. In this work, we present a comprehensive review of over 100 Scopus-indexed publications on ChatGPT, aiming to provide a taxonomy of ChatGPT research and explore its applications. We critically analyze the existing literature, identifying common approaches employed in the studies. Additionally, we investigate diverse application areas where ChatGPT has found utility, such as healthcare, marketing and financial services, software engineering, academic and scientific writing, research and education, environmental science, and natural language processing. Through examining these applications, we gain valuable insights into the potential of ChatGPT in addressing real-world challenges. We also discuss crucial issues related to ChatGPT, including biases and trustworthiness, emphasizing the need for further research and development in these areas. Furthermore, we identify potential future directions for ChatGPT research, proposing solutions to current challenges and speculating on expected advancements. By fully leveraging the capabilities of ChatGPT, we can unlock its potential across va</w:t>
      </w:r>
    </w:p>
    <w:p>
      <w:r>
        <w:t>POSSIBLE 2023: Directions and risks for the recovery of Ukraine in the context of European integration during the recovery period — https://doi.org/10.24144/2788-6018.2023.03.15</w:t>
      </w:r>
    </w:p>
    <w:p>
      <w:r>
        <w:t>Shared claim-specific concepts: analyzes, possible, directions, terms, adaptation, domestic; EU scope visible. This is a provisional connection, not an outcome finding.</w:t>
      </w:r>
    </w:p>
    <w:p>
      <w:r>
        <w:t>Available abstract (not full text): The work highlights directions for the restoration of Ukraine in the modern and post-war period. The main principles of the country’s recovery plan have been defined and analyzed, including the immediate start and gradual development of building up fair welfare, integration into the EU, restoration and building up of the economy for, the fight against corruption, and the stimulation of private investments. It has been determined that the institutional reforms discussed at the domestic and international level in Ukraine will become prerequisites for economic development, but appropriate measures aimed at the development of international trade and the attraction of direct foreign investment, the creation of a favorable business climate and an inclusive and sustainable financial system will also be required. For example, war risk insurance (similar to what is done by the World Bank-run Multilateral Investment Guarantee Agency (MIGA)) will be necessary to address security concerns that Ukrainian and foreign investors may have. While the process of preparation for the negotiations on Ukraine’s accession to the European Union continues, our country must carry out extensive preparatory work, including in terms of adapting national legislation to the norms of the Union, which, by the way, are also constantly changing, and prevent the occurrence of numerous risks along the way. Of cours</w:t>
      </w:r>
    </w:p>
    <w:p>
      <w:r>
        <w:t>POSSIBLE 2023: Legal Regulation of the Status of Ukrainian Refugees in the European Union: Prospective Directions Concerning Reform — https://doi.org/10.52244/c.2023.11.10</w:t>
      </w:r>
    </w:p>
    <w:p>
      <w:r>
        <w:t>Shared claim-specific concepts: analyzes, possible, directions, adaptation; EU scope visible. This is a provisional connection, not an outcome finding.</w:t>
      </w:r>
    </w:p>
    <w:p>
      <w:r>
        <w:t>Available abstract (not full text): The report is devoted to the important topic of modern migration policy and legal regulation of the status of refugees from Ukraine in the context of European integration. In connection with the complex events on the territory of Ukraine and the rapid increase in the number of Ukrainian refugees, new challenges and opportunities are opening up for their legal status and integration into the countries of the European Union. The report analyzes the current state of legal regulation of the status of Ukrainian refugees in the European Union and identifies the problems faced by these refugees. Next, the article highlights promising directions and possible ways of reforming and improving this legal regulation with the aim of ensuring better protection of the rights and interests of Ukrainian refugees, as well as promoting their effective integration into European society. One of the key directions is to improve procedures for assessing refugee status, reduce administrative barriers to obtaining this status, and establish fast and effective appeal mechanisms. It is also important to consider the possibility of expanding the list of bases on the basis of which refugee status can be granted, taking into account the specific situations faced by Ukrainian refugees. The next important aspect is the support and integration of refugees once they have been granted status. This includes provid</w:t>
      </w:r>
    </w:p>
    <w:p>
      <w:r>
        <w:t>POSSIBLE 2022: Directions of green transformation of the European Union countries — https://doi.org/10.1016/j.ecolind.2022.108601</w:t>
      </w:r>
    </w:p>
    <w:p>
      <w:r>
        <w:t>Shared claim-specific concepts: directions, different, energy; EU scope visible. This is a provisional connection, not an outcome finding.</w:t>
      </w:r>
    </w:p>
    <w:p>
      <w:r>
        <w:t>Available abstract (not full text): Green transformation has become one of the most important directions in the further development of the world. It involves the development of green technologies and the creation of legal regulations enforcing, for example, saving energy or reducing the emissions of greenhouse gases, as well as any other activities aimed at changing society’s attitude towards the acceptance of – frequently more expensive but more environment-friendly – technological solutions and legal norms. Thus green transformation can be defined as combining economic growth with caring about the environment in order to guarantee a high quality of life for present and future generations at the level which is attainable due to civilisational development, as well as to an effective and rational use of the available resources. Still, there is no single globally accepted way to this transformation. It is proceeding in a variety of ways and depends on many different factors. The main purpose of the paper is a comparative analysis of the directions of changes occurring in the process of green transformation in EU countries. The added value of the research presented in the paper and its novelty is the analysis of the current patterns of green transformation in EU countries. The paper concentrated on recognizing them and drawing attention to the unfavourable directions of this transformation as well as to its positive</w:t>
      </w:r>
    </w:p>
    <w:p>
      <w:r>
        <w:t>POSSIBLE 2022: 11.A. Workshop: Leveraging meso-level data to advance population health in Europe: further directions — https://doi.org/10.1093/eurpub/ckac129.687</w:t>
      </w:r>
    </w:p>
    <w:p>
      <w:r>
        <w:t>Shared claim-specific concepts: possible, directions, terms, conditions; EU scope visible. This is a provisional connection, not an outcome finding.</w:t>
      </w:r>
    </w:p>
    <w:p>
      <w:r>
        <w:t>Available abstract (not full text): Abstract Health services and public health researchers provide timely and critical evidence to answer real-world policy questions and work extensively with policymakers at the macro, meso and micro levels of government. One goal shared by researchers and policymakers is to foster evidence-informed policy and program development to ensure that policy initiatives provide the greatest benefit possible to individuals and society. Among other sources of data, meso-level datasets are usually comprising contextual data aggregated at various geographical areas such as cities, counties, and regions. Although meso-level data are sometimes used as proxies for individual level data, they can also be used to explore complex questions at the population level. This workshop aims to provide a unique, interprofessional, European conversation about how to translate meso-level research evidence into meaningful insights or recommendations. It brings together a group of high-level people from academia, think tanks, and companies who are involved in generating, transferring, or using meso-level evidence to inform public health and health care policy in Germany and France. In the first presentation, Schüttig et al. use district-level data from Germany to suggest that increased spending and improved continuity of care may be effective ways to reduce the rate of potentially avoidable hospitalizations a</w:t>
      </w:r>
    </w:p>
    <w:p>
      <w:r>
        <w:t>POSSIBLE 2022: The Conference on the Future of Europe: possible scenarios of the forthcoming European Perestroika — https://doi.org/10.21128/1812-7126-2022-1-14-42</w:t>
      </w:r>
    </w:p>
    <w:p>
      <w:r>
        <w:t>Shared claim-specific concepts: possible, directions, different; EU scope visible. This is a provisional connection, not an outcome finding.</w:t>
      </w:r>
    </w:p>
    <w:p>
      <w:r>
        <w:t>Available abstract (not full text): A Pan-European discussion on the future of Europe was officially initiated by European authorities after Brexit — the shocking decision by the UK to withdraw from the European Union after its referendum of June 23, 2016. This debate covered all the most vital aspects of the European integration project: the nature of European identity, the prospects for integration, democracy deficits, the future of multi-layer constitutionalism, mechanisms of power and the decision-making process, conflicts between European institutions and national governments and elites, and the problem of uneven European leadership. At the core of the debate is the question of the legitimacy of the whole integration project — the eroding support for that idea in society and among elites and experts; the growing divide between Euro-optimist, Euro-pessimist, and Euro-realist trends; and the varying interpretations of an “ever closer union”. These varying directions within the EU establishment demonstrated by this discussion create a pressing need to find some common, compromise solutions between European elites on such questions as the renovation of the European project, the scope of amendments to the foundational treaties, delineation of alternative strategies of reforms, and a choice between different future options and potential outcomes. In some way, this problem-set is similar to that of the Soviet Union</w:t>
      </w:r>
    </w:p>
    <w:p>
      <w:r>
        <w:t>POSSIBLE 2022: Strategies of European Energy Producers: Directions of Evolution — https://doi.org/10.3390/en15020609</w:t>
      </w:r>
    </w:p>
    <w:p>
      <w:r>
        <w:t>Shared claim-specific concepts: directions, sector, energy, climate; EU scope visible. This is a provisional connection, not an outcome finding.</w:t>
      </w:r>
    </w:p>
    <w:p>
      <w:r>
        <w:t>Available abstract (not full text): The article presents an innovative method of analyzing energy companies’ strategies, which aims to identify the strategic orientation of the entities subject to the research and, thus, to initially define the directions of strategic changes in the analyzed sector. The aim of the research, the results of which were used in this publication, was to identify the features of energy sector companies’ strategies in the European Union in the period of sector transformation caused by the new climate policy. The analysis area is the energy sector, i.e., the sector whose fundamental strategic goal is energy production. The research used a critical analysis of the subject literature and desk research method with the use of the researchers’ own analytical equipment, developed for the needs of this analysis. It was assumed in the conducted research that the primary source of information in the empirical study, the information subject to subsequent analysis, was the analysis of official documents (strategies, financial reports, etc.) posted on the websites of the surveyed corporations. The research results indicate the dominance of the resource-based approach in implementing strategic postulates of the surveyed companies. Nevertheless, the operational activity focuses on the implementation of innovative solutions towards decarbonization and climate neutrality.</w:t>
      </w:r>
    </w:p>
    <w:p>
      <w:r>
        <w:t>POSSIBLE 2022: Short Food Supply Chains in Europe: Scientific Research Directions — https://doi.org/10.3390/su14063602</w:t>
      </w:r>
    </w:p>
    <w:p>
      <w:r>
        <w:t>Shared claim-specific concepts: directions, sector, performed; EU scope visible. This is a provisional connection, not an outcome finding.</w:t>
      </w:r>
    </w:p>
    <w:p>
      <w:r>
        <w:t>Available abstract (not full text): In the food sector, new configurations of supply chains, as opposed to global conventional ones, are drawing the attention of researchers and institutions all over the world. These are presented as a panacea for the recovery of rural economies and, in general, of food system sustainability. In this context the short food supply chains (SFSCs) become relevant, as happens in Europe, where strategies and regulations designed on their implementation were adopted. Recognising that scientific research always plays an important role in guiding institutions’ choices in many fields, it seems important to focus on how SFSCs are considered in the European academic panorama. Therefore, this contribution presents a study performed on a sample of 108 papers published in journals during the last decade. The findings concerning the investigated issues and the approaches to analysing SFSC development and effects are reported from both the producer and consumer perspective. The review strongly emphasizes the factors affecting participation in SFSCs. Moreover, it highlights that the positive perception of SFSC sustainability is not based on scientific evidence. The analysis outlines current research directions and identifies challenges that are still open in order to offer researchers food for thought with a view to developing further future insights.</w:t>
      </w:r>
    </w:p>
    <w:p>
      <w:r>
        <w:t>POSSIBLE 2022: CURRENT STATE AND DIRECTIONS OF INTEGRATION OF UKRAINE’S PENSION SYSTEM INTO THE EUROPEAN AND WORLD PENSION SYSTEM — https://doi.org/10.30525/978-9934-26-193-0-6</w:t>
      </w:r>
    </w:p>
    <w:p>
      <w:r>
        <w:t>Shared claim-specific concepts: possible, directions, conditions; EU scope visible. This is a provisional connection, not an outcome finding.</w:t>
      </w:r>
    </w:p>
    <w:p>
      <w:r>
        <w:t xml:space="preserve">Available abstract (not full text): In Ukraine, the problem of building an effective system of social protection that can respond quickly to modern economic processes, provide citizens with a decent life, guarantee pensions and other social benefits at the level of market realities and state social standards remains one of the important objectives of public policy. The subject of the study is the pension insurance system in Ukraine, the activities of insurance companies in the pension system. The aim of the research is to study the theoretical foundations and practical aspects of pension insurance, the functioning of the Pension Fund of Ukraine and private pension funds, the formation and use of their funds and justify possible ways to improve the pension insurance system in Ukraine. to international standards. In accordance with the set goal, the following tasks were identified: to characterize the theoretical foundations of the functioning and development of pension insurance in Ukraine; to study the experience of reforming the pension systems of foreign countries, to analyze the current state of the pension system in Ukraine; to characterize the problems of development of non-state pension insurance and to develop measures to intensify pension insurance programs taking into account international experience; to determine the directions of integration of the pension system of Ukraine into the European and world </w:t>
      </w:r>
    </w:p>
    <w:p>
      <w:r>
        <w:t>POSSIBLE 2021: New Energy Policy Directions in the European Union Developing the Concept of Smart Cities — https://doi.org/10.3390/smartcities4010015</w:t>
      </w:r>
    </w:p>
    <w:p>
      <w:r>
        <w:t>Shared claim-specific concepts: directions, different, technology, energy, conditions, climate; EU scope visible. This is a provisional connection, not an outcome finding.</w:t>
      </w:r>
    </w:p>
    <w:p>
      <w:r>
        <w:t>Available abstract (not full text): In the context of the European Union promoting clean energy, sustainability and better living conditions for its citizens, the development of smarts cities is an initiative supported at the European Union level, in line with the new energy policies of the European Union promoted by the package “Clean Energy for All Europeans”. The concept of smart cities gains increasing importance in the European Union, a fact that is reflected in the project “European Innovation Partnership on Smart Cities and Communities” of the European Commission. Smart cities are a practical example of how the new energy policies shape the lives of the European Union citizens, trying to improve it. As a consequence, new business models arise in big cities, involving the use of technology for better living conditions. These new, technology-based business models are important, as they improve the life quality of the inhabitants, they reduce the climate change impact, and they contribute as well to job creation in the IT-industry, promoting innovation. They have as well a social impact, as they bring experts from energy policies, business, economics, legal and IT together in order to project a new type of city—the smart city. The research hypothesis of the present article is that there is a high acceptance towards the concept of smart cities at the European Union level and that this concept could be implemen</w:t>
      </w:r>
    </w:p>
    <w:p>
      <w:r>
        <w:t>POSSIBLE 2020: Analyzing Similarities between the European Union Countries in Terms of the Structure and Volume of Energy Production from Renewable Energy Sources — https://doi.org/10.3390/en13040913</w:t>
      </w:r>
    </w:p>
    <w:p>
      <w:r>
        <w:t>Shared claim-specific concepts: possible, directions, sector, terms, energy, domestic; EU scope visible. This is a provisional connection, not an outcome finding.</w:t>
      </w:r>
    </w:p>
    <w:p>
      <w:r>
        <w:t xml:space="preserve">Available abstract (not full text): The European Union (EU) countries, as one of the most economically developed regions in the world, are taking increasingly decisive actions to reduce the emission of harmful substances into the natural environment. This can be exemplified by a new climate strategy referred to as “The European Green Deal”. Its basic assumption is that the EU countries will have achieved climate neutrality by 2050. To do so, it is necessary to make an energy transition involving the widest possible use of renewable energy sources (RES) for energy production. However, activities in this area should be preceded by analyses due to the large diversity of the EU countries in terms of economic development, the number of inhabitants and their wealth as well as geographical location and area. The results of such analyses should support the implementation of adopted strategies. In order to assess the current state of the energy sector in the EU and indicate future directions of activities, research was carried out to analyze the structure and volume of energy production from RES in the EU countries. The aim of the study was to divide the EU countries into similar groups by the structure and volume of energy production from RES. This production was compared with the number of inhabitants of each EU country, its area and the value of Gross Domestic Product (GDP). This approach allows a new and broader view </w:t>
      </w:r>
    </w:p>
    <w:p>
      <w:pPr>
        <w:pStyle w:val="Heading2"/>
      </w:pPr>
      <w:r>
        <w:t>Scenario planning as communicative action: Lessons from participatory exercises conducted for the Scottish livestock industry</w:t>
      </w:r>
    </w:p>
    <w:p>
      <w:r>
        <w:t>Original source (2016): https://doi.org/10.1016/j.techfore.2016.07.034</w:t>
      </w:r>
    </w:p>
    <w:p>
      <w:r>
        <w:t>Original wording (abstract; indexed_source_text_not_full_document_verified): The paper considers the extent to which the case study approximates the conditions for ‘ideal speech situations’ and how these conditions could be applied more widely in participatory scenario planning. The authors explore the rationale for participatory scenario planning within the science–policy interface with critical reference to the corporate context in which scenario planning has evolved.</w:t>
      </w:r>
    </w:p>
    <w:p>
      <w:r>
        <w:t>POSSIBLE 2026: Modelling the frequency and extent of waterlogging: a case study — https://doi.org/10.36334/modsim2025.j10.beverly</w:t>
      </w:r>
    </w:p>
    <w:p>
      <w:r>
        <w:t>Shared claim-specific concepts: extent, case, conditions, applied, within; EU scope not established. This is a provisional connection, not an outcome finding.</w:t>
      </w:r>
    </w:p>
    <w:p>
      <w:r>
        <w:t>Available abstract (not full text): Waterlogging in soils due to the formation of perched water tables is a significant issue within the Australian landscape, resulting in annual crop losses of $300M.The ability to predict the timing and extent of waterlogging enables the formulation of adaptation and mitigation strategies, including land forming, surface and sub-soil drainage, soil management, crop selection and management, genetic breeding and combinations thereof for enhanced waterlogging tolerance.Assessing these options to increase agricultural production under varying agroclimatic conditions requires the creation and application of a spatiotemporal modelling framework that accounts for the complex interactions between landscape hydrology, soil properties and plant dynamics.To assess the frequency and duration of waterlogging, a pseudo three-dimensional modelling framework was developed that accounts for landscape position and hydrological connectivity whereby upslope management units connect to adjacent downslope units.The novel aspect of the framework is the integration of farming system models that simulate daily soil-water-crop interactions with a hydrologically connected surface element network, enabling application across varying scales, from farm to sub-catchment to basin.The current study aimed to evaluate the impact of landscape position on the establishment of perched water tables and the influence</w:t>
      </w:r>
    </w:p>
    <w:p>
      <w:r>
        <w:t>POSSIBLE 2024: Extent of Corporate Sustainability Adoption in the Hospitality Industry: A Case Study of Tourist Hotels in Sri Lanka — https://doi.org/10.47772/ijriss.2024.809007</w:t>
      </w:r>
    </w:p>
    <w:p>
      <w:r>
        <w:t>Shared claim-specific concepts: considers, extent, case, corporate; EU scope not established. This is a provisional connection, not an outcome finding.</w:t>
      </w:r>
    </w:p>
    <w:p>
      <w:r>
        <w:t>Available abstract (not full text): The hospitality industry, particularly in emerging tourism destinations, faces increasing pressure to adopt sustainable practices that align with global environmental and social standards. This study investigate the existing level of corporate sustainability adoption by tourist hotels in Sri Lanka. Through a case study approach, the research investigates the extent to which these hotels have integrated sustainable practices into their operations, including economic, socio-cultural and environmental practices. Quantitative method was employed as the research method and questionnaire survey method has been utilized to collect the required data. 247 questionnaires were distributed among the registered tourist hotels &amp; a representative of the top management was invited to fill the questionnaire from each hotel. 213 questionnaires received and 207 completed questionnaires were used for data analysis and the mean ranking technique was employed by using the SPSS software. The findings revealed a significant emphasis on environmental sustainability initiatives by these tourist hotels. This prioritization aligns with broader trends observed in developing nations, where businesses tend to focus more on environmental aspects than on socio-cultural and economic dimensions. The dominance of environmental practices in the sustainability efforts of Sri Lanka’s tourist hotels underscores the s</w:t>
      </w:r>
    </w:p>
    <w:p>
      <w:r>
        <w:t>POSSIBLE 2023: 7. Using cases — https://doi.org/10.1093/he/9780192873088.003.0007</w:t>
      </w:r>
    </w:p>
    <w:p>
      <w:r>
        <w:t>Shared claim-specific concepts: considers, extent, case; EU scope visible. This is a provisional connection, not an outcome finding.</w:t>
      </w:r>
    </w:p>
    <w:p>
      <w:r>
        <w:t>Available abstract (not full text): This chapter explains how to use cases. It first looks at the ‘anatomy’ of a law report, before considering how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r>
        <w:t>POSSIBLE 2022: Health Inequalities: To What Extent are Decision-Makers and Economic Evaluations on the Same Page? An English Case Study — https://doi.org/10.1007/s40258-022-00739-8</w:t>
      </w:r>
    </w:p>
    <w:p>
      <w:r>
        <w:t>Shared claim-specific concepts: extent, case, explore, within, evolved; EU scope not established. This is a provisional connection, not an outcome finding.</w:t>
      </w:r>
    </w:p>
    <w:p>
      <w:r>
        <w:t>Available abstract (not full text): Economic evaluations have increasingly sought to understand how funding decisions within care sectors impact health inequalities. However, there is a disconnect between the methods used by researchers (e.g., within universities) and analysts (e.g., within publicly funded commissioning agencies), compared to evidence needs of decision makers in regard to how health inequalities are accounted for and presented. Our objective is to explore how health inequality is defined and quantified in different contexts. We focus on how specific approaches have developed, what similarities and differences have emerged, and consider how disconnects can be bridged. We explore existing methodological research regarding the incorporation of inequality considerations into economic evaluation in order to understand current best practice. In parallel, we explore how localised decision makers incorporate inequality considerations into their commissioning processes. We use the English care setting as a case study, from which we make inference as how local commissioning has evolved internationally. We summarise the recent development of distributional cost-effectiveness analysis in the economic evaluation literature: a method that makes explicit the trade-off between efficiency and equity. In the parallel decision-making setting, while the alleviation of health inequality is regularly the focus of remi</w:t>
      </w:r>
    </w:p>
    <w:p>
      <w:r>
        <w:t>POSSIBLE 2022: Determinants of the extent and quality of corporate social responsibility disclosure in the industrial and services sectors: the case of Jordan — https://doi.org/10.1108/jfra-05-2021-0133</w:t>
      </w:r>
    </w:p>
    <w:p>
      <w:r>
        <w:t>Shared claim-specific concepts: extent, case, authors, corporate; EU scope not established. This is a provisional connection, not an outcome finding.</w:t>
      </w:r>
    </w:p>
    <w:p>
      <w:r>
        <w:t>Available abstract (not full text): Purpose This study aims to investigate the determinants of the extent and quality of corporate social responsibility disclosure (CSRD) in Jordan. The study examines a number of factors that influence the extent and quality of CSR disclosure, such as corporate characteristics, corporate governance and ownership structure. Design/methodology/approach A quantitative approach and a content analysis technique is used to measure the extent and quality of CSRD from annual reports. The sample is drawn from the annual reports of 118 Jordanian companies between 2010 and 2015. A CSRD index is constructed, which includes the disclosures of the following categories: environmental, human resources, product and consumers, and community involvement. This is the first study that presents a new measurement for CSR disclosure quality by using images and charts in a seven-point scale measurement. Findings The result reveals that the extent of CSRD is higher than quality in Jordan. Regarding the determinants of CSR disclosures, the following factors were found to have a significant relationship with both the extent and quality of CSRD: board size, non-executive directors, age of firm, foreign members on the board, number of boards meetings, the presence of audit committees, big 4, government ownership, size of firm and industry type. Non-executive directors was found to have a significant correlati</w:t>
      </w:r>
    </w:p>
    <w:p>
      <w:r>
        <w:t>POSSIBLE 2022: Assessing annual thermal comfort extent in central courtyards: Baghdad as a case study — https://doi.org/10.1108/sasbe-09-2021-0154</w:t>
      </w:r>
    </w:p>
    <w:p>
      <w:r>
        <w:t>Shared claim-specific concepts: extent, case, conditions; EU scope not established. This is a provisional connection, not an outcome finding.</w:t>
      </w:r>
    </w:p>
    <w:p>
      <w:r>
        <w:t>Available abstract (not full text): Purpose Traditional central courtyards have been advocated for being thermally efficient for hot-climate regions. However, exploring previous literature shows that it is not clear to what extent courtyards are truly thermally comfortable. This study determines the level of thermal comfort in residential courtyards in hot-climate regions, taking Baghdad as a case study. Design/methodology/approach This study develops a novel Courtyard Thermal Usability Index (CTUI) to quantify the ability of courtyards to provide thermal comfort to occupants. CTUI is the fraction of useable thermally comfortable hours in courtyards of the total occupation hours during a specific period. To operationalise CTUI, the research employs the Envi-met 4.2 simulation tool to determine the annual thermal conditions of 360 courtyards. An adaptive thermal comfort model developed by Al-Hafith in 2020 for Iraq is used to judge simulated thermal conditions and determine CTUI. Findings CTUI enables determining the level of thermal comfort courtyards offer to occupants by showing the ratio of the thermally comfortable period versus the occupation period. Results show that, in Iraq, annually, courtyards offer up to 38% comfortable hours out of the total potential occupation hours. The rest of the time the courtyard will not be comfortable, mostly due to overheating. When designing courtyards, the most effective g</w:t>
      </w:r>
    </w:p>
    <w:p>
      <w:r>
        <w:t>POSSIBLE 2021: Pathways to Sexual Assault Case Attrition: Culture, Context, and Case Clearance — https://doi.org/10.1080/15564886.2021.1970661</w:t>
      </w:r>
    </w:p>
    <w:p>
      <w:r>
        <w:t>Shared claim-specific concepts: considers, extent, case, context; EU scope not established. This is a provisional connection, not an outcome finding.</w:t>
      </w:r>
    </w:p>
    <w:p>
      <w:r>
        <w:t>Available abstract (not full text): Sexual assault case attrition research has been consistent in documenting that sexual assault complaints fall out of the system at disturbing rates. In this article, we describe a pathway to attrition where managerial concerns incentivize case processing outcomes that remove cases early in the system and scaffolds a decision-making context where rape myth adherence provides sustained rationalizations for closing cases. Using data on sexual assault incidents reported to the police, we present a quantitative analysis that investigates such a pathway to attrition that considers how police and prosecutors work together at the pre-arrest stage and the extent to which this practice facilitates the use of exceptional clearance police classification to close sexual assault investigations.</w:t>
      </w:r>
    </w:p>
    <w:p>
      <w:r>
        <w:t>POSSIBLE 2019: 7. Using cases — https://doi.org/10.1093/he/9780198831273.003.0007</w:t>
      </w:r>
    </w:p>
    <w:p>
      <w:r>
        <w:t>Shared claim-specific concepts: considers, extent, case; EU scope visible. This is a provisional connection, not an outcome finding.</w:t>
      </w:r>
    </w:p>
    <w:p>
      <w:r>
        <w:t>Available abstract (not full text): This chapter explains how to use cases. It first looks at the ‘anatomy’ of a law report, before considering the means by which the key legal principles can be extracted from the case. Once the legal principles are known it considers the extent to which those principles are binding on other courts via the doctrine of judicial precedent. Finally, it examines the impact of both the Human Rights Act 1998 and EU law on the operation of precedent.</w:t>
      </w:r>
    </w:p>
    <w:p>
      <w:r>
        <w:t>POSSIBLE 2018: An extent analysis of 3PL provider selection criteria: A case on Turkey cement sector — https://doi.org/10.1080/23311975.2018.1469183</w:t>
      </w:r>
    </w:p>
    <w:p>
      <w:r>
        <w:t>Shared claim-specific concepts: considers, extent, case; EU scope not established. This is a provisional connection, not an outcome finding.</w:t>
      </w:r>
    </w:p>
    <w:p>
      <w:r>
        <w:t>Available abstract (not full text): Outsourcing has become an increasingly popular means for businesses to improve their efficiency. Logistics outsourcing can be described as transferring some of the logistics functions to an external firm. This paper aims to identify the selection criteria that are used by logistics service providers in Turkey’s cement sector in choosing the third-party service provider. By drawing focus on Chang’s Extent Analysis on Fuzzy Analytical Hierarchy Process (FAHP), the present paper evaluates cost, service/operation quality, competencies, general attributes of firms and relational factors as the main criteria, and considers explanatory 29 sub-criteria. In doing so, a questionnaire that was prepared in the pairwise comparison model was used as a large sample to collect data from a total of 25 experts working in 14 cement companies. As a result, the analysis identifies service/operation quality as the most important one among the main criteria, and determines the service price as the most preferred criterion among the sub-criteria. The study and results both provides particular insight into a specific sector as it is based on the data collected from a large number of experts in one sector, and offers an opportunity for other sectors from the same point of view.</w:t>
      </w:r>
    </w:p>
    <w:p>
      <w:r>
        <w:t>POSSIBLE 2018: The Nature of Theology and the Extent of the Atonement — https://doi.org/10.2478/perc-2018-0020</w:t>
      </w:r>
    </w:p>
    <w:p>
      <w:r>
        <w:t>Shared claim-specific concepts: considers, extent, case, explore, reference, context; EU scope not established. This is a provisional connection, not an outcome finding.</w:t>
      </w:r>
    </w:p>
    <w:p>
      <w:r>
        <w:t>Available abstract (not full text): Abstract This article considers the post-Reformation debates over the extent of the Atonement. It traces the origins of these debates from the articles of the Arminian Remonstrance of 1610 through the declarations of the supporters of the Synod of Dort in 1618-19. The debate is then considered in relation to an English Baptist context, and specifically the exegetical dispute over the meaning of the word ‘all’ in 2 Corinthians 5:14-15 and Romans 3:23-4. Three options are examined and the various difficulties in arbitrating between these various interpretations. Recognising these difficulties, the article goes on to explore the relationship between scriptural exegesis and theology with reference to the formulation of the ecumenical doctrine of the Trinity in the fourth century. It argues that while theology should always attempt to be consistent with the exegetical data on occasion it proves inconclusive, as in the case of the debate over the extent of the atonement. In such cases the role of theology becomes one of mediation as it seeks a way of reading the texts of Scripture that allows them to be heard without contradicting each other. Again, this is illustrated from the fourth century and the Christology of Basil of Caesarea and Gregory of Nyssa. Returning to the question of atonement with this understanding of the task of theology the article seeks to propose a way to reconc</w:t>
      </w:r>
    </w:p>
    <w:p>
      <w:r>
        <w:t>POSSIBLE 2017: The Extent and Implications of the Microclimatic Conditions in the Urban Environment: A Vienna Case Study — https://doi.org/10.3390/su9020177</w:t>
      </w:r>
    </w:p>
    <w:p>
      <w:r>
        <w:t>Shared claim-specific concepts: extent, case, conditions; EU scope visible. This is a provisional connection, not an outcome finding.</w:t>
      </w:r>
    </w:p>
    <w:p>
      <w:r>
        <w:t>Available abstract (not full text): Recent challenges in the realm of urban studies concern better understanding of microclimatic conditions. Changes in urban climate affect cities at local and global scales, with consequences for human health, thermal comfort, building energy use, and anthropogenic emissions. The extent of these impacts may vary due to different morphologies and materials of the built environment. The present contribution summarizes the results of a multi-year effort concerned with the extent and implications of urban heat in Vienna, Austria. For this purpose, high-resolution weather data across six locations are obtained and analyzed. This allowed for an objective assessment of urban-level climatic circumstances across distinct low-density and high-density typologies. Subsequently, a systematic framework was developed for identification of essential properties of the built environment (geometric and material-related) that are hypothesized to influence microclimate variation. Results point to a number of related (positive and negative) correlations with microclimatic tendencies. Additionally, the impact of this location-specific weather data on building performance simulation results is evaluated. The results suggest that buildings' thermal performance is significantly influenced by location-specific microclimatic conditions with variation of mean annual heating load across locations of up to 16</w:t>
      </w:r>
    </w:p>
    <w:p>
      <w:r>
        <w:t>POSSIBLE 2017: The extent of female unpaid work in India: A case of rural agricultural households — https://doi.org/10.18356/5e29aba4-en</w:t>
      </w:r>
    </w:p>
    <w:p>
      <w:r>
        <w:t>Shared claim-specific concepts: considers, extent, case, context; EU scope not established. This is a provisional connection, not an outcome finding.</w:t>
      </w:r>
    </w:p>
    <w:p>
      <w:r>
        <w:t>Available abstract (not full text): This study analyses the extent and nature of female unpaid work in the context of rural households in India. In particular, the study looks at the relationship between land ownership and the extent of domestic duties performed by females, adjusted by family size, in rural agricultural households. Further, the study considers the role of socioeconomic and socio-religious class and the engagement of women in domestic duties. The study uses the Indian National Sample Survey quinquennial round of employment and unemployment survey data for the period 2011-2012. To find out the relationship between various land ownership modalities and domestic duties performed by females, the study makes use of the fractional logit regression model. The empirical result suggests that there is a greater probability of more women workers getting involved in unpaid work as the land-ownership size of the household increases. Further, it is seen that the probability that females engaged in unpaid work is greater for those in casual agricultural households with large land cultivated than for those who are in self-employed households. The study finds that the proportion of rural women engaged in domestic duties is 34 per cent, and the majority of them want to work either on a regular or part-time basis (74 per cent) as well as be able to attend to domestic duties. These results suggest that more effective</w:t>
      </w:r>
    </w:p>
    <w:p>
      <w:pPr>
        <w:pStyle w:val="Heading2"/>
      </w:pPr>
      <w:r>
        <w:t>Secular stagnation – are we stuck in Summers' long winter?</w:t>
      </w:r>
    </w:p>
    <w:p>
      <w:r>
        <w:t>Original source (2016): https://doi.org/10.1111/1468-0319.12197</w:t>
      </w:r>
    </w:p>
    <w:p>
      <w:r>
        <w:t>Original wording (abstract; indexed_source_text_not_full_document_verified): Growth could be stronger were it not for the sizeable drag from fiscal consolidation over the next four years and the dampening effect that this will have on activity. Usually this would drive a period of strong economic growth, but we expect GDP growth to average a relatively underwhelming 2.4% a year over this period, largely due to the drag from aggressive fiscal consolidation.</w:t>
      </w:r>
    </w:p>
    <w:p>
      <w:r>
        <w:t>POSSIBLE 2026: Sensselo Male Enhancement Device | Safe Size Growth &amp; Stronger Erections — https://doi.org/10.5281/zenodo.18785338</w:t>
      </w:r>
    </w:p>
    <w:p>
      <w:r>
        <w:t>Shared claim-specific concepts: stronger, over; EU scope not established. This is a provisional connection, not an outcome finding.</w:t>
      </w:r>
    </w:p>
    <w:p>
      <w:r>
        <w:t>Available abstract (not full text): When it comes to male confidence, performance and satisfaction matter. Many men today are searching for safe, effective, and reliable solutions to enhance their size and improve stamina. Sensselo is designed to meet that demand with cutting-edge engineering, premium medical-grade materials, and innovative vacuum seal technology that supports natural enlargement and longer-lasting erections. If you’re looking for a trusted male enhancement solution that delivers visible results and lasting performance, Sensselo is quickly becoming a top choice. 🛒Buy Sensselo Now and Transform Your Performance Today 🔥 What Is Sensselo? Sensselo is a premium male enhancement device engineered to help increase size by up to 2x while promoting stronger, firmer, and longer-lasting erections. Unlike risky supplements or invasive procedures, Sensselo uses a controlled vacuum seal system to naturally stimulate blood flow and expansion. The result? Improved girth, enhanced length, and greater confidence in the bedroom — all without harmful chemicals or unsafe methods. How Sensselo Works At the core of Sensselo is its innovative vacuum seal technology. This system creates a secure, controlled suction environment that encourages increased blood circulation to the penile tissues. Here’s how it benefits you: Encourages natural tissue expansion Promotes stronger blood flow Supports firmer, longer-lasting erec</w:t>
      </w:r>
    </w:p>
    <w:p>
      <w:r>
        <w:t>POSSIBLE 2025: Survivorship therapy needs after radiotherapy for head and neck cancer: surveying opportunities for growth (STRONG) — https://doi.org/10.1007/s00520-025-09429-2</w:t>
      </w:r>
    </w:p>
    <w:p>
      <w:r>
        <w:t>Shared claim-specific concepts: not, strong; EU scope not established. This is a provisional connection, not an outcome finding.</w:t>
      </w:r>
    </w:p>
    <w:p>
      <w:r>
        <w:t>Available abstract (not full text): INTRODUCTION: Patients with head and neck squamous cell carcinoma (HNSCC) are at risk for long-term side effects and require thorough survivorship care following completion of radiation therapy (RT). We aimed to identify survivorship interest and needs following RT. METHODS: Patients with HNSCC who completed RT from Jan 2013 to April 2023 completed questions based on the five-domain Cancer Survivorship Framework (physical effects, psychosocial effects, cancer screening, chronic conditions, health promotion) and the Consolidated Framework for Implementation Research (interest, knowledge, barriers). RESULTS: Of 1,123 patients, 317 participated (response rate 28%). Patients were 64% (n = 203) male with a mean age of 64 years (SD 12), with 66% (n = 209) finishing treatment &gt; 2-years prior. 36% (n = 115) were interested in, 34% (n = 108) prioritized, and 28% (n = 88) had information related to survivorship. For survivorship domains, within physical effects, dry mouth (40%, n = 126) and trouble swallowing (24%, n = 75) were most bothersome. For psychosocial, 15% (n = 46) reported current depression (mean PHQ2 score ≥ 3) and 71% (n = 226) felt mental health needs were not addressed during treatment. Forty-two percent felt that diet, exercise, and smoking were not addressed (n = 134). Seventy-six percent (n = 240) understood the importance of cancer screening. Most patients wished to a</w:t>
      </w:r>
    </w:p>
    <w:p>
      <w:r>
        <w:t>POSSIBLE 2023: Morocco’s Quest for Stronger and Inclusive Growth — https://doi.org/10.5089/9798400225406.071</w:t>
      </w:r>
    </w:p>
    <w:p>
      <w:r>
        <w:t>Shared claim-specific concepts: stronger, not, but; EU scope not established. This is a provisional connection, not an outcome finding.</w:t>
      </w:r>
    </w:p>
    <w:p>
      <w:r>
        <w:t>Available abstract (not full text): Throughout the past two decades, Morocco has faced several external and domestic shocks, including large swings in international oil prices, regional geopolitical tensions, severe droughts, and most recently the impact of the pandemic and the economic fallout from Russia’s invasion of Ukraine. Despite rough waters, the government stayed the course and remained focused not only on immediate stability, but also on the long-term needs of the Moroccan economy. This involved the adoption of a series of difficult measures, like the elimination of energy subsidies, and a strategy aimed at improving the country’s infrastructure, diversifying the production and export bases by attracting foreign investment, and modernizing the governance structure of the public administration. The road to higher and more inclusive growth, however, remains steep. Despite gains in poverty reduction, literacy and lifespans, Morocco economy continues to face a high share of inactive youth, large gaps in economic opportunities for women, a fragmented social protection system, and remaining barriers to private sector development. An ambitious reform agenda is needed to better meet the aspirations of Moroccans, by making economic growth stronger, more resilient and more inclusive, particularly to provide greater opportunities for young, women, and entrepreneurs. Morocco appears well positioned to address these</w:t>
      </w:r>
    </w:p>
    <w:p>
      <w:r>
        <w:t>POSSIBLE 2023: Strong Inhibition of Ice Growth by Biomimetic Crowding Coacervates — https://doi.org/10.1002/anie.202311047</w:t>
      </w:r>
    </w:p>
    <w:p>
      <w:r>
        <w:t>Shared claim-specific concepts: not, activity, strong, but; EU scope not established. This is a provisional connection, not an outcome finding.</w:t>
      </w:r>
    </w:p>
    <w:p>
      <w:r>
        <w:t>Available abstract (not full text): The freezing of biological fluids is intensively studied but remains elusive as it is affected not only by the various components but also by the crowding nature of the biological fluids. Herein, we constructed spherical crowders, fibrous crowders, and coacervates by various components ranging from surfactants to polymers and proteins, to mimic three typical crowders in biological fluids, i.e., globular proteins, fibrous networks, and condensates of biomolecules. It is elucidated that the three crowders exhibit low, moderate, and strong ice growth inhibition activity, respectively, resulting from their different abilities in slowing down water dynamics. Intriguingly, the coacervate consisting of molecules without obvious ice growth inhibition activity strongly inhibits ice growth, which is firstly employed as a highly-potent cryoprotectant. This work provides new insights into the survival of freezing-tolerant organisms and opens an avenue for the design of ice-controlling materials.</w:t>
      </w:r>
    </w:p>
    <w:p>
      <w:r>
        <w:t>POSSIBLE 2020: Peatland warming strongly increases fine-root growth — https://doi.org/10.1073/pnas.2003361117</w:t>
      </w:r>
    </w:p>
    <w:p>
      <w:r>
        <w:t>Shared claim-specific concepts: stronger, but; EU scope not established. This is a provisional connection, not an outcome finding.</w:t>
      </w:r>
    </w:p>
    <w:p>
      <w:r>
        <w:t>Available abstract (not full text): Significance Peatlands store up to two-thirds of the world’s soil carbon, but this carbon may be released under warmer conditions, creating an important climate feedback. The belowground warming response of peatlands is particularly uncertain even though factors such as plant root growth regulate ecosystem water, carbon, and nutrient cycles. We studied how peatland fine roots respond to warming in a whole-ecosystem experiment. Fine-root growth increased dramatically, +130% for a degree of warming, primarily driven by soil drying. This warming response is 20 times stronger than in other ecosystem experiments, highlighting peatland vulnerability to warming. Our study elucidates large and rapid belowground changes that will affect peatlands of a warmer world and their ability to store carbon into the future.</w:t>
      </w:r>
    </w:p>
    <w:p>
      <w:r>
        <w:t>POSSIBLE 2020: Strong Social Distancing Measures In The United States Reduced The COVID-19 Growth Rate — https://doi.org/10.1377/hlthaff.2020.00608</w:t>
      </w:r>
    </w:p>
    <w:p>
      <w:r>
        <w:t>Shared claim-specific concepts: over, four, activity, strong; EU scope not established. This is a provisional connection, not an outcome finding.</w:t>
      </w:r>
    </w:p>
    <w:p>
      <w:r>
        <w:t>Available abstract (not full text): State and local governments imposed social distancing measures in March and April 2020 to contain the spread of the novel coronavirus disease (COVID-19). These measures included bans on large social gatherings; school closures; closures of entertainment venues, gyms, bars, and restaurant dining areas; and shelter-in-place orders. We evaluated the impact of these measures on the growth rate of confirmed COVID-19 cases across US counties between March 1, 2020, and April 27, 2020. An event study design allowed each policy's impact on COVID-19 case growth to evolve over time. Adoption of government-imposed social distancing measures reduced the daily growth rate of confirmed COVID-19 cases by 5.4 percentage points after one to five days, 6.8 percentage points after six to ten days, 8.2 percentage points after eleven to fifteen days, and 9.1 percentage points after sixteen to twenty days. Holding the amount of voluntary social distancing constant, these results imply that there would have been ten times greater spread of COVID-19 by April 27 without shelter-in-place orders (ten million cases) and more than thirty-five times greater spread without any of the four measures (thirty-five million cases). Our article illustrates the potential danger of exponential spread in the absence of interventions, providing information relevant to strategies for restarting economic activity.</w:t>
      </w:r>
    </w:p>
    <w:p>
      <w:r>
        <w:t>POSSIBLE 2018: Moderate Growth with a Stronger Industrial Sector — https://openalex.org/W2811409944</w:t>
      </w:r>
    </w:p>
    <w:p>
      <w:r>
        <w:t>Shared claim-specific concepts: stronger, not, period, but; EU scope not established. This is a provisional connection, not an outcome finding.</w:t>
      </w:r>
    </w:p>
    <w:p>
      <w:r>
        <w:t>Available abstract (not full text): Nebraska will record solid economic growth during the forecast period but will lag U.S. growth. While Nebraska’s large farming sector has stabilized, it will not contribute much to economic growth during the forecast period. Job growth also will be sluggish in transportation, retail trade and state and local government. Job growth, however, will be stronger in the services, finance, manufacturing and construction. Projected growth rates for 2018 to 2020 are presented in Table 1. Employment will grow by 0.8% to 1.0% per year, below the national rate. Non-farm income will grow between 3.6% and 3.8% each year. This growth is sufficient to exceed inflation and population growth, implying growth in real per capita income in Nebraska from 2018 through 2020.</w:t>
      </w:r>
    </w:p>
    <w:p>
      <w:pPr>
        <w:pStyle w:val="Heading2"/>
      </w:pPr>
      <w:r>
        <w:t>Shaping the ‘Energy Union': between national positions and governance innovation in EU energy and climate policy</w:t>
      </w:r>
    </w:p>
    <w:p>
      <w:r>
        <w:t>Original source (2016): https://doi.org/10.1080/14693062.2015.1135100</w:t>
      </w:r>
    </w:p>
    <w:p>
      <w:r>
        <w:t>Original wording (abstract; indexed_source_text_not_full_document_verified): We sketch two possible scenarios for the future of EU energy policy, as suggested by the intergovernmentalist and supranationalist approaches and emphasize the potential impact of the governance mechanism of the Energy Union, which could reach far beyond what is expected and provide welcome coherence in Europe's energy and climate policy.Policy relevanceThe article structures the policy debate on the Energy Union, discussing the different elements and instruments proposed by key EU actors and provides a useful overview of national interests of some important players, set in the context of their wider systemic conditions and policy goals.</w:t>
      </w:r>
    </w:p>
    <w:p>
      <w:r>
        <w:t>POSSIBLE 2022: Facial-sketch Synthesis: A New Challenge — https://doi.org/10.1007/s11633-022-1349-9</w:t>
      </w:r>
    </w:p>
    <w:p>
      <w:r>
        <w:t>Shared claim-specific concepts: sketch, two, approaches; EU scope not established. This is a provisional connection, not an outcome finding.</w:t>
      </w:r>
    </w:p>
    <w:p>
      <w:r>
        <w:t>Available abstract (not full text): Abstract This paper aims to conduct a comprehensive study on facial-sketch synthesis (FSS). However, due to the high cost of obtaining hand-drawn sketch datasets, there is a lack of a complete benchmark for assessing the development of FSS algorithms over the last decade. We first introduce a high-quality dataset for FSS, named FS2K, which consists of 2 104 image-sketch pairs spanning three types of sketch styles, image backgrounds, lighting conditions, skin colors, and facial attributes. FS2K differs from previous FSS datasets in difficulty, diversity, and scalability and should thus facilitate the progress of FSS research. Second, we present the largest-scale FSS investigation by reviewing 89 classic methods, including 25 handcrafted feature-based facial-sketch synthesis approaches, 29 general translation methods, and 35 image-to-sketch approaches. In addition, we elaborate comprehensive experiments on the existing 19 cutting-edge models. Third, we present a simple baseline for FSS, named FSGAN. With only two straightforward components, i.e., facial-aware masking and style-vector expansion, our FSGAN surpasses the performance of all previous state-of-the-art models on the proposed FS2K dataset by a large margin. Finally, we conclude with lessons learned over the past years and point out several unsolved challenges. Our code is available at https://github.com/DengPingFan/FSGAN</w:t>
      </w:r>
    </w:p>
    <w:p>
      <w:pPr>
        <w:pStyle w:val="Heading2"/>
      </w:pPr>
      <w:r>
        <w:t>Situational analysis of EU renewable energy legislation</w:t>
      </w:r>
    </w:p>
    <w:p>
      <w:r>
        <w:t>Original source (2016): https://doi.org/10.1080/14693062.2015.1135412</w:t>
      </w:r>
    </w:p>
    <w:p>
      <w:r>
        <w:t>Original wording (abstract; indexed_source_text_not_full_document_verified): It next seeks to identify relationships between internal weaknesses and strengths and external threats and opportunities, resulting in four sets of policy options.Policy relevanceIn October 2014, the EU Heads of State and Government agreed to increase the EU's greenhouse gas reduction target to -40% by 2030. This article applies a situational analysis tool to help answer the question of how EU renewable energy policy could be reshaped after 2020 to further enhance renewable energy deployment in the EU.</w:t>
      </w:r>
    </w:p>
    <w:p>
      <w:r>
        <w:t>POSSIBLE 2021: The EASL–Lancet Liver Commission: protecting the next generation of Europeans against liver disease complications and premature mortality — https://doi.org/10.1016/s0140-6736(21)01701-3</w:t>
      </w:r>
    </w:p>
    <w:p>
      <w:r>
        <w:t>Shared claim-specific concepts: next, opportunities, increase; EU scope visible. This is a provisional connection, not an outcome finding.</w:t>
      </w:r>
    </w:p>
    <w:p>
      <w:r>
        <w:t xml:space="preserve">Available abstract (not full text):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r>
        <w:t>POSSIBLE 2019: Achievements of the European Union Countries in Seeking a Sustainable Electricity Sector — https://doi.org/10.3390/en12122254</w:t>
      </w:r>
    </w:p>
    <w:p>
      <w:r>
        <w:t>Shared claim-specific concepts: seeks, identify, increase; EU scope visible. This is a provisional connection, not an outcome finding.</w:t>
      </w:r>
    </w:p>
    <w:p>
      <w:r>
        <w:t>Available abstract (not full text): The electricity production sector has a significant share of final energy consumption and has a huge potential to use more renewable energy sources. Over the last two decades, the European Union (EU) reform of electricity markets has had positive results, and market liberalization acts as a stimulus for energy efficiency, lower prices, and technological progress. Today’s EU policy for the development of electricity and the entire energy sector seeks to provide system modernization, stability, reinforcement of the single market, and implementation of climate change policy with an emphasis on the decarbonization of energy sources and the increase of energy efficiency. After all of the EU efforts to form an electricity sector in member states, it is necessary to assess the efficiency of the policy implemented and to identify the results achieved in shaping a sustainable electricity sector. The purpose of this article is to carry out a sustainability assessment of the electricity sector in the EU countries. A set of eight indicators designed to assess the sustainability of the electricity sector of different EU countries in 2017 has been drawn up. The assessment is made using the multi-criteria decision-making method (MCDM) Technique for Order Preference (TOPSIS). The assessment shows that the electricity market of Slovenia is the most sustainable, with Luxembourg in the second pos</w:t>
      </w:r>
    </w:p>
    <w:p>
      <w:r>
        <w:t>POSSIBLE 2019: Social Innovation in Community Energy in Europe: A Review of the Evidence — https://doi.org/10.3389/fenrg.2019.00031</w:t>
      </w:r>
    </w:p>
    <w:p>
      <w:r>
        <w:t>Shared claim-specific concepts: identify, opportunities, government;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2019: The populist citizen: Empirical evidence from Europe and Latin America — https://doi.org/10.1017/s1755773919000262</w:t>
      </w:r>
    </w:p>
    <w:p>
      <w:r>
        <w:t>Shared claim-specific concepts: identify, between, government; EU scope visible. This is a provisional connection, not an outcome finding.</w:t>
      </w:r>
    </w:p>
    <w:p>
      <w:r>
        <w:t>Available abstract (not full text): Abstract Scholars are increasingly interested in ‘populist attitudes’, which – studies show – can explain party support and vote choice. However, current research has not yet analyzed in detail the characteristics of those individuals with populist proclivities, or so-called populist citizens . To address this research gap, we harmonize survey data on populist attitudes for nine European countries, five Latin American countries, and Turkey in order to uncover shared or distinct features of populist citizens. Our findings are threefold. First, we identify differences in the sociodemographic characteristics of populist citizens, notably between Europe and Latin America. Second, we find similar patterns of heterogeneity in the political features of populist citizens. Third, we show that populist citizens across all countries have the same democratic profile. They systematically support democracy over other forms of government, while being dissatisfied with its implementation. This suggests populist attitudes are intrinsic to the political culture of contemporary democracies.</w:t>
      </w:r>
    </w:p>
    <w:p>
      <w:pPr>
        <w:pStyle w:val="Heading2"/>
      </w:pPr>
      <w:r>
        <w:t>Society in need of transformation. Citizen-Foresight as a method to co-create urban future</w:t>
      </w:r>
    </w:p>
    <w:p>
      <w:r>
        <w:t>Original source (2016): https://doi.org/10.14746/fped.2016.5.2.21</w:t>
      </w:r>
    </w:p>
    <w:p>
      <w:r>
        <w:t>Original wording (abstract; indexed_source_text_not_full_document_verified): Third, we show how this can work in reality by shortly outlining two Citizen-Foresight cases with elderlies and, fourth, we derive selection-criteria for methods aiming at transforming mental images, maps and behaviour.</w:t>
      </w:r>
    </w:p>
    <w:p>
      <w:r>
        <w:t>POSSIBLE 2026: Work as a Third Pathway to New Longevity — https://doi.org/10.12660/gvexec.v25n1.2026.98714</w:t>
      </w:r>
    </w:p>
    <w:p>
      <w:r>
        <w:t>Shared claim-specific concepts: third, show, work; EU scope not established. This is a provisional connection, not an outcome finding.</w:t>
      </w:r>
    </w:p>
    <w:p>
      <w:r>
        <w:t>Available abstract (not full text): Objective: To show how work, when redesigned for longer lives and multigenerational teams, can turn population aging into a strategic opportunity for organizations, economic development, and social resilience. State of the Art: Contemporary debates on aging have emphasized pressures on health and pension systems. Responses have largely focused on telemedicine and pension reforms. Recent evidence, however, indicates that lifelong contribution—such as work, learning, and social participation—improves health, purpose, and resilience, generating positive individual and macroeconomic effects. Originality: The article proposes a third pathway beyond the health-pension debate by positioning work as a pillar of longevity. It articulates cultural, organizational, and economic dimensions and presents examples of companies, governments, social entrepreneurs and social innovators that are redesigning practices and models for longer lives. Impacts: The article offers a strategic view of longevity as an opportunity, provides examples applicable to management and public policy, and proposes a conceptual framework for redesigning more inclusive and resilient models of work. SDGs: 3 – Good health and well-being; 8 – Decent work and economic growth; 10 – Reduced inequalities.</w:t>
      </w:r>
    </w:p>
    <w:p>
      <w:r>
        <w:t>POSSIBLE 2026: Unmasking the spatial-temporal characteristics of knowledge workers’ third-place remote work — https://doi.org/10.1177/27541231261444208</w:t>
      </w:r>
    </w:p>
    <w:p>
      <w:r>
        <w:t>Shared claim-specific concepts: third, show, work, methods; EU scope not established. This is a provisional connection, not an outcome finding.</w:t>
      </w:r>
    </w:p>
    <w:p>
      <w:r>
        <w:t>Available abstract (not full text): Knowledge workers tend to choose third places as alternatives for remote work. Since previous studies lack high-precision spatial-temporal data collection approaches and analysis for third-place remote workers, this study aims to investigate the spatial-temporal characteristics of knowledge workers engaging in remote work at third places using refined data collection methods. We recruited 20 knowledge workers in Beijing, China, collected their spatial-temporal data using activity diaries and wearable devices, including Global Positioning System (GPS) trackers and wearable cameras, for seven days, and visualized their spatial-temporal characteristics, encompassing work time allocation, commute duration, and spatial distribution of various workplaces. The results show that: (1) Temporally, in addition to heterogeneity in work rhythms such as fragmented versus continuous sessions and weekday-weekend contrasts, these workers work an average of 6.3 hours daily for 6.6 days a week, with 46.7% of their work time spent in third places and a 34-minute commute. (2) Spatially, most third places are located close to home with some suburban–center movements, and workers typically use 4.5 different third places for remote work and prefer third places within 5 kilometers or beyond 15 kilometers from home.</w:t>
      </w:r>
    </w:p>
    <w:p>
      <w:r>
        <w:t>POSSIBLE 2025: Reputation on the Line: How the Third-Party Dilemma Shapes Trust in High-Risk Work — https://doi.org/10.1177/00018392251387673</w:t>
      </w:r>
    </w:p>
    <w:p>
      <w:r>
        <w:t>Shared claim-specific concepts: third, show, work; EU scope not established. This is a provisional connection, not an outcome finding.</w:t>
      </w:r>
    </w:p>
    <w:p>
      <w:r>
        <w:t>Available abstract (not full text): Despite scholars’ increasing acknowledgment of the role third parties can play in others’ trust decisions, we know very little about what motivates these parties’ information sharing. Our research examines this process via a qualitative, inductive study of linemen: the men and women who work on power lines. We show how features of their work context give rise to a strong reliance on third-party information for trust and strong accountability for third parties who share reputational information. These conditions cultivate what we call the “third-party dilemma”: Linemen feel trapped between desires to keep trustors safe and desires to protect their own reputations. We further explain how the information-sharing practices by which they manage this dilemma ultimately affect the trust triad by allowing third parties to partially safeguard their reputations, encouraging trustors to provisionally grant or withhold trust, and subjecting trustees to either sticky negative reputations or fragile positive reputations. These dynamics encourage lower trust within the triad. We conclude by highlighting the importance of the work context in shaping third-party motives, discussing the trust-related implications of how the third-party dilemma is managed, and redirecting trust research beyond dyadic (trustor–trustee) models of trust.</w:t>
      </w:r>
    </w:p>
    <w:p>
      <w:r>
        <w:t>POSSIBLE 2025: Rethinking Automation and the Future of Work with Hannah Arendt — https://doi.org/10.1007/s10551-025-05991-1</w:t>
      </w:r>
    </w:p>
    <w:p>
      <w:r>
        <w:t>Shared claim-specific concepts: third, show, work, fourth; EU scope not established. This is a provisional connection, not an outcome finding.</w:t>
      </w:r>
    </w:p>
    <w:p>
      <w:r>
        <w:t>Available abstract (not full text): Abstract Recent technological developments have given rise to debates about automation and the future of work. These debates touch on concerns about the availability, nature, and meaningfulness of jobs in the present and near future. The aim of this article is to show that Hannah Arendt’s phenomenology of labor, work, and action can improve current debates about automation and the future of work. First of all, an analysis of Arendt’s critique of modern society and the more recent notion of ‘immaterial labor’ demonstrates that we (still) live in a society dominated by labor and consumption. Second, a conceptual distinction between labor, work, and action can add relevant nuances to contemporary debates about automation and the future of work. Third, Arendt’s warning for a society of laborers without labor inspires to add over-consumption to the list of problems arising from automation. Fourth, Arendt’s description of the human condition can give clarity to contemporary worries about automation’s impact on meaning. It is concluded, finally, that a revaluation of work and action can counter the threats associated with the automation of labor.</w:t>
      </w:r>
    </w:p>
    <w:p>
      <w:r>
        <w:t>POSSIBLE 2024: The impact of Finnish politics on third-sector organizations’ human trafficking work — https://openalex.org/W7132975241</w:t>
      </w:r>
    </w:p>
    <w:p>
      <w:r>
        <w:t>Shared claim-specific concepts: third, show, work; EU scope visible. This is a provisional connection, not an outcome finding.</w:t>
      </w:r>
    </w:p>
    <w:p>
      <w:r>
        <w:t>Available abstract (not full text): Human trafficking is an increasingly recognized phenomenon. It is global and diverse in nature, and hence, different sectors of society participate in combating it and helping those affected. One of these actors is the third sector, which this thesis examines. The potential of third-sector organizations (TSOs) in human trafficking work has been recognized nationally and internationally, but is not fully utilized. This study aimed to shed light on the political and governmental factors in Finland that impact TSOs’ human trafficking work. I used the resource dependence theory and the political feedback theory as the theoretical background of this thesis. Based on them, I created a theoretical framework that visualizes TSOs’ dependence on the resources of governmental actors. The theoretical framework also considers how TSOs’ operations change as a result of political changes, and the feedback effects that can be created through this process. I collected data by interviewing representatives of six Finnish TSOs who encounter human trafficking. I asked interviewees, for example, about how the organization has been affected by political changes and what they would change in the organization's external environment to conduct human trafficking work more successfully. I analyzed the data using thematic analysis. I deductively divided the results into five thematic categories, which prov</w:t>
      </w:r>
    </w:p>
    <w:p>
      <w:r>
        <w:t>POSSIBLE 2024: Nonlinear Influence of the Built Environment on the Attraction of the Third Activity: A Comparative Analysis of Inflow from Home and Work — https://doi.org/10.3390/ijgi13090337</w:t>
      </w:r>
    </w:p>
    <w:p>
      <w:r>
        <w:t>Shared claim-specific concepts: third, show, work; EU scope not established. This is a provisional connection, not an outcome finding.</w:t>
      </w:r>
    </w:p>
    <w:p>
      <w:r>
        <w:t>Available abstract (not full text): Gaining an understanding of the intricate mechanisms between human activity and the built environment can help in promoting sustainable urban development. However, most scholars have focused on residents’ life and work behavior and have ignored the third activity (e.g., shopping, eating, and entertainment). In this study, a random forest algorithm and SHapley Additive exPlanation model were utilized to explore the nonlinear influence of the built environment on the attraction of the third activity (other than home and work). A comparative analysis of the inflow of the third activity from home and work was also carried out. The results show that the contributions of all built environment variables to the attraction of the third activity differ between home–other flow (HO) and work–other flow (WO) at the global scale, but their local effects are significantly similar. Furthermore, the nonlinear influence of the built environment on the attractions of the third activity can vary from one factor to another. A significant spatial heterogeneity can be observed on the built environment variables’ local effects on the attractions of the third activity. These findings can provide urban planners with insights that will help in the planning and optimization of communities for pursuing the third activity.</w:t>
      </w:r>
    </w:p>
    <w:p>
      <w:r>
        <w:t>POSSIBLE 2023: THE HALF AND THE THIRD – BINARY CONTINUITY LESSON IN THIRD AND FIFTH GRADES — https://doi.org/10.26883/2010.232.5592</w:t>
      </w:r>
    </w:p>
    <w:p>
      <w:r>
        <w:t>Shared claim-specific concepts: third, show, work, two; EU scope not established. This is a provisional connection, not an outcome finding.</w:t>
      </w:r>
    </w:p>
    <w:p>
      <w:r>
        <w:t>Available abstract (not full text): This is a binary mathematics lesson to reinforce the concepts of halves and the thirds. The new knowledge that third graders gain in the lesson is their introduction to the appropriate notation of halves and thirds with fractions. This is also the continuity between third and fifth grade. The lesson combines knowledge and skills in mathematics, Bulgarian language and literature, fine arts, technology, and entrepreneurship. The pre-project activity „The Half and the third“ gives a visual image of these concepts. Hands-on teamwork activities in a lesson are a great way to represent the concepts with real objects and a way to work with units of measurement that have been learned. Students should present what they have already learned about halves and thirds with a paper and cardboard presentation in the shape of flowers. They present drawn geometric shapes that are divided into two or three equal parts. In some of the shapes one of the two /three/ equal parts is colored. This is the problem situation – how to label this part in the presentation? The task of the fifth-grade teacher is to introduce fractions one-half and one-third of something whole through demonstration and with mathematical expression that is understandable to third graders. To show, explain and write down the fractions 1/2 and 1/3. The lesson ends with an emotional story about the symbolism of flowers by the scho</w:t>
      </w:r>
    </w:p>
    <w:p>
      <w:r>
        <w:t>POSSIBLE 2021: Customer Work Practices and the Productive Third Place — https://doi.org/10.1177/10946705211014278</w:t>
      </w:r>
    </w:p>
    <w:p>
      <w:r>
        <w:t>Shared claim-specific concepts: third, show, work; EU scope not established. This is a provisional connection, not an outcome finding.</w:t>
      </w:r>
    </w:p>
    <w:p>
      <w:r>
        <w:t>Available abstract (not full text): Third places—communal or socializing places such as coffee shops—are confronted with a rising customer segment: customers who use them for work. Prior research is divided on this trend: customer-workers are seen either as a source of added value or a major threat to third places. Relying on a multimethod, qualitative study, we investigate the strategic implications of the rise of customer-workers in third places. We extend prior research by considering customer-workers as a new and valuable segment, with its specific motivations and practices. Building on the co-constitution of practices and places, we show that the rise of the customer-worker segment has fostered market differentiation. We identify four types of third places (archetypal, status quo, compromise, and productive) depending on their targeting strategy and their servicescape adaptation. We delineate how customer-workers transform third places’ value proposition and bring challenges to each type. Specifically, we show that status quo third places are most prone to customer conflicts while compromise third places generate managerial struggles. In contrast, productive third places adapt their servicescape to become work accelerators and a source of professional identity for customer-workers. We provide recommendations for managers to overcome conflicts and benefit from this growing customer base.</w:t>
      </w:r>
    </w:p>
    <w:p>
      <w:r>
        <w:t>POSSIBLE 2021: Work, family life and recovery: An exploratory study of “the third shift” — https://doi.org/10.3233/wor-213624</w:t>
      </w:r>
    </w:p>
    <w:p>
      <w:r>
        <w:t>Shared claim-specific concepts: third, show, work; EU scope not established. This is a provisional connection, not an outcome finding.</w:t>
      </w:r>
    </w:p>
    <w:p>
      <w:r>
        <w:t>Available abstract (not full text): BACKGROUND: Using 24-hour narratives as a starting-point, the present study examines conditions for recovery from work. The third shift concept forms the explorative starting point for highlighting the interplay between work, family responsibilities, leisure time and recovery. OBJECTIVE: The aim of the study is to explore how the third shift affects possibilities for recovery. METHOD: The material was gathered by group interviews and diaries. Thirty employees participated in the study. Ten participants where women between 30 and 45 years of age with children living at home. RESULTS: Being solely responsible for the third shift reduced the chances of recovery during work-free time. The material showed that women aged 30-45 years had to a greater extent than others the main responsibility in a complex third shift. CONCLUSION: As a precondition for external recovery, this study show how theoretically beneficial the breakdown of the second shift and development of the third shift is for understanding different preconditions and the way they affect the possibility of recovery.</w:t>
      </w:r>
    </w:p>
    <w:p>
      <w:r>
        <w:t>POSSIBLE 2019: Show Your Work: Improved Reporting of Experimental Results — https://doi.org/10.18653/v1/d19-1224</w:t>
      </w:r>
    </w:p>
    <w:p>
      <w:r>
        <w:t>Shared claim-specific concepts: show, work, methods; EU scope not established. This is a provisional connection, not an outcome finding.</w:t>
      </w:r>
    </w:p>
    <w:p>
      <w:r>
        <w:t>Available abstract (not full text): Jesse Dodge, Suchin Gururangan, Dallas Card, Roy Schwartz, Noah A. Smith. Proceedings of the 2019 Conference on Empirical Methods in Natural Language Processing and the 9th International Joint Conference on Natural Language Processing (EMNLP-IJCNLP). 2019.</w:t>
      </w:r>
    </w:p>
    <w:p>
      <w:pPr>
        <w:pStyle w:val="Heading2"/>
      </w:pPr>
      <w:r>
        <w:t>Strategies for emerging research and innovation futures</w:t>
      </w:r>
    </w:p>
    <w:p>
      <w:r>
        <w:t>Original source (2016): https://doi.org/10.1108/fs-07-2014-0048</w:t>
      </w:r>
    </w:p>
    <w:p>
      <w:r>
        <w:t>Original wording (abstract; indexed_source_text_not_full_document_verified): In the light of the scenarios developed for the year 2030, a set of strategic options are identified and assessed for each stakeholder group. The analysis of scenarios indicated that their feasibility and desirability differ across different sectors of industry, and research areas within the research landscape.</w:t>
      </w:r>
    </w:p>
    <w:p>
      <w:r>
        <w:t>POSSIBLE 2026: Summary report - Multisite-light dosimetry data set — https://doi.org/10.5281/zenodo.21238932</w:t>
      </w:r>
    </w:p>
    <w:p>
      <w:r>
        <w:t>Shared claim-specific concepts: light, developed, set; EU scope not established. This is a provisional connection, not an outcome finding.</w:t>
      </w:r>
    </w:p>
    <w:p>
      <w:r>
        <w:t>Available abstract (not full text): This is a summary report on the multisite data sets obtained during the EPM 22NRM05 MeLiDos light dosimetry data collection campaign (https://doi.org/10.5281/zenodo.20445052), following the protocol developed beforehand by the project's participants (https://doi.org/10.1186/s12889-024-20206-4). The datasets include contributions from collaborators outside the proejct's consortium.</w:t>
      </w:r>
    </w:p>
    <w:p>
      <w:r>
        <w:t>POSSIBLE 2025: Light is Calling — https://doi.org/10.5117/9789089649966_ch06</w:t>
      </w:r>
    </w:p>
    <w:p>
      <w:r>
        <w:t>Shared claim-specific concepts: light, set, different; EU scope not established. This is a provisional connection, not an outcome finding.</w:t>
      </w:r>
    </w:p>
    <w:p>
      <w:r>
        <w:t>Available abstract (not full text): Like all films, the films of Bill Morrison rely on two main media. On the one hand, the specific film stock that carries the images, on the other, the light that makes the images possible in the first place and thus, albeit in a different manner, might also be said to ‘carry’ the images. This essay attempts to set up a more complex relation between these various forms of media. Drawing on scientific, philosophical, and artistic theories of light and mediality, such as those of Fritz Heider, Gilles Deleuze, and Niklas Luhman, this essay not only develops the notion of ‘media milieus’, but address the technologics, the aesthetics, and the poetics of Morrison’s movie.</w:t>
      </w:r>
    </w:p>
    <w:p>
      <w:r>
        <w:t>POSSIBLE 2024: การพฒนารปแบบการจดการเรยนรวชาโครงการ 2 เพอสรางชดควบคมความดนลบสำหรบผปวยวกฤตโรคตดตอรายแรงดวยแสงยวซ โดยใชขนตอนการเรยนรแบบ STEM รวมกบ MIAP ของนกศกษาชนประกาศนยบตรวชาชพชนสง ชนปท 2 ชางไฟฟา วทยาลยเทคนคพจตร: DEVELOP of LEARNING MANAGEMENT MODE for PROJECT 2 TO CREATE A NEGATIVE PRESSURE CONTROL SET FOR PATIENTS WITH PESTIENCE ALSO UVC LIGHT USING STEM IN CONJUNDTION EITH MIAP OF 2ND YEAR DIPLOMA STUDENTS IN ELECTRICIAN, PHICHIT TECHNICAL COLLEGE — https://openalex.org/W7215168090</w:t>
      </w:r>
    </w:p>
    <w:p>
      <w:r>
        <w:t>Shared claim-specific concepts: light, developed, set, each; EU scope not established. This is a provisional connection, not an outcome finding.</w:t>
      </w:r>
    </w:p>
    <w:p>
      <w:r>
        <w:t>Available abstract (not full text): The purpose of this research was to develop a teaching style. to the quality and satisfaction in developing a learning management model for project subject 2 to create a negative pressure control set for ill patients with severe communicable diseases by UVC light. By using the STEM learning process together with MIAP of 17 second year Diploma students in electrician Phichit Technical College to have efficiency 80/80 by selecting a purposive sampling. The students learned from the learning management model in project subject 2 developed by the researcher. After completing each course, the knowledge and practical competencies will be assesse from activity sheets, work assignments, research tools such as performance quiz quality assessment form achievement measurement satisfaction questionnaire analyze the data forpercentage, mean, standard deviation. The results showed that the analytical results of intra-learning performance assessment and post-learning achievement scores are 82.42/82.35. The results of the analysis of the effectiveness index of the critical thinking scores on the pre- and post-test tests. Their post-learning scores were higher than before by more than 80 percent and the learning development effectiveness index was more than .60 The satisfaction analysis of students in all aspects is the highest, with an average of 4.61.</w:t>
      </w:r>
    </w:p>
    <w:p>
      <w:r>
        <w:t>POSSIBLE 2024: AIRR-C IG Reference Sets: curated sets of immunoglobulin heavy and light chain germline genes — https://doi.org/10.3389/fimmu.2023.1330153</w:t>
      </w:r>
    </w:p>
    <w:p>
      <w:r>
        <w:t>Shared claim-specific concepts: light, developed, set, each; EU scope not established. This is a provisional connection, not an outcome finding.</w:t>
      </w:r>
    </w:p>
    <w:p>
      <w:r>
        <w:t>Available abstract (not full text): Introduction: Analysis of an individual's immunoglobulin (IG) gene repertoire requires the use of high-quality germline gene reference sets. When sets only contain alleles supported by strong evidence, AIRR sequencing (AIRR-seq) data analysis is more accurate and studies of the evolution of IG genes, their allelic variants and the expressed immune repertoire is therefore facilitated. Methods: The Adaptive Immune Receptor Repertoire Community (AIRR-C) IG Reference Sets have been developed by including only human IG heavy and light chain alleles that have been confirmed by evidence from multiple high-quality sources. To further improve AIRR-seq analysis, some alleles have been extended to deal with short 3' or 5' truncations that can lead them to be overlooked by alignment utilities. To avoid other challenges for analysis programs, exact paralogs (e.g. IGHV1-69*01 and IGHV1-69D*01) are only represented once in each set, though alternative sequence names are noted in accompanying metadata. Results and discussion: The Reference Sets include less than half the previously recognised IG alleles (e.g. just 198 IGHV sequences), and also include a number of novel alleles: 8 IGHV alleles, 2 IGKV alleles and 5 IGLV alleles. Despite their smaller sizes, erroneous calls were eliminated, and excellent coverage was achieved when a set of repertoires comprising over 4 million V(D)J rearrangemen</w:t>
      </w:r>
    </w:p>
    <w:p>
      <w:r>
        <w:t>POSSIBLE 2024: Visible‐Light‐Promoted Difluoromethylation/Cyclization of 1‐Acryloyl‐2‐cyanoindole for Construction of Difluoromethylated Pyrrolo[1,2‐a]indolediones — https://doi.org/10.1002/adsc.202301173</w:t>
      </w:r>
    </w:p>
    <w:p>
      <w:r>
        <w:t>Shared claim-specific concepts: light, developed, set; EU scope not established. This is a provisional connection, not an outcome finding.</w:t>
      </w:r>
    </w:p>
    <w:p>
      <w:r>
        <w:t>Available abstract (not full text): Abstract A visible‐light‐promoted cascade difluoromethylation/cyclization reaction to access various difluoromethylated pyrrolo[1,2‐a]indolediones was developed using difluoromethyltriphenylphosphonium bromide salt as the difluoromethylating reagent. A possible radical mechanism has been investigated and proven as a single electron transfer (SET) procedure.</w:t>
      </w:r>
    </w:p>
    <w:p>
      <w:r>
        <w:t>POSSIBLE 2020: Light opens a new window for N-heterocyclic carbene catalysis — https://doi.org/10.1039/d0sc03595e</w:t>
      </w:r>
    </w:p>
    <w:p>
      <w:r>
        <w:t>Shared claim-specific concepts: light, developed, set; EU scope not established. This is a provisional connection, not an outcome finding.</w:t>
      </w:r>
    </w:p>
    <w:p>
      <w:r>
        <w:t>Available abstract (not full text): N-Heterocyclic carbenes (NHCs) are efficient Lewis basic catalysts for the umpolung of various polarized unsaturated compounds usually including aldehydes, imines, acyl chlorides and activated esters. NHC catalysis involving electron pair transfer steps has been extensively studied; however, NHC catalysis through single-electron transfer (SET) processes, despite having the potential to achieve chemical transformations of inert chemical bonds and using green reagents, has long been a challenging task in organic synthesis. In parallel, visible-light-induced photocatalysis and photoexcitation have been established as powerful tools to facilitate sustainable organic synthesis, as they enable the generation of various reactive radical intermediates under extremely mild conditions. Recently, a number of elegant visible-light-induced, NHC-catalyzed transformations were developed for accessing valuable organic compounds. As a result, this minireview will highlight the recent advances in this field.</w:t>
      </w:r>
    </w:p>
    <w:p>
      <w:r>
        <w:t>POSSIBLE 2019: Developing a vector light sensor — https://openalex.org/W2947760590</w:t>
      </w:r>
    </w:p>
    <w:p>
      <w:r>
        <w:t>Shared claim-specific concepts: light, developed, set, each; EU scope not established. This is a provisional connection, not an outcome finding.</w:t>
      </w:r>
    </w:p>
    <w:p>
      <w:r>
        <w:t>Available abstract (not full text): Over the past few decades, numerous sensors have been invented for the measurement of light intensity.In most cases, a setup external to the sensor is required to detect the direction of an incoming beam of light.In this work, the design, fabrication, and characterization of a novel light sensor is described.The three-dimensional structure of the sensor allows it to detect both the intensity as well as the direction of the incident light beam, hence becoming a vector light sensor (VLS).The sensor structure is based on creating photodiodes on sidewalls of miniaturized raised or inverted pyramids etched in silicon.Each photodiode was formed by selective doping of the material on each facet of the pyramid, forming a photodiode with the P-type substrate.A set of signal processing algorithms was developed to estimate the direction and the distance of a light source from the sensors.The light sensing devices with both raised and inverted pyramid structures were then fabricated in a cleanroom based on silicon microfabrication technologies.Throughout the process, the lithography step for the textured surface needed to be optimized.An interface circuit was designed and used to amplify and process the signals from the devices.The device operation was verified experimentally to estimate the direction of a light beam.The small size and low power consumption of the individual sensors make t</w:t>
      </w:r>
    </w:p>
    <w:p>
      <w:r>
        <w:t>POSSIBLE 2019: Development of computer simulations to overcome students misconceptions on light and optical instruments — https://doi.org/10.1088/1742-6596/1321/3/032074</w:t>
      </w:r>
    </w:p>
    <w:p>
      <w:r>
        <w:t>Shared claim-specific concepts: light, developed, set, assessed; EU scope not established. This is a provisional connection, not an outcome finding.</w:t>
      </w:r>
    </w:p>
    <w:p>
      <w:r>
        <w:t>Available abstract (not full text): Abstract This study aims to develop computer simulations on light and optical instruments topic for junior high school students. The simulations are developed according to the students’ misconception having assessed with two-tier multiple choices test of light and optical instruments concept. The simulations are reviewed by six science teachers to gain comments and suggestion for further development using a set of questionnaires which consists of 10 items with 5-point Likert scale. The items of the instrument are created to assess simulations from aspects of content explanation and its deepness, display, language use, content, curriculum, and students’ misconception. The results of the study show that: (1) The computer simulations program is suited with the contents in the science curriculum, (2) The quality of computer simulations based on science teacher responses is in very good criteria. In conclusion, computer simulations are feasible for junior high school students to overcome misconceptions on light and optical instruments concept.</w:t>
      </w:r>
    </w:p>
    <w:p>
      <w:r>
        <w:t>POSSIBLE 2018: The light ages: An investigation into the relationship between photography and the hegemony of light. — https://doi.org/10.48773/949w6</w:t>
      </w:r>
    </w:p>
    <w:p>
      <w:r>
        <w:t>Shared claim-specific concepts: light, developed, different; EU scope not established. This is a provisional connection, not an outcome finding.</w:t>
      </w:r>
    </w:p>
    <w:p>
      <w:r>
        <w:t xml:space="preserve">Available abstract (not full text): This study sets out to establish an hegemony of light and examine its relationship to the lens in photography. Through a series of sequenced photographs presented as an exhibition The Light Ages in May 2017. The photographs were 841mm x 1189 mm Giclee prints mounted on aluminum which explore the way in which difference sources of light contribute to the identity of different spaces by fracturing and separating the light and duration of the image. The thesis explores how light permeates the English language and is inscribed in terms used to define photography. As a source of energy, light provides the very essence of visibility and defines the perception of objectivity and its limits. The geometric relationship between the light axes and the lens axis is what forms the basis of my development of Gramsci’s concept of hegemony. Since all photographs rely on some kind of light it was important to identify one that was developed specifically for photographic use and controlled almost exclusively by the agents of photographic representation. It also appears to mark the ontology of the image, however, as this study examines it is only one of the temporal registers. The practice seeks to tear apart these temporal registers to show the dualism and hegemony of light, how it attempts to pin down one interpretation at the expense of another. One of the greatest challenges for researchers, </w:t>
      </w:r>
    </w:p>
    <w:p>
      <w:pPr>
        <w:pStyle w:val="Heading2"/>
      </w:pPr>
      <w:r>
        <w:t>Testing Scenarios to Achieve Workplace Sustainability Goals Using Backcasting and Agent-Based Modeling</w:t>
      </w:r>
    </w:p>
    <w:p>
      <w:r>
        <w:t>Original source (2016): https://doi.org/10.1177/0013916516673869</w:t>
      </w:r>
    </w:p>
    <w:p>
      <w:r>
        <w:t>Original wording (abstract; indexed_source_text_not_full_document_verified): Future scenarios were developed using a participatory backcasting scenario development methodology, and policy tracks were derived.</w:t>
      </w:r>
    </w:p>
    <w:p>
      <w:r>
        <w:t>POSSIBLE 2026: Backcasting intergenerational energy justice — https://openalex.org/W7165503411</w:t>
      </w:r>
    </w:p>
    <w:p>
      <w:r>
        <w:t>Shared claim-specific concepts: participatory, backcasting; EU scope not established. This is a provisional connection, not an outcome finding.</w:t>
      </w:r>
    </w:p>
    <w:p>
      <w:r>
        <w:t>Available abstract (not full text): A just energy transition requires political engagement with diverse voices in the processes of environmental and industrial change, ensuring the fair distribution of risks and benefits between empowered and vulnerable communities. One key challenge is ensuring intergenerational equity within such processes: defining our collective obligations to protect the environmental, economic, and social well-being of future generations and then translating this into present-day policy and commercial decision-making. In this proposed workshop, we will showcase participatory backcasting methods to address intergenerational equity challenges. Backcasting analysis engages stakeholders in envisioning and defining long-term intra- and intergenerational interests, and here we blend qualitative social science and normative analysis to explore backcasting as an “ethical tool” for energy futures planning. Through structured participatory dialogue, we will examine the ethical dimensions of energy futures to identify desirable, feasible, and sustainable pathways – starting with the identification of normatively desirable futures and then working backwards to the present to determine the necessary steps to achieve them and the barriers they experience in doing so. The backcasting analysis offers valuable insights into the intergenerational justice dimensions of contemporary energy policymaking and dem</w:t>
      </w:r>
    </w:p>
    <w:p>
      <w:r>
        <w:t>POSSIBLE 2023: Advancing participatory backcasting for climate change adaptation planning using 10 cases from 3 continents — https://doi.org/10.1016/j.crm.2023.100559</w:t>
      </w:r>
    </w:p>
    <w:p>
      <w:r>
        <w:t>Shared claim-specific concepts: developed, participatory, backcasting; EU scope visible. This is a provisional connection, not an outcome finding.</w:t>
      </w:r>
    </w:p>
    <w:p>
      <w:r>
        <w:t>Available abstract (not full text): In the face of climate change, a major challenge is to inform and guide long-term climate change adaptation planning under deep uncertainty, while aiming at transformative change. Normative futures studies approaches, such as participatory backcasting, visioning and transition management, are increasingly applied, but their potential for climate change adaptation research and practice remains undervalued. This paper aims to advance the potential of backcasting in climate adaptation, by comparing various climate change adaptation studies that have used backcasting or visioning approaches. A framework has been further developed and applied to evaluate 10 cases in Africa, Europe and North America, using four dimensions: (i) inputs and settings; (ii) process and methods (iii) results, and (iv), impact. Our evaluation provides key insights into the use and further development of backcasting for climate adaptation. Key elements to add are advanced system modeling, robust elements, pathway switching and hybrid pathways, enhancing participation of marginal groups, and contributing to impact by facilitating the utilization of results and knowledge in practice and decision making.</w:t>
      </w:r>
    </w:p>
    <w:p>
      <w:r>
        <w:t>POSSIBLE 2022: Computer‐aided scenario design using participatory backcasting: A case study of sustainable vision creation in a Japanese city — https://doi.org/10.1002/ffo2.141</w:t>
      </w:r>
    </w:p>
    <w:p>
      <w:r>
        <w:t>Shared claim-specific concepts: developed, participatory, backcasting; EU scope not established. This is a provisional connection, not an outcome finding.</w:t>
      </w:r>
    </w:p>
    <w:p>
      <w:r>
        <w:t>Available abstract (not full text): Abstract Designing backcasting scenarios is a powerful approach to the development of sustainable visions and pathways for governments or enterprises in the early stage of their policy‐making or strategic decision‐making process. To date, a number of scholars have proposed various backcasting methods, in which workshops are often used to reflect the voices of stakeholders. However, it is still a challenge to test the validity of scenarios because the process of designing backcasting scenarios is not transparent or shared among involved stakeholders. This also prevents reusing knowledge and intermediate outputs generated during the scenario design process. To solve these problems, this paper aims to develop a method for supporting a backcasting scenario design by introducing computational assistance. A scenario design support system called the sustainable society scenario (3S) simulator is used to visualize a scenario's logical sequence of the scenario in graph format. To demonstrate the proposed method, a case study for the city of Toyama, a Japanese municipality, was performed using three workshops with citizen participation. The results showed that two different scenarios, involving future visions and associated pathways, were developed by reflecting the diversified values of local citizens. The usage of the 3S simulator visualized the logical relations of the described scena</w:t>
      </w:r>
    </w:p>
    <w:p>
      <w:r>
        <w:t>POSSIBLE 2022: Envisioning the driverless city using backcasting and Q-methodology — https://doi.org/10.1016/j.cities.2022.104159</w:t>
      </w:r>
    </w:p>
    <w:p>
      <w:r>
        <w:t>Shared claim-specific concepts: participatory, backcasting; EU scope not established. This is a provisional connection, not an outcome finding.</w:t>
      </w:r>
    </w:p>
    <w:p>
      <w:r>
        <w:t>Available abstract (not full text): Despite the expected future introduction of autonomous vehicles in cities, very few studies have analysed the needs and challenges facing urban planning. This paper employs a combination of backcasting and Q-methodology to carry out participatory visioning for a future driverless city. This novel approach was used to elaborate shared visions of the desirable city among a group of 20 citizens and 10 practitioners. Views on 41 statements were analysed relating to urban design, society, environment, transport and mobility needs. Three main visions were identified. The first focuses on high-quality urban spaces and active mobility. The second vision is more futuristic and pro-social, consistent with the more imaginative and innovative stance of young people. The third vision is more conventional and closer to business-as-usual. The results suggest that there is some agreement on the future conditions and policies, especially on the need for environmentally friendly urban development and safe urban design. The article is premised on the belief that engaging stakeholders from different backgrounds, including citizens of various ages, can be enriching for urban planning since there is a wide variety of heterogeneous preferences across society. This requires a search for common ground when designing policy measures that satisfy multiple interests.</w:t>
      </w:r>
    </w:p>
    <w:p>
      <w:r>
        <w:t>POSSIBLE 2021: Gamification of backcasting for sustainability: The development of the gameful backcasting framework (GAMEBACK) — https://doi.org/10.1016/j.jclepro.2021.126609</w:t>
      </w:r>
    </w:p>
    <w:p>
      <w:r>
        <w:t>Shared claim-specific concepts: developed, participatory, backcasting; EU scope not established. This is a provisional connection, not an outcome finding.</w:t>
      </w:r>
    </w:p>
    <w:p>
      <w:r>
        <w:t>Available abstract (not full text): Considering how wicked problems, such as overconsumption, climate change, or the management of the COVID-19 pandemic rely on multiple stakeholder groups’ deliberation, this study investigates gamification’s potential in participatory backcasting processes to support the emergence and growth of social innovations towards sustainability. Gameful methodologies have progressively been introduced into strategic planning processes, futures research, and transition studies, offering a powerful input to participatory backcasting processes. As gamification is a novel and impactful way to motivate and engage participants to take action during and after the participatory process, this study develops a framework for practitioners to gamify backcasting processes. Developed through state-of-the-art review of extant corpus as well as two cases of gamified participatory backcasting, the framework elucidates how participatory backcasting processes that include gamification elements designed to address engagement do have an impact on the participants, particularly in terms of the process being a positive, co-creative experience, and offer a good foundation for posterior actions.</w:t>
      </w:r>
    </w:p>
    <w:p>
      <w:r>
        <w:t>POSSIBLE 2021: Future export markets of industrial wood construction – A qualitative backcasting study — https://doi.org/10.1016/j.forpol.2021.102480</w:t>
      </w:r>
    </w:p>
    <w:p>
      <w:r>
        <w:t>Shared claim-specific concepts: participatory, backcasting; EU scope visible. This is a provisional connection, not an outcome finding.</w:t>
      </w:r>
    </w:p>
    <w:p>
      <w:r>
        <w:t>Available abstract (not full text): The forest sector can play a major role in the transformation to a sustainable bioeconomy, driven by climate change, population growth, and accelerated urbanization. However, in most contexts, the industrial wood construction markets, as a promising field for sustainable bioeconomy, are still at a niche level. The analysis in this study concerns the preferred future export markets for industrial wood construction for the Finnish wood construction industry, as viewed by a panel of industrial, policy and academic experts. The aim is to identify promising export markets for Finland, and to identify required pathways by 2030. A qualitative participatory backcasting method was applied to explore the future visions of the industrial wood construction (IWC) sector and its export markets, as well as the pathways from the current towards the envisioned future. Thirty-five experts formed a panel which produced five visions of the development of industrial wood construction sector exports from Finland, covering the period 2020–2030. All the visions foresaw that the domestic market needs to develop first, to build up the competencies needed to fuel the growth in the exports. Asia, particularly China with its rapidly growing markets, and Europe, with its growing sustainability awareness, commonly appeared as the most promising areas for export growth. The resulting visions differed in terms</w:t>
      </w:r>
    </w:p>
    <w:p>
      <w:r>
        <w:t>POSSIBLE 2020: Combining participatory games and backcasting to support collective scenario evaluation: an action research approach for sustainable agroforestry landscape management — https://doi.org/10.1007/s11625-020-00829-3</w:t>
      </w:r>
    </w:p>
    <w:p>
      <w:r>
        <w:t>Shared claim-specific concepts: developed, participatory, backcasting; EU scope not established. This is a provisional connection, not an outcome finding.</w:t>
      </w:r>
    </w:p>
    <w:p>
      <w:r>
        <w:t>Available abstract (not full text): Abstract The combined and interacting effects of land-use change, resource extraction and climate change threaten the sustainability of millions of mainly smallholder farms in tropical agroforested landscapes. In many of these landscapes, coordinated action among stakeholders at landscape level would help to address challenges such as pests and diseases, price crises and climate change. However, methods to facilitate the co-production of sustainable landscape management in such complex multi-stakeholder systems are currently largely lacking. In this paper, we present a novel approach to explore pathways for the sustainability transition of agroforestry systems. By combining participatory forecasting and backcasting approaches, based on serious games and future vision development, we explore relevant agroforestry management strategies for reaching sustainable future coffee-based agroforestry landscapes. We focused our research on the challenges faced in the main coffee-producing area in Nicaragua. Here, we organized five participatory game sessions to explore farmer decision-making processes, farming strategies and to develop new networks and stimulate social learning among farmers. In the associated backcasting workshop, the most influential game session participants joined technicians, researchers and municipality officials to collectively envision sustainable future landscape</w:t>
      </w:r>
    </w:p>
    <w:p>
      <w:r>
        <w:t>POSSIBLE 2020: Backcasting-Based Method for Designing Roadmaps to Achieve a Sustainable Future — https://doi.org/10.1109/tem.2020.3008444</w:t>
      </w:r>
    </w:p>
    <w:p>
      <w:r>
        <w:t>Shared claim-specific concepts: developed, backcasting; EU scope not established. This is a provisional connection, not an outcome finding.</w:t>
      </w:r>
    </w:p>
    <w:p>
      <w:r>
        <w:t>Available abstract (not full text): Much attention has been paid internationally to the adoption of sustainable development goals to achieve sustainable outcomes. Although roadmapping is widely used by companies and other organizations to plan long-term strategies, relatively few studies have examined the development of roadmapping methods aiming at sustainability. To address this challenge, in this article, a backcasting-based method to design roadmaps that could be used to facilitate decision making and plan sustainable futures is proposed. By drawing on the concept of backcasting, the proposed roadmap design method consists of two phases: defining a sustainable vision, and describing the pathways that are required to realize that vision. In order to develop pathways that bridge the gap between the present and the vision, we develop a roadmap template called a “four-arrow model.” To demonstrate the proposed method, roadmaps are developed for Japanese manufacturing from the present to 2050 by organizing an expert workshop. As a result, two different roadmaps that connected sustainable visions and associated pathways are successfully developed. The number of ideas generated through the workshop indicates that the proposed method encouraged brainstorming and concept development. Future research will focus on making the roadmap design process more comprehensive by conducting industrial case studies.</w:t>
      </w:r>
    </w:p>
    <w:p>
      <w:r>
        <w:t>POSSIBLE 2019: Co-design agricultural systems combining gaming and backcasting methods in smallholder coffee agroforestry systems — https://openalex.org/W2955102564</w:t>
      </w:r>
    </w:p>
    <w:p>
      <w:r>
        <w:t>Shared claim-specific concepts: participatory, backcasting; EU scope not established. This is a provisional connection, not an outcome finding.</w:t>
      </w:r>
    </w:p>
    <w:p>
      <w:r>
        <w:t>Available abstract (not full text): In Central America, smallholder coffee farmers rely on low input agroforestry systems (AFS) while experiencing increased pressure from climate change and social inequality. In order to increase the sustainability of these systems and to guide farmers along agroecological transition pathways, participatory approaches are needed. However, methods for the co-design process of such complex AFS are still scarce. Here, we present a practical approach based on game sessions and backcasting for the development of sustainable farming systems, together with the smallholder communities. We organized five game sessions and one backcasting workshop with farmer communities, technicians, researchers and municipality officials in La Dalia, Nicaragua. Through the game sessions we managed to highlight the key factors that allow or impede successful coordination among farmers to diversify their systems and develop organic and/or low input agriculture. Furthermore, using backcasting, we shared the outcomes from the game sessions among the communities and co-designed new farming systems highlighting major economic, social and environmental benefits and barriers. Through combining game and backcasting sessions, we were able to describe the current system and co-construct a desirable future vision towards agrological transition. We envision a wide range of relevant applications of this method in agri</w:t>
      </w:r>
    </w:p>
    <w:p>
      <w:r>
        <w:t>POSSIBLE 2018: Backcasting in futures studies: a synthesized scholarly and planning approach to strategic smart sustainable city development — https://doi.org/10.1186/s40309-018-0142-z</w:t>
      </w:r>
    </w:p>
    <w:p>
      <w:r>
        <w:t>Shared claim-specific concepts: backcasting, methodology; EU scope not established. This is a provisional connection, not an outcome finding.</w:t>
      </w:r>
    </w:p>
    <w:p>
      <w:r>
        <w:t xml:space="preserve">Available abstract (not full text): Backcasting as a scholarly and planning approach is increasingly used in futures studies in fields related to urban sustainability as an alternative to traditional planning approaches and a formal element of future strategic initiatives. It is viewed as a natural step in operationalizing sustainable development within different societal spheres. As a holistic urban development strategy, smart sustainable cities represent a manifestation of sustainable development as a process of change and a strategic approach to achieving the long-term goals of sustainability. Achieving smart sustainable cities represents an instance of urban sustainability, a concept that refers to a desired state in which a city strives to retain the balance of socio-ecological system through sustainable development as a desired trajectory. This long-term goal requires fostering linkages between scientific and social research, technological innovations, institutional practices, and policy design and planning in relevance to urban sustainability. It also requires a long-term vision, a transdisciplinary approach, and a system-oriented perspective on addressing environmental, economic, and social issues. These requirements are at the core of backcasting as an approach to futures studies. Backcasting is a special kind of scenario methodology to develop future models for smart sustainable city as a planning tool </w:t>
      </w:r>
    </w:p>
    <w:p>
      <w:pPr>
        <w:pStyle w:val="Heading2"/>
      </w:pPr>
      <w:r>
        <w:t>The Deliberative Practice of Vision Mobility 2050: Vision-making for Sustainable Mobility in the Region of Munich?</w:t>
      </w:r>
    </w:p>
    <w:p>
      <w:r>
        <w:t>Original source (2016): https://doi.org/10.1016/j.trpro.2016.12.096</w:t>
      </w:r>
    </w:p>
    <w:p>
      <w:r>
        <w:t>Original wording (abstract; indexed_source_text_not_full_document_verified): It specifically looks at a recent visioning process where this network of actors developed ideas on the future of mobility, particularly in the context of growth and development in one of the most powerful, economic Metropolitan Regions in Europe. The network propels the mobilities of ideas, concepts and perspectives on the future of mobility and transport in Munich.</w:t>
      </w:r>
    </w:p>
    <w:p>
      <w:r>
        <w:t>POSSIBLE 2024: Un/seeing race:Articulating differences in governing people in Europe through multimodal methods — https://openalex.org/W7135537615</w:t>
      </w:r>
    </w:p>
    <w:p>
      <w:r>
        <w:t>Shared claim-specific concepts: specifically, ideas, mobility; EU scope visible. This is a provisional connection, not an outcome finding.</w:t>
      </w:r>
    </w:p>
    <w:p>
      <w:r>
        <w:t>Available abstract (not full text): This dissertation examines ways in which technologies of vision used in governance enact race and racial otherness in Europe. Specifically, it focuses on how physical appearances, such as phenotypic markers, clothing, hairstyle, as well as smell, dialect, modes of travelling, databases and statistics play a role in knowing people and governing their mobility. Vision here refers not only to practices of identification but also to the production of physical appearances—a know-how of diverse kinds of markers of difference. Consequently, technologies of vision also refer to what the phenotype does and how it is produced as a conjunction between subject, technology and see-er. The first part of this dissertation examines the ways in which knowing “the Roma” in everyday bureaucratic and border police practices in Romania enacts racialised categories of people. The second part draws on empirical cases from the Netherlands and Greece to examine more broadly the enactments of race in practices of identification. The last three chapters of the dissertation are written in a multimodal format where I intertwine written and filmic paragraphs. Vision itself becomes a technology, this time not to produce or reinforce but to disturb and perhaps even undo ideas of racial otherness. By actively engaging the eyes of the viewer, I demonstrate that vision is always relational and partial and theref</w:t>
      </w:r>
    </w:p>
    <w:p>
      <w:r>
        <w:t>POSSIBLE 2024: Sustainability and competition policy in Europe: recent developments — https://doi.org/10.1093/jeclap/lpae063</w:t>
      </w:r>
    </w:p>
    <w:p>
      <w:r>
        <w:t>Shared claim-specific concepts: looks, recent, network, one; EU scope visible. This is a provisional connection, not an outcome finding.</w:t>
      </w:r>
    </w:p>
    <w:p>
      <w:r>
        <w:t>Available abstract (not full text): In the last year or so, further progress has been made integrating sustainability considerations into competition policy and enforcement in Europe. On sustainability co-operation agreements we have seen more guidelines being published (notably the UK with its ‘more permissive approach’ to ‘climate change agreements’) with many competition authorities providing quick, light touch, informal guidance for specific projects. Conversely, anti-competitive arrangements harmful to a sustainable future have been punished as cartels or an abuse of dominant position. This survey looks at the emerging thinking on sustainability and abuse of dominance and mergers before looking at the key challengers for the future. In last year’s survey1 I reported the amazing progress that had been made in integrating climate change and sustainability considerations into competition policy in recent years with most European competition authorities focused on it and bringing out policy statements and guidelines (and draft guidelines). This progress has continued with more guidelines being produced or finalized and cases being decided. We have also seen more competition authorities around the world emulating the progress made in Europe (with the notable exception of the US). That said, the last year has in some ways being one of consolidation in the area of sustainability cooperation agreements as authoritie</w:t>
      </w:r>
    </w:p>
    <w:p>
      <w:r>
        <w:t>POSSIBLE 2022: Recent trends in publications of economic historians in Europe and North America (1980–2019): an empirical analysis — https://doi.org/10.1007/s11698-022-00245-w</w:t>
      </w:r>
    </w:p>
    <w:p>
      <w:r>
        <w:t>Shared claim-specific concepts: recent, network; EU scope visible. This is a provisional connection, not an outcome finding.</w:t>
      </w:r>
    </w:p>
    <w:p>
      <w:r>
        <w:t>Available abstract (not full text): Abstract This article analyses the integration of economic history into economics using a unique dataset containing 11,143 articles written by 919 economic historians and published between 1980 and 2019 in leading journals; we also analyzed the authors’ biographical information. Using a probit regression, we find that since 1980, economic historians have increased their likelihood of publishing in Economics or Finance Journals (EFJs) by 12 points. This integration is more marked in North America than in Europe because North American economic historians are more likely to be trained in the discipline of economics. In contrast, a significant share of scholars in Europe are trained in the discipline of economic history. Network visualizations confirm these regional differences: citations to EFJs are much more central in North American scholars’ work. Our findings support Robert Margo’s claim that economic history is currently integrated into economics more often in publications in North America than in Europe.</w:t>
      </w:r>
    </w:p>
    <w:p>
      <w:r>
        <w:t>POSSIBLE 2022: Integrating nature conservation measures in european forest management – An exploratory study of barriers and drivers in 9 european countries — https://doi.org/10.1016/j.jenvman.2022.116619</w:t>
      </w:r>
    </w:p>
    <w:p>
      <w:r>
        <w:t>Shared claim-specific concepts: looks, one, concepts; EU scope visible. This is a provisional connection, not an outcome finding.</w:t>
      </w:r>
    </w:p>
    <w:p>
      <w:r>
        <w:t>Available abstract (not full text):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r>
        <w:t>POSSIBLE 2020: Recent Evolutions of Gender, State Feminism and Care Models in Latin America and Europe — https://doi.org/10.1007/978-3-030-48442-2_12</w:t>
      </w:r>
    </w:p>
    <w:p>
      <w:r>
        <w:t>Shared claim-specific concepts: recent, process, one; EU scope visible. This is a provisional connection, not an outcome finding.</w:t>
      </w:r>
    </w:p>
    <w:p>
      <w:r>
        <w:t>Available abstract (not full text): Abstract This chapter presents and characterises the way in which, in the twenty-first century, after years of feminist struggles inside and outside of institutions, gender relations are organised in the different countries of the INCASI project (on the European side, Spain, Italy, Finland, France and the United Kingdom, on the side of the South American Southern Cone, Argentina, Brazil, Chile and Uruguay). It pays special attention to the implementation of feminist issues on political agendas, and in particular the assignment of women to unpaid care work—an aspect of the power continuum that we look to relate to other aspects. Gradually and for almost a century all countries in both continents have granted women the status of subjects, citizens and employees. However, the conditions, challenges and timelines of this process differ considerably from one continent to another, so they need to be addressed separately. The neoliberal era did not have the same impact in Europe as it did in South America (nor was it exactly the same between particular European countries or among South American ones).</w:t>
      </w:r>
    </w:p>
    <w:p>
      <w:r>
        <w:t>POSSIBLE 2020: Regional climate downscaling over Europe: perspectives from the EURO-CORDEX community — https://doi.org/10.1007/s10113-020-01606-9</w:t>
      </w:r>
    </w:p>
    <w:p>
      <w:r>
        <w:t>Shared claim-specific concepts: looks, perspectives; EU scope visible. This is a provisional connection, not an outcome finding.</w:t>
      </w:r>
    </w:p>
    <w:p>
      <w:r>
        <w:t>Available abstract (not full text):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r>
        <w:t>POSSIBLE 2020: The European Union and social policy — https://doi.org/10.4324/9780429244681-26</w:t>
      </w:r>
    </w:p>
    <w:p>
      <w:r>
        <w:t>Shared claim-specific concepts: specifically, looks, recent, particularly; EU scope visible. This is a provisional connection, not an outcome finding.</w:t>
      </w:r>
    </w:p>
    <w:p>
      <w:r>
        <w:t>Available abstract (not full text): This chapter outlines the development and role of the European Union as the world’s largest multi-state governance organisation. The chapter first explores at the origins and development of the EU, including the key points of growth in membership and in policy. In the chapter’s next section, we explore the structure of the EU, including questions around how far we can consider the EU to be a democratic body and the ways in which the EU makes social policy. Following this, the chapter explores some of the difficulties the EU has faced in recent years, focusing particularly on Eurozone crisis and the growth of nationalism and Euroscepticism, including the 2016 Brexit vote and 2019 political decision to exit the EU from the UK. The chapter then looks specifically at several aspects of European social policy, including the importance of the Charter of Fundamental Rights of the European Union and social policy directed at families, the elderly and disabled people, and around education and training. The chapter finishes with a brief look at the future of the European Union in a changing world and then summarises the key learning.</w:t>
      </w:r>
    </w:p>
    <w:p>
      <w:r>
        <w:t>POSSIBLE 2019: European Union — https://doi.org/10.4324/9781351235624-6</w:t>
      </w:r>
    </w:p>
    <w:p>
      <w:r>
        <w:t>Shared claim-specific concepts: specifically, looks, recent; EU scope visible. This is a provisional connection, not an outcome finding.</w:t>
      </w:r>
    </w:p>
    <w:p>
      <w:r>
        <w:t>Available abstract (not full text): This chapter discusses the European Union (EU) has evolved into a security provider, having performed military operations and civilian missions in many parts of the world in addition to creating security strategies and policy initiatives. It looks at the EU and its role in security, specifically focused on the Common Security and Defence Policy. The chapter looks at how the EU as a security and defence actor has been conceptualised. In order to understand the EU as a security actor we must have an idea as to what the EU looks like in terms of power projection, which interconnects with the strategy that the EU is able and willing to pursue. The EU’s role in defence and security is a recent ‘competence’, in the language of the EU treaties. The EU Battlegroup concept was a UK–French idea that was formally launched as a UK, French and German initiative in 2004.</w:t>
      </w:r>
    </w:p>
    <w:p>
      <w:r>
        <w:t>POSSIBLE 2017: The rise of on-demand ‘Instant Deliveries’ in European cities — https://doi.org/10.1080/16258312.2017.1375375</w:t>
      </w:r>
    </w:p>
    <w:p>
      <w:r>
        <w:t>Shared claim-specific concepts: specifically, looks, recent, mobility, transport; EU scope visible. This is a provisional connection, not an outcome finding.</w:t>
      </w:r>
    </w:p>
    <w:p>
      <w:r>
        <w:t xml:space="preserve">Available abstract (not full text): This exploratory paper contributes to a new body of research that investigates the potential of digital market places to disrupt transport and mobility services. We are specifically looking at the urban freight sector, where numerous app-based services have emerged in recent years. The paper specifically looks at ‘instant deliveries,’ i.e. services providing on-demand delivery within two hours – by either private individuals, independent contractors, or employees – by connecting consignors, couriers and consignees via a digital platform. The paper provides an overview of the main issues concerning instant deliveries, supported by data (including a survey of 96 courier delivery providers) and examples. After presenting a typology of companies (digital platforms) involved in ‘instant deliveries,’ we question in what way they transform the urban freight current patterns. We highlight four issues, discussing their potential to impact urban freight services and related policies in European cities: 1) Freight trips and data; 2) Business models; 3) Labor legislation and work conditions; and 4) Local public policies. We conclude by saying that predicting the medium-term consequences of these changes is difficult, but it is essential that city planning and policies take account of these developments and consider how planning and possibly regulation needs to be adapted to these new ways </w:t>
      </w:r>
    </w:p>
    <w:p>
      <w:pPr>
        <w:pStyle w:val="Heading2"/>
      </w:pPr>
      <w:r>
        <w:t>The Future of European Labour Law and the Right to Employability</w:t>
      </w:r>
    </w:p>
    <w:p>
      <w:r>
        <w:t>Original source (2016): https://doi.org/10.1177/201395251600700311</w:t>
      </w:r>
    </w:p>
    <w:p>
      <w:r>
        <w:t>Original wording (abstract; indexed_source_text_not_full_document_verified): In view of an evaluation of the impact of the Council's Recommendation of December 2012 on the validation of informal and non-formal learning (as well as its possible review expected for 2019), the paper offers some preliminary elements for evaluating the relevance, the efficacy, and the consistency of European action in this field and speculates about the likely direction of future developments.</w:t>
      </w:r>
    </w:p>
    <w:p>
      <w:r>
        <w:t>POSSIBLE 2022: A critical perspective on the European Commission’s publications ‘Evaluating the impact of nature-based solutions’ — https://doi.org/10.1016/j.nbsj.2022.100027</w:t>
      </w:r>
    </w:p>
    <w:p>
      <w:r>
        <w:t>Shared claim-specific concepts: view, evaluation, review, evaluating, relevance, field; EU scope visible. This is a provisional connection, not an outcome finding.</w:t>
      </w:r>
    </w:p>
    <w:p>
      <w:r>
        <w:t>Available abstract (not full text): The European Commission’s (EC) double publication ‘Evaluating the impact of nature-based solutions’ (NBS) can be considered as a milestone for the adoption and evaluation of these solutions, which reportedly have a significant potential for climate change mitigation or the improvement of social justice. This optimistic view, however, is not equally held by everyone: a widespread scepticism over the NBS concept makes clear that the debate about the potential and convenience of NBS is far from over. Here we review some of this criticism and put this EC double document (handbook + appendix) under deep scrutiny, with the aim of proposing improvements for it and as an opportunity to discuss general aspects of the NBS field. In particular, we base our criticism on four perspectives: climate emergency, economy-driven ideology, ecolinguistics and the presence of logic pitfalls. The general aim of this article is to discuss the relevance of the NBS concepts present in the EC texts in relation to the climate crisis.</w:t>
      </w:r>
    </w:p>
    <w:p>
      <w:r>
        <w:t>POSSIBLE 2022: The expected impact of cultivated and plant-based meats on jobs: the views of experts from Brazil, the United States and Europe — https://doi.org/10.1057/s41599-022-01316-z</w:t>
      </w:r>
    </w:p>
    <w:p>
      <w:r>
        <w:t>Shared claim-specific concepts: view, expected, about; EU scope visible. This is a provisional connection, not an outcome finding.</w:t>
      </w:r>
    </w:p>
    <w:p>
      <w:r>
        <w:t>Available abstract (not full text): Abstract Cultivated and plant-based meats are substitutes for conventional animal meat products. As radical innovations, they may trigger profound social and economic changes. Despite the many benefits of alternative meats, such as environmental sustainability, animal welfare, human health and food safety, some unintended consequences remain unexplored in the literature. In this paper, we studied the potential impact of the meat production system transition on jobs. Using a survey, we compared opinions regarding the impact on jobs in Brazil, the United States and Europe, according to alternative protein experts. Our results showed the potential of plant-based and cultivated meat production to create new and higher-skilled jobs. The data analysis also suggested that the impact of novel food production systems on jobs in conventional meat production may be different for each stage of the value chain. In particular, the results showed a pressure point on animal farmers, who may be most affected in a fast transition scenario. Considering the studied geographical contexts, Brazilian professionals were more optimistic about the potential of plant-based and cultivated meat production to create new jobs. Our findings may provide new insights for the development of policies, measures and strategies that promote job creation, skills and income in view of the ongoing transition.</w:t>
      </w:r>
    </w:p>
    <w:p>
      <w:r>
        <w:t>POSSIBLE 2021: Evaluating the systematic risk and its impact on profitability and liquidity; evidence from European countries — https://doi.org/10.1504/ijesb.2021.117342</w:t>
      </w:r>
    </w:p>
    <w:p>
      <w:r>
        <w:t>Shared claim-specific concepts: view, evaluation, expected, evaluating; EU scope visible. This is a provisional connection, not an outcome finding.</w:t>
      </w:r>
    </w:p>
    <w:p>
      <w:r>
        <w:t>Available abstract (not full text):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r>
        <w:t>POSSIBLE 2021: Evaluating the systematic risk and its impact on profitability and liquidity; evidence from European countries — https://doi.org/10.1504/ijesb.2021.10040605</w:t>
      </w:r>
    </w:p>
    <w:p>
      <w:r>
        <w:t>Shared claim-specific concepts: view, evaluation, expected, evaluating; EU scope visible. This is a provisional connection, not an outcome finding.</w:t>
      </w:r>
    </w:p>
    <w:p>
      <w:r>
        <w:t>Available abstract (not full text): The purpose of this research study is to establish if there is systematic risk and if it has impact on profitability, liquidity of the banks in Europe. This study used various financial performance ratios of 100 banks operating in different European countries to investigate if such relationship exists over a five-year period (2012 to 2016). Before working on systematic risk evaluation, we need to know that in order to shape up the financial structure of any firm the operating performance has importance. It is expected that the outcomes of this research are very important in both perspective of investors and bank managers, as these findings will help them to fully analyse the effects of various strategic choices keeping in view related to risk profile of banks. Some implications of the potential policy which are based on the new capital requirements in view of the risk-leverage relationship have also been discussed in this study.</w:t>
      </w:r>
    </w:p>
    <w:p>
      <w:r>
        <w:t>POSSIBLE 2020: Impact of sex and gender on COVID-19 outcomes in Europe — https://doi.org/10.1186/s13293-020-00304-9</w:t>
      </w:r>
    </w:p>
    <w:p>
      <w:r>
        <w:t>Shared claim-specific concepts: well, review; EU scope visible. This is a provisional connection, not an outcome finding.</w:t>
      </w:r>
    </w:p>
    <w:p>
      <w:r>
        <w:t>Available abstract (not full text): BACKGROUND: Emerging evidence from China suggests that coronavirus disease 2019 (COVID-19) is deadlier for infected men than women with a 2.8% fatality rate being reported in Chinese men versus 1.7% in women. Further, sex-disaggregated data for COVID-19 in several European countries show a similar number of cases between the sexes, but more severe outcomes in aged men. Case fatality is highest in men with pre-existing cardiovascular conditions. The mechanisms accounting for the reduced case fatality rate in women are currently unclear but may offer potential to develop novel risk stratification tools and therapeutic options for women and men. CONTENT: The present review summarizes latest clinical and epidemiological evidence for gender and sex differences in COVID-19 from Europe and China. We discuss potential sex-specific mechanisms modulating the course of disease, such as hormone-regulated expression of genes encoding for the severe acute respiratory syndrome coronavirus 2 (SARS-CoV2) entry receptors angiotensin converting enzyme (ACE) 2 receptor and TMPRSS2 as well as sex hormone-driven innate and adaptive immune responses and immunoaging. Finally, we elucidate the impact of gender-specific lifestyle, health behavior, psychological stress, and socioeconomic conditions on COVID-19 and discuss sex specific aspects of antiviral therapies. CONCLUSION: The sex and gender dispari</w:t>
      </w:r>
    </w:p>
    <w:p>
      <w:r>
        <w:t>POSSIBLE 2020: Evaluating the impact of viewing location on view perception using a virtual environment — https://doi.org/10.1016/j.buildenv.2020.106932</w:t>
      </w:r>
    </w:p>
    <w:p>
      <w:r>
        <w:t>Shared claim-specific concepts: view, evaluating; EU scope not established. This is a provisional connection, not an outcome finding.</w:t>
      </w:r>
    </w:p>
    <w:p>
      <w:r>
        <w:t xml:space="preserve">Available abstract (not full text): Window views are an important design feature in buildings. Views can impact the cognitive attention, psychological and physiological well-being of building occupants due to their ability to provide recovery in stressful working environments. The impact of viewing position on view perception as a result of the visual parallax effect resulted from occupants seeing a window from different relative positions in any given room has not been comprehensively investigated. In this study, view perception was evaluated using a physically-based 360° virtual environment at three different viewing locations: close, middle, and far. The three conditions were presented to thirty-two participants. The study employed a comprehensive method by collecting subjective and physiological evaluations. A stress-recovery methodology to assess restorativeness effects was used by presenting a window view observing period after a stressful task was performed. Subjective assessments included questions on view restorative ability, view content and size preferences, view valance/arousal, and positive and negative affects. Physiological measures included skin conductance, heart rate, and heart rate variability. Results showed significant differences in subjective parameters and measures of skin conductance. Decreased view quality was reported as participants observed the view from the further viewing locations </w:t>
      </w:r>
    </w:p>
    <w:p>
      <w:r>
        <w:t>POSSIBLE 2020: The PROFOUND Database for evaluating vegetation models and simulating climate impacts on European forests — https://doi.org/10.5194/essd-12-1295-2020</w:t>
      </w:r>
    </w:p>
    <w:p>
      <w:r>
        <w:t>Shared claim-specific concepts: evaluation, well, evaluating; EU scope visible. This is a provisional connection, not an outcome finding.</w:t>
      </w:r>
    </w:p>
    <w:p>
      <w:r>
        <w:t>Available abstract (not full text): Process-based vegetation models are widely used to predict local and global ecosystem dynamics and climate change impacts. Due to their complexity, they require careful parameterization and evaluation to ensure that projections are accurate and reliable. The PROFOUND Database (PROFOUND DB) provides a wide range of empirical data on European forests to calibrate and evaluate vegetation models that simulate climate impacts at the forest stand scale. A particular advantage of this database is its wide coverage of multiple data sources at different hierarchical and temporal scales, together with environmental driving data as well as the latest climate scenarios. Specifically, the PROFOUND DB provides general site descriptions, soil, climate, CO 2 , nitrogen deposition, tree and forest stand level, and remote sensing data for nine contrasting forest stands distributed across Europe. Moreover, for a subset of five sites, time series of carbon fluxes, atmospheric heat conduction and soil water are also available. The climate and nitrogen deposition data contain several datasets for the historic period and a wide range of future climate change scenarios following the Representative Concentration Pathways (RCP2.6, RCP4.5, RCP6.0, RCP8.5). We also provide pre-industrial climate simulations that allow for model runs aimed at disentangling the contribution of climate change to observed for</w:t>
      </w:r>
    </w:p>
    <w:p>
      <w:r>
        <w:t>POSSIBLE 2019: Evaluating Academic Legal Research in Europe — https://doi.org/10.4337/9781788115506</w:t>
      </w:r>
    </w:p>
    <w:p>
      <w:r>
        <w:t>Shared claim-specific concepts: evaluation, review, evaluating, action; EU scope visible. This is a provisional connection, not an outcome finding.</w:t>
      </w:r>
    </w:p>
    <w:p>
      <w:r>
        <w:t>Available abstract (not full text): Where rankings, journal impact factors, citation scores and time-consuming peer review processes are increasingly viewed as a nightmare in the natural and social sciences, law still seems to be an oasis of peace and tranquility in certain countries. Nevertheless, this book reveals that law is a discipline in transition, moving from a national towards a transnational focus, from managerial laissez faire towards research programming and output financing, from monodisciplinarity to multidisciplinarity, from implicit quality standards toward more explicit attention for theory-building and methodological accountability. Experts from all over Europe in this volume show how these developments already have a serious impact on the way in which academic legal research is being evaluated throughout Europe. We argue that law has the advantage of lagging behind. Legal scholars can learn from the mistakes in other disciplines. We still have time to develop our own quality indicators, methodological standards and evaluation methods, but action is required.</w:t>
      </w:r>
    </w:p>
    <w:p>
      <w:r>
        <w:t>POSSIBLE 2019: Impact of the Electric Mobility Implementation on the Greenhouse Gases Production in Central European Countries — https://doi.org/10.3390/su11184948</w:t>
      </w:r>
    </w:p>
    <w:p>
      <w:r>
        <w:t>Shared claim-specific concepts: view, expected; EU scope visible. This is a provisional connection, not an outcome finding.</w:t>
      </w:r>
    </w:p>
    <w:p>
      <w:r>
        <w:t>Available abstract (not full text): The preference and the development of electromobility are included among the priorities of transport policies in many European countries. This article deals with the issue of electric vehicle operation from the point of view of the environmental impact of electric power production, specifically the energy effectiveness of its production by utilizing primary power production sources. Differences in the effectiveness of the conversion of mixed forms of energy into electricity and their share in the process directly affect the final level of greenhouse gases (GHG) production, and thus the ecological footprint of electric vehicle operations. The specification of energy consumption and GHG production is based on the principles of the EN 16 258: 2012 standard, which considers legislative-regulated power plant effectiveness values, statistical values of GHG emissions from electricity production, and real energy consumption values of an electric vehicle fleet. The calculation takes into account the share of primary sources and the efficiency of electricity production and effectiveness of electricity distribution in each of the evaluated countries. The specific research study is performed by comparing measured parameters for individual countries chosen from the Central Europe region. The results of the study show that the quantification of the positive environmental consequences of incr</w:t>
      </w:r>
    </w:p>
    <w:p>
      <w:r>
        <w:t>POSSIBLE 2019: Evaluation Practices and Impact: Overload? — https://doi.org/10.1007/978-3-030-11738-2_8</w:t>
      </w:r>
    </w:p>
    <w:p>
      <w:r>
        <w:t>Shared claim-specific concepts: evaluation, offers; EU scope visible. This is a provisional connection, not an outcome finding.</w:t>
      </w:r>
    </w:p>
    <w:p>
      <w:r>
        <w:t>Available abstract (not full text): Abstract This chapter offers an analysis of evaluation practices in and around the universities in Denmark, Finland, Norway and Sweden. The analysis builds on a conceptual framework focussing on a typology of evaluation models and combines these with an actor’s perspective. The analysis shows that similar evaluation ideas and models have been implemented across the countries, but also that when looking into evaluation practices, variations are considerable. Further, the chapter explores academics’ views on evaluation and evaluation impact. This part of the analysis reveals country differences and shows that evaluation criteria in policy- and managerial-driven evaluation schemes often do not match academic views on what constitutes and supports good performance.</w:t>
      </w:r>
    </w:p>
    <w:p>
      <w:r>
        <w:t>POSSIBLE 2017: Austerity and health: the impact in the UK and Europe — https://doi.org/10.1093/eurpub/ckx167</w:t>
      </w:r>
    </w:p>
    <w:p>
      <w:r>
        <w:t>Shared claim-specific concepts: well, possible, review, about; EU scope visible. This is a provisional connection, not an outcome finding.</w:t>
      </w:r>
    </w:p>
    <w:p>
      <w:r>
        <w:t>Available abstract (not full text): Austerity measures-reducing social spending and increasing taxation-hurts deprived groups the most. Less is known about the impact on health. In this short review, we evaluate the evidence of austerity's impact on health, through two main mechanisms: a 'social risk effect' of increasing unemployment, poverty, homelessness and other socio-economic risk factors (indirect), and a 'healthcare effect' through cuts to healthcare services, as well as reductions in health coverage and restricting access to care (direct). We distinguish those impacts of economic crises from those of austerity as a response to it. Where possible, data from across Europe will be drawn upon, as well as more extensive analysis of the UK's austerity measures performed by the authors of this review.</w:t>
      </w:r>
    </w:p>
    <w:p>
      <w:pPr>
        <w:pStyle w:val="Heading2"/>
      </w:pPr>
      <w:r>
        <w:t>The state of democracy in the European Union in scenarios: federation, empire and Europe à la carte</w:t>
      </w:r>
    </w:p>
    <w:p>
      <w:r>
        <w:t>Original source (2016): https://doi.org/10.31338/1641-2478pe.4.15.5</w:t>
      </w:r>
    </w:p>
    <w:p>
      <w:r>
        <w:t>Original wording (abstract; indexed_source_text_not_full_document_verified): The aim of the article is to present possible scenarios on maintaining democracy in the EU, while assuming different hypothetical directions in which it could develop as a federation, empire and Europe à la carte. The abovementioned objective of scenario development is achieved through distinguishing the notions of policy, politics and polity in the research.</w:t>
      </w:r>
    </w:p>
    <w:p>
      <w:r>
        <w:t>POSSIBLE 2026: The Communion of Protestant Churches in Europe and European integration — https://doi.org/10.31261/ssht.2025.58.1.05</w:t>
      </w:r>
    </w:p>
    <w:p>
      <w:r>
        <w:t>Shared claim-specific concepts: aim, article, present; EU scope visible. This is a provisional connection, not an outcome finding.</w:t>
      </w:r>
    </w:p>
    <w:p>
      <w:r>
        <w:t>Available abstract (not full text): The Communion of Protestant Churches in Europe (CPCE) is currently a communion of 96 Protestant Churches of various traditions from over 30 European countries, representing over 50 million Christians in Europe and beyond, including South America. In its founding document – the Leuenberg Agreement – it declared the realization of the Church communion, in three areas: continuing theological conversation, ecumenical, witness and service. The aim of this article is to present how the topic of European integration is being reflected on in these three areas of CPCE work. The analysis will be supplemented by a review of the references to European integration in the programmatic documents adopted by the highest governing body of the CPCE – its general assemblies.</w:t>
      </w:r>
    </w:p>
    <w:p>
      <w:r>
        <w:t>POSSIBLE 2024: A Mapping of Textile Waste Recycling Technologies in Europe and Spain — https://doi.org/10.3390/textiles4030022</w:t>
      </w:r>
    </w:p>
    <w:p>
      <w:r>
        <w:t>Shared claim-specific concepts: article, different, directions; EU scope visible. This is a provisional connection, not an outcome finding.</w:t>
      </w:r>
    </w:p>
    <w:p>
      <w:r>
        <w:t>Available abstract (not full text): Textiles are composed of different types of fibers; thus, different processes for end-of-life recovery are currently applied. After collection, a prior sorting process is essential to classify the textiles and assess their quality in order to ensure that the best available technology is selected, with mechanical recycling being the most widespread and mature. Nevertheless, it still has important limitations as it is not suitable for the treatment of all fibers, especially those of non-organic origin and blends. On the other hand, chemical recycling appears to be a necessary technology to valorize the fibers that cannot be reused or mechanically recycled and to avoid landfilling. This article aims to provide an overview of the available technologies in the field of textile waste recycling, including collection, pretreatment, and mechanical and chemical recycling processes. Each technology is described identifying pros and cons, and a techno-economical assessment is presented including technology readiness levels (TRLs), investments, and costs. European and Spanish regulations and policies on textile waste are analyzed to identify the trends and directions the sector is moving towards.</w:t>
      </w:r>
    </w:p>
    <w:p>
      <w:r>
        <w:t>POSSIBLE 2021: The European Green Deal — More Than Climate Neutrality — https://doi.org/10.1007/s10272-021-0963-z</w:t>
      </w:r>
    </w:p>
    <w:p>
      <w:r>
        <w:t>Shared claim-specific concepts: article, present; EU scope visible. This is a provisional connection, not an outcome finding.</w:t>
      </w:r>
    </w:p>
    <w:p>
      <w:r>
        <w:t>Available abstract (not full text): The European Green Deal aims at climate neutrality for Europe by 2050, implying a significant acceleration of emission reductions. To gain the necessary support, it needs to reduce regional and social inequalities in Europe. We present objectives in terms of jobs, growth and price stability to complement the emission reduction targets and sketch a proof-of-concept investment profile for reaching these goals. Substantial additional annual public investments, of about 1.8% of pre-COVID-19 GDP, are proposed for the next decade. Their allocation includes retrofitting the European building stock, consciously fostering a renewal of the European innovation system as well as complementary measures in the fields of education and health. The scenario outlined in this article is meant as an input to the urgently needed discussion on how the European Green Deal can shift the EU economy to a new development path that realises a carbon-neutral Europe by 2050 while strengthening European cohesion.</w:t>
      </w:r>
    </w:p>
    <w:p>
      <w:r>
        <w:t>POSSIBLE 2021: The Past, Present, and Future of European integration: a French perspective — https://doi.org/10.47683/kkielemzesek.ke-2021.42</w:t>
      </w:r>
    </w:p>
    <w:p>
      <w:r>
        <w:t>Shared claim-specific concepts: aim, article, present; EU scope visible. This is a provisional connection, not an outcome finding.</w:t>
      </w:r>
    </w:p>
    <w:p>
      <w:r>
        <w:t>Available abstract (not full text): As one of the founding member states of the European Communities (EC), France has played a major role in the process of European integration since the 1950s. However, French presidents have always treated European integration cautiously, generally supporting forms of supranational integration in areas of socio-economic policy and preferring the intergovernmental mode of governance in areas of defence and foreign policy. In a context marked by the recent weakening of the French influence on European integration (see Assemblée Nationale, 2016), the gradual rise in Euroscepticism since the 2010s (see European Parliament, 2017), as well as the destabilising effect of Brexit (see Zagdoun, 2016), Emmanuel Macron’s 2017 election on an openly pro-European program has foreshadowed the possibility for France to reassert its role as a leading actor in Europe. The aim of this article is to make sense of these events in terms of France’s relationship with the European integration process from its origins to the present day and to understand France’s future role in the evolution of the European Union (EU), while paying particular attention to President Macron’s pro- integrationist influence on the EU.</w:t>
      </w:r>
    </w:p>
    <w:p>
      <w:r>
        <w:t>POSSIBLE 2021: PAN – EUROPEAN TRANSPORT CORRIDORS IN THE POLICY OF THE EUROPEAN UNION — https://doi.org/10.20858/sjsutst.2021.112.4</w:t>
      </w:r>
    </w:p>
    <w:p>
      <w:r>
        <w:t>Shared claim-specific concepts: article, present; EU scope visible. This is a provisional connection, not an outcome finding.</w:t>
      </w:r>
    </w:p>
    <w:p>
      <w:r>
        <w:t>Available abstract (not full text): The issue of organising efficient transport within Europe is one of the areas of a common policy of the European Union, shaped for over 30 years. Poland has been participating in this creative process since May 1, 2004. The intensity of the development of transport and the economy of individual countries that do not only belong to the Community but also have a significant impact on changes in the European Union's transport policy aimed at improving the course of pan-European transport corridors. In parallel with the creation of an effective European transport network, the rapid economic development of the regions belonging to the Union, including Poland, is becoming increasingly important. This article aims to discuss the issue of the development of the trans-European transport corridors, which also passes through the territory of Poland. In addition, this paper aims to present changes in EU policy concerning the shaping of transport infrastructure in Europe, following which a single transport network is to be created soon, meeting the communication and economic needs of the countries belonging to the Community.</w:t>
      </w:r>
    </w:p>
    <w:p>
      <w:r>
        <w:t>POSSIBLE 2020: Development and support of small innovative entrepreneurship in Europe and the USA — https://doi.org/10.36097/rsan.v1i42.1554</w:t>
      </w:r>
    </w:p>
    <w:p>
      <w:r>
        <w:t>Shared claim-specific concepts: aim, article, present; EU scope visible. This is a provisional connection, not an outcome finding.</w:t>
      </w:r>
    </w:p>
    <w:p>
      <w:r>
        <w:t>Available abstract (not full text): Modern business practice shows that small innovative entrepreneurship needs special support in the context of rapid development of science and technology. To implement the outlined, various business support programs are being developed at a rapid pace, which are being actively implemented in practice. The aim of the article is to present the conceptual features of the development and support of small innovative entrepreneurship in Europe and the United States. The purpose of the academic paper is to present the conceptual features of supporting small innovative entrepreneurship in Europe and the United States of America. A number of research methods have been used to reveal the purpose of the article, including such as: system-structural method, method of description, method of theoretical analysis, method of comparison, method of observation, method of synthesis, experimental method, modeling method, grouping method, generalization method. It has been proved that in European countries and the USA the policy of support of small innovative business is actively pursued. It has been found that the UK has developed and implemented Europe 2020: Scottish national reform program 2017, which provides support for small innovative businesses by promoting innovation in the business environment. It has been established that the Netherlands intends to expand opportunities to increase fundin</w:t>
      </w:r>
    </w:p>
    <w:p>
      <w:r>
        <w:t>POSSIBLE 2020: Spatial Diversity of Tourism in the Countries of the European Union — https://doi.org/10.3390/su12072713</w:t>
      </w:r>
    </w:p>
    <w:p>
      <w:r>
        <w:t>Shared claim-specific concepts: aim, article, present, objective; EU scope visible. This is a provisional connection, not an outcome finding.</w:t>
      </w:r>
    </w:p>
    <w:p>
      <w:r>
        <w:t>Available abstract (not full text): The aim of the article is to present the spatial diversity of tourism in the countries of the European Union (EU). The main objective of the article can be divided into three immediate goals, each of which is to determine countries that are similar by means of: (1) accommodation base; (2) tourism traffic; and (3) tourism-related expenditures and revenues. In order to group countries, Ward’s cluster analysis method is used. The aim is verified with the use of 2017 United Nations World Tourism Organization (UNWTO) and Eurostat data. The analysis covers all EU member states. The research conducted confirms, inter alia, the key role of the accommodation base in the development of tourism in those countries.</w:t>
      </w:r>
    </w:p>
    <w:p>
      <w:r>
        <w:t>POSSIBLE 2019: ‘Fear and loathing across party lines’ (also) in Europe: Affective polarisation in European party systems — https://doi.org/10.1111/1475-6765.12351</w:t>
      </w:r>
    </w:p>
    <w:p>
      <w:r>
        <w:t>Shared claim-specific concepts: aim, article, present; EU scope visible. This is a provisional connection, not an outcome finding.</w:t>
      </w:r>
    </w:p>
    <w:p>
      <w:r>
        <w:t>Available abstract (not full text): Abstract Several scholars in the United States have recently addressed an increased partisan animosity between Democrats and Republicans, and have termed this phenomenon ‘affective polarisation’. This surge in partisan affective polarisation is perceived to be highly problematic, as it has been found to have a negative impact on the functioning of the party system and even society at large. The aim of this article is to study the concept of affective polarisation in European party systems. It introduces the Affective Polarisation Index (API) that allows for measuring and comparing levels of affective polarisation also in multiparty systems. This novel measure is applied to 22 European democracies and the United States between 2005 and 2016. The results indicate that affective polarisation is acutely present in European party systems, as partisans are often extremely hostile towards competing parties. The most affectively polarised countries are in Central Eastern and Southern Europe where the degree of affective polarisation is notably higher than it is in the United States, while Northwestern European countries are more moderate in terms of partisan feelings. Further analysis reveals that affective polarisation is significantly correlated with ideological polarisation, but the relationship between the two appears to be conditional: in some Western European political systems id</w:t>
      </w:r>
    </w:p>
    <w:p>
      <w:r>
        <w:t>POSSIBLE 2019: Crises and transformations of European integration: European business circles during the long 1970s — https://doi.org/10.1080/13507486.2019.1613964</w:t>
      </w:r>
    </w:p>
    <w:p>
      <w:r>
        <w:t>Shared claim-specific concepts: article, present, possible; EU scope visible. This is a provisional connection, not an outcome finding.</w:t>
      </w:r>
    </w:p>
    <w:p>
      <w:r>
        <w:t>Available abstract (not full text): This article aims to elucidate the way European capitalists reacted to the long crises of the 1970s through the analysis of the European League of Economic Cooperation (ELEC). It starts by introducing the ELEC as the most representative of European multinationals after merging with a rival transnational network: the European Committee for Economic and Social Progress (CEPES). Then it focuses on its 1975 London Conference where three representative strands of the European model of capitalism presented their views on the crises. All shared the view that the crises represented a structural rupture in the social and political legitimation of Fordism, Keynesianism and the welfare state, which put into question Europe’s role in the world. European integration was put forward as part of the solution. A review of four possible scenarios for European integration will be presented in the third section showing the views of a fourth component of European capitalism: Foreign Direct Investors from the USA. The last section will present the way the ELEC reacted to the second oil shock. The article will conclude that European capitalists conceived European integration as an integral element to reform and preserve the particular model of mixed economy and the welfare state in the midst of globalization.</w:t>
      </w:r>
    </w:p>
    <w:p>
      <w:r>
        <w:t>POSSIBLE 2019: The ‘political’ roles of the European Commission — https://doi.org/10.1080/07036337.2019.1572135</w:t>
      </w:r>
    </w:p>
    <w:p>
      <w:r>
        <w:t>Shared claim-specific concepts: aim, article, present, different; EU scope visible. This is a provisional connection, not an outcome finding.</w:t>
      </w:r>
    </w:p>
    <w:p>
      <w:r>
        <w:t>Available abstract (not full text):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r>
        <w:t>POSSIBLE 2019: The European Logistics Space: On Jean Monnet and the Integration of Europe — https://doi.org/10.14195/2183-203x_49_3</w:t>
      </w:r>
    </w:p>
    <w:p>
      <w:r>
        <w:t>Shared claim-specific concepts: aim, article, present, different; EU scope visible. This is a provisional connection, not an outcome finding.</w:t>
      </w:r>
    </w:p>
    <w:p>
      <w:r>
        <w:t>Available abstract (not full text): This article aims to investigate a different genealogical line of European integration. Through a partial use of the biography of Jean Monnet, I aim to expand the temporal borders of the path often outlined by European integration history, taking advantage of an analytical tool that is rarely used in this context: logistics. On the one hand, I propose to make the Schuman Declaration resonant with a broader “European past”. On the other hand, my aim is to show that some categories of the global present also pervade the process of continental integration. All in all, this path reveals that the latter process was originally developed to build what I call the “European Logistics Space”.</w:t>
      </w:r>
    </w:p>
    <w:p>
      <w:r>
        <w:t>POSSIBLE 2019: The European Logistics Space: On Jean Monnet and the Integration of Europe — https://doi.org/10.14195/2183-203x_49</w:t>
      </w:r>
    </w:p>
    <w:p>
      <w:r>
        <w:t>Shared claim-specific concepts: aim, article, present, different; EU scope visible. This is a provisional connection, not an outcome finding.</w:t>
      </w:r>
    </w:p>
    <w:p>
      <w:r>
        <w:t>Available abstract (not full text): This article aims to investigate a different genealogical line of European integration. Through \na partial use of the biography of Jean Monnet, I aim to expand the temporal borders of the \npath often outlined by European integration history, taking advantage of an analytical tool \nthat is rarely used in this context: logistics. On the one hand, I propose to make the Schuman \nDeclaration resonant with a broader “European past”. On the other hand, my aim is \nto show that some categories of the global present also pervade the process of continental \nintegration. All in all, this path reveals that the latter process was originally developed to \nbuild what I call the “European Logistics Space”.</w:t>
      </w:r>
    </w:p>
    <w:p>
      <w:pPr>
        <w:pStyle w:val="Heading2"/>
      </w:pPr>
      <w:r>
        <w:t>Towards an assessment of adaptive capacity of the European agricultural sector to droughts</w:t>
      </w:r>
    </w:p>
    <w:p>
      <w:r>
        <w:t>Original source (2016): https://doi.org/10.1016/j.cliser.2016.10.003</w:t>
      </w:r>
    </w:p>
    <w:p>
      <w:r>
        <w:t>Original wording (abstract; indexed_source_text_not_full_document_verified): We create a set of indicators which highlight areas of high or low AC, forecast to estimated times the world will reach 2° of warming using Shared Socioeconomic Pathway (SSP) and Representative Concentration Pathway (RCP) scenarios to drive AC indicator projections based on a fixed effects model.</w:t>
      </w:r>
    </w:p>
    <w:p>
      <w:r>
        <w:t>POSSIBLE 2025: Creating a data processing warehouse to support performance monitoring of cancer screening programmes in Europe using a common set of indicators — https://doi.org/10.1093/eurpub/ckaf119</w:t>
      </w:r>
    </w:p>
    <w:p>
      <w:r>
        <w:t>Shared claim-specific concepts: create, set, indicators, based; EU scope visible. This is a provisional connection, not an outcome finding.</w:t>
      </w:r>
    </w:p>
    <w:p>
      <w:r>
        <w:t>Available abstract (not full text): The CanScreen-ECIS project implemented by International Agency for Research on Cancer aimed to define indicators to monitor, breast, cervical, colorectal, and lung cancer screening and create a validated mechanism for the European screening programmes to be able to systematically collect and submit performance data for public dissemination through European Cancer Information System (ECIS). Indicators were developed through a stepwise process of literature review, Delphi survey followed by face-to-face interaction. A survey questionnaire to report policies, protocols, and organization of screening programmes and a data collection tool to estimate indicators across the screening continuum were designed. These were integrated into a data warehouse to permit programme managers to access the tools, undergo training, submit data, and estimate the indicators. The same warehouse would allow peer-reviewing of submitted information and data and will ultimately be connected to ECIS for data visualization. Functionalities of the tools and the warehouse were pilot tested through data collection from several European countries. Total 23 indicators were selected based on priority and feasibility. Programme managers from 23 European countries completed the surveys and submitted data from national/regional screening programmes. Data to estimate the indicators were obtained from 17, 13, and 15 b</w:t>
      </w:r>
    </w:p>
    <w:p>
      <w:r>
        <w:t>POSSIBLE 2025: High resolution maps of European agricultural indicators — https://doi.org/10.5194/egusphere-egu25-16510</w:t>
      </w:r>
    </w:p>
    <w:p>
      <w:r>
        <w:t>Shared claim-specific concepts: create, indicators, highlight, areas, high, estimated; EU scope visible. This is a provisional connection, not an outcome finding.</w:t>
      </w:r>
    </w:p>
    <w:p>
      <w:r>
        <w:t>Available abstract (not full text): The last European agricultural census, organized by Eurostat, took place in 2020, collecting more than 300 variables on agriculture and farm structure from 9.03 million farmers in the EU (and EFTA countries Iceland, Switzerland and Norway). Data are aggregated to NUTS 2, NUTS 1 or national levels before they are publicly released on the Eurostat website due to confidentiality regulations that do not allow individual data to be disclosed.With a newly developed methodology, it is now possible to create multi-resolution grids of these variables, where the size of the grid cells depend on the spatial density of the data. All grid cells respect a series of confidentiality rules, such as a minimum number of farms per grid cell (at least 10) a dominance rule (the largest contributes cannot have more than 85% of the total production in a grid cell) and a quality rule (estimates must have an estimated coefficient of variation less than 35%).We will here present a range of thematic maps based on the 2020 European agricultural census to highlight regional and country differences, giving a new insight in the geographical patterns of agriculture in Europe, some expected, some more unexpected. All of them correspond to contextual indicators for the Common Agricultural Policy (CAP) and are divided into three broad categories: structural components (i.e., agricultural holdings, land use, lives</w:t>
      </w:r>
    </w:p>
    <w:p>
      <w:r>
        <w:t>POSSIBLE 2024: Towards a sustainable set of European Core Health Indicators (ECHI) — https://doi.org/10.25646/12918</w:t>
      </w:r>
    </w:p>
    <w:p>
      <w:r>
        <w:t>Shared claim-specific concepts: set, indicators, indicator, based; EU scope visible. This is a provisional connection, not an outcome finding.</w:t>
      </w:r>
    </w:p>
    <w:p>
      <w:r>
        <w:t xml:space="preserve">Available abstract (not full text): Background: The European Core Health Indicators (ECHI) are a set of 88 indicators that provide a compact overview of the extensive field of European public health and healthcare. The ECHI set adds value to European Union health information systems (HIS) for both Member States and EU-associated countries and the European Commission by providing a solid, comparable information base on national public health and healthcare trends and developments. The indicators allow for learning by comparison and the list supports the organisation of national health information systems. As the ECHI set was defined more than ten years ago, it is time to review its current needs and readiness for the future. Methods: In this article, we reflect on the sustainability of the ECHI set and explore directions for improving future use, based on the activities in the Joint Action on Health Information (2018 - 2021). There, we looked into ECHI governance and reviewed the set's metadata, content and link with other indicator sets in the wider European health information landscape. Conclusions: We conclude that in order to remain relevant and keep up with technical and policy developments, the ECHI set needs maintenance and updates. This cannot be achieved in a non-systematic project-based manner; it requires sustainable funding, governance and formalised activities in a permanent structure. We call on the </w:t>
      </w:r>
    </w:p>
    <w:p>
      <w:r>
        <w:t>POSSIBLE 2022: Ellenberg‐type indicator values for European vascular plant species — https://doi.org/10.1111/jvs.13168</w:t>
      </w:r>
    </w:p>
    <w:p>
      <w:r>
        <w:t>Shared claim-specific concepts: create, set, indicator, based; EU scope visible. This is a provisional connection, not an outcome finding.</w:t>
      </w:r>
    </w:p>
    <w:p>
      <w:r>
        <w:t>Available abstract (not full text):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r>
        <w:t>POSSIBLE 2022: The indicator-based measurement of the circular economy in the countries of the European Union — https://doi.org/10.17649/tet.36.2.3374</w:t>
      </w:r>
    </w:p>
    <w:p>
      <w:r>
        <w:t>Shared claim-specific concepts: create, set, indicators, areas, high, based; EU scope visible. This is a provisional connection, not an outcome finding.</w:t>
      </w:r>
    </w:p>
    <w:p>
      <w:r>
        <w:t>Available abstract (not full text): The circular economy is an integral part of sustainable development as a new economic model, which is the opposite of the linear economy that is still in force today. In terms of its basics, we can speak of a sustainable economic system in which economic growth is completely decoupled from the use of resources, in order to reduce the use of natural resources and recycle them. In the study, the authors present the possibility of measuring the circular economy and establish a ranking for the 28 Member States of the European Union based on the created composite indicators measuring the circular economy. The values of the created CCEI index were compared with rankings produced by other researchers in similar and different ways. The goodness of the presented methodology is examined by comparing previous similar research results. The primary objective of the study is to create composite indicators and to analyse their comparability. Further aim is to characterise the leading and the tail-ender countries from which conclusions can be drawn regarding ranking and thus make them comparable. The research objective is achieved by using secondary data based on different Eurostat databases related to a sub-sector of the circular economy for the year 2018. The indicators of the circular economy were grouped according to four areas: production and consumption, waste management secondary raw ma</w:t>
      </w:r>
    </w:p>
    <w:p>
      <w:r>
        <w:t>POSSIBLE 2022: The 2018–2020 Multi‐Year Drought Sets a New Benchmark in Europe — https://doi.org/10.1029/2021ef002394</w:t>
      </w:r>
    </w:p>
    <w:p>
      <w:r>
        <w:t>Shared claim-specific concepts: warming, socioeconomic, based; EU scope visible. This is a provisional connection, not an outcome finding.</w:t>
      </w:r>
    </w:p>
    <w:p>
      <w:r>
        <w:t>Available abstract (not full text):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r>
        <w:t>POSSIBLE 2022: A comprehensive indicator set for measuring the sustainable energy performance in the European Union — https://doi.org/10.1201/9781003259954-2</w:t>
      </w:r>
    </w:p>
    <w:p>
      <w:r>
        <w:t>Shared claim-specific concepts: set, indicators, indicator; EU scope visible. This is a provisional connection, not an outcome finding.</w:t>
      </w:r>
    </w:p>
    <w:p>
      <w:r>
        <w:t>Available abstract (not full text): Clean energy transition is the key for sustainable energy. In spite of the positive tendencies, the Covid-19 has also raised many issues and highlighted the importance of the topic. The Sustainable Development Goal 7 and 13 may serve as a basis to achieve affordable and clean energy and to combat global climate change. Meeting these objectives needs well-designed energy and environmental policy with a strong holistic approach. This study aims to build a comprehensive indicator set for measuring the sustainable energy performance of the European Union Member States. To determine the indicator set we follow rigorous steps, the methodology of which is described in detail. Finally, we present the list of eight selected indicators, from which a composite indicator can be built. Additionally, the overall structure of the dataset is analyzed through correlation analysis, stationarity and normality tests. Standardization is carried out to make the variables comparable with different units. Respecting the main dimensions of the theory of sustainable development, we also determine the weighting factors and we put them up for discussion.</w:t>
      </w:r>
    </w:p>
    <w:p>
      <w:r>
        <w:t>POSSIBLE 2022: Digitalisation as the Indicator of the Evidence of Sustainability in the European Union — https://doi.org/10.3390/su14148371</w:t>
      </w:r>
    </w:p>
    <w:p>
      <w:r>
        <w:t>Shared claim-specific concepts: create, indicators, indicator, fixed; EU scope visible. This is a provisional connection, not an outcome finding.</w:t>
      </w:r>
    </w:p>
    <w:p>
      <w:r>
        <w:t>Available abstract (not full text): Digitalisation provides access to an integrated network of information that can benefit society and businesses. However, the evidence of sustainability in business is less researched. In our paper, by building up the research approach, we address the relevant gap by investigating how sustainable development goals represent the interrelationship between digitalisation and sustainability. Such research is particularly important because understandings of digitalisation and sustainability determine how different actors, including business managers and policymakers, act in response to those imperatives to develop future employees skills starting from school age. Following a multi-method approach, we have combined our analysis into two steps examining the relationship between digitalisation and sustainability. Building digital networks, business managers and policy makers using digital means can create some unique opportunities to strategically address sustainable development challenges for the United Nations Targets (SDG) to ensure higher productivity, education, and an equality-oriented society. This point of view describes the potential of digitalisation for society and businesses of the future. The authors revise the links between digitalisation and sustainability in the European Union countries by using data available in Eurostat and UNECE public databases. The two-stage methodo</w:t>
      </w:r>
    </w:p>
    <w:p>
      <w:r>
        <w:t>POSSIBLE 2021: The impact of sustainable tourism indicators on destination competitiveness: the European Tourism Indicator System — https://doi.org/10.1080/09669582.2021.1910281</w:t>
      </w:r>
    </w:p>
    <w:p>
      <w:r>
        <w:t>Shared claim-specific concepts: indicators, indicator, based; EU scope visible. This is a provisional connection, not an outcome finding.</w:t>
      </w:r>
    </w:p>
    <w:p>
      <w:r>
        <w:t>Available abstract (not full text): We aimed to evaluate the impact of sustainable tourism indicators on destination competitiveness with reference to the European Tourism Indicator System (ETIS), a scheme funded by the European Commission to address the evidence gap in tourism policy making. To do this, we evaluate the absorptive capacity of destination management organisations (DMOs) to implement and use sustainable tourism indicators to make policy decisions. We provide evidence of how DMOs have acquired knowledge about the importance of sustainable tourism indicators through ETIS, and how they have assimilated it by developing their own systems based on the principles of ETIS. However, we find that the European Commission had unrealistic expectations that DMOs, or their policies, would be transformed as a result of the use of indicators, or that indicators would be exploited to improve tourism sustainability and competitiveness. We contribute to the study of policy science by showing how absorptive capacity can be used to analyse and evaluate policy interventions, despite being a linear rational approach to explaining a complex policy context.</w:t>
      </w:r>
    </w:p>
    <w:p>
      <w:r>
        <w:t>POSSIBLE 2020: National Set of MAES Indicators in Greece: Ecosystem Services and Management Implications — https://doi.org/10.3390/f11050595</w:t>
      </w:r>
    </w:p>
    <w:p>
      <w:r>
        <w:t>Shared claim-specific concepts: create, set, indicators, areas, indicator, based; EU scope visible. This is a provisional connection, not an outcome finding.</w:t>
      </w:r>
    </w:p>
    <w:p>
      <w:r>
        <w:t>Available abstract (not full text): Research Highlights: The developed National Set of Indicators for the Mapping and Assessment of Ecosystems and their Services (MAES) implementation in Greece at the national level sets the official, national basis on which future studies will be conducted for MAES reporting for the achievement of targets within the National and the European Union (EU) biodiversity Strategy. Background and Objectives: Greece is currently developing and implementing a MAES nation-wide program based on the region’s unique characteristics following the proposed methodologies by the European Commission, in the frame of the LIFE-IP 4 NATURA project (Integrated actions for the conservation and management of Natura 2000 sites, species, habitats and ecosystems in Greece). In this paper, we present the steps followed to compile standardized MAES indicators for Greece that include: (a) collection and review of the available MAES-related datasets, (b) shortcomings and limitations encountered and overcome, (c) identification of data gaps and (d) assumptions and framework setting. Correspondence to EU and National Strategies and Policies are also examined to provide an initial guidance for detailed thematic studies. Materials and Methods: We followed the requirements of the EU MAES framework for ecosystem services and ecosystem condition indicator selection. Ecosystem services reported under the selected ind</w:t>
      </w:r>
    </w:p>
    <w:p>
      <w:r>
        <w:t>POSSIBLE 2020: Spatial analysis of indicators affecting the exploitation of shallow geothermal energy at European scale — https://doi.org/10.1016/j.renene.2020.11.081</w:t>
      </w:r>
    </w:p>
    <w:p>
      <w:r>
        <w:t>Shared claim-specific concepts: set, indicators, areas, high, indicator; EU scope visible. This is a provisional connection, not an outcome finding.</w:t>
      </w:r>
    </w:p>
    <w:p>
      <w:r>
        <w:t>Available abstract (not full text): Shallow Geothermal Energy (SGE) exploited by vertical close loop Ground Source Heat Pumps (GSHP) is a proven, reliable, and widespread renewable heating and cooling technology. However, in many regions there is still a lack of awareness among policy makers and end users, constituting a major constraint to wider deployment of SGE. In order to contribute to its market consolidation, this work focuses on bringing to light relevant spatial information affecting the suitability of SGE exploitation. This information is the result of the systematization of geological, climatic, and environmental open and available data translated into performance indicators. A set of thematic maps was created using Geographic Information Systems (GIS) comprising the European Member States and other European countries. The relative area and the amount of population affected per indicator was spatially analyzed to determine the most common values found and the affected population. The relationship between area percentage and population affected percentage per indicator was also analyzed and allowed to identify the most common indicators values in areas where high energy demands are expected. Additionally, an example of how this data can be used into a Multi-Criteria Decision-Making (MCDM) framework is shown.</w:t>
      </w:r>
    </w:p>
    <w:p>
      <w:r>
        <w:t>POSSIBLE 2020: A comprehensive indicator set for measuring multiple benefits of energy efficiency — https://doi.org/10.1016/j.enpol.2020.111284</w:t>
      </w:r>
    </w:p>
    <w:p>
      <w:r>
        <w:t>Shared claim-specific concepts: set, indicators, indicator; EU scope visible. This is a provisional connection, not an outcome finding.</w:t>
      </w:r>
    </w:p>
    <w:p>
      <w:r>
        <w:t>Available abstract (not full text): In this paper, we develop a quantitative indicator approach including 20 indicators to measure the multiple benefits of energy efficiency (MB-EE). The MB-EEs are classified into three groups: environmental (e.g. energy savings, emissions), economic (e.g. GDP, employment), and social (health, energy poverty) aspects. We explain the methodological approach, the underlying data sources and limitations. The indicator set has been applied to 29 countries (EU28 plus Norway) for the period 2000 to 2015, proving that it allows to conduct in-depth comparisons of developments and differences across Europe. The indicator set also supports the design of well-suited energy policies by allowing to take into account, on an informed basis, more of the multiple impacts of energy efficiency. For example, our analysis of the effect of energy savings for the period 2000 to 2015 in Germany shows GHG savings of about 158 MtCO2eq., about 30,000 avoided deaths due to less air pollution, a reduction of Germany's import dependency by 5.8 percentage points and a growth of GDP by around 0.3% per year for the period 2010 to 2015) as a consequence of improved energy efficiency. To conclude, the presented approach allows to comprehensively and regularly assess policies in terms of their MB-EEs.</w:t>
      </w:r>
    </w:p>
    <w:p>
      <w:pPr>
        <w:pStyle w:val="Heading2"/>
      </w:pPr>
      <w:r>
        <w:t>Using Scenarios to Assess Policy Mixes for Resource Efficiency and Eco-Innovation in Different Fiscal Policy Frameworks</w:t>
      </w:r>
    </w:p>
    <w:p>
      <w:r>
        <w:t>Original source (2016): https://doi.org/10.3390/su8040309</w:t>
      </w:r>
    </w:p>
    <w:p>
      <w:r>
        <w:t>Original wording (abstract; indexed_source_text_not_full_document_verified): The purpose of the JRC foresight study “2035: Paths towards a sustainable EU economy” was to explore how this could be possible. The scenarios were used in an original way to help experts identify which policy mixes would be best adapted to push each scenario towards a more sustainable future, while respecting its own logic and constraints.</w:t>
      </w:r>
    </w:p>
    <w:p>
      <w:r>
        <w:t>POSSIBLE 2026: The enrichment of post-growth future alternatives for Europe using an online integral foresight methodology — https://doi.org/10.1186/s40309-026-00282-y</w:t>
      </w:r>
    </w:p>
    <w:p>
      <w:r>
        <w:t>Shared claim-specific concepts: foresight, sustainable, possible, experts, identify; EU scope visible. This is a provisional connection, not an outcome finding.</w:t>
      </w:r>
    </w:p>
    <w:p>
      <w:r>
        <w:t>Available abstract (not full text): Abstract The article explores trends, weak signals, and possible pathways for the feasibility of the post-growth concept in Europe, based on an integrated foresight process. The proper formulation of comprehensive future alternatives or scenarios depends on the ability to identify visible and perceptible changes on the horizon and the possible futures that can be derived from these elements. The integral foresight method combines the processing of literature on possible futures from a post-growth and from a sustainable development perspective with horizon scanning and scenario building methods. The main features of the methodology are online interactivity, a multi-round discussion and learning process between the researchers, experts and futurists working in different fields and dealing with the topic of post-growth or sustainability. The result of the future-shaping collaboration process is a list of filtered, refined, and categorized futures statements covering different STEEPLED dimensions and scenarios in which the vision of post-growth was developed under different assumptions. The findings show that according to the experts’ expectations, many of the current trends hinder European society to achieve strong sustainability, but there are opportunities for intervention, the desirable alternatives are not out of sight, and humanity’s flourishing within planetary boundaries ca</w:t>
      </w:r>
    </w:p>
    <w:p>
      <w:r>
        <w:t>POSSIBLE 2025: Foresight on Demand (FoD) Impact of the COVID-19 Pandemic on European Consumer Behaviour - Foresight Study — https://openalex.org/W7137724443</w:t>
      </w:r>
    </w:p>
    <w:p>
      <w:r>
        <w:t>Shared claim-specific concepts: foresight, sustainable, possible, experts; EU scope visible. This is a provisional connection, not an outcome finding.</w:t>
      </w:r>
    </w:p>
    <w:p>
      <w:r>
        <w:t>Available abstract (not full text): Over the course of the project, experts and stakeholders were repeatedly involved in order to jointly develop opportunities and risks for consumers, particularly vulnerable groups, and ideas for policy actions. The project served as a pilot project for the implementation of comprehensive strategic foresight in DG JUST and for building capacities to cope with future uncertainties. The identified trends and scenarios provide an overview of possible future developments in consumption after the COVID-19 pandemic, which can be addressed with the proposed ideas for policy actions for sustainable consumer protection and the strengthening of consumer rights for the green and digital transition.</w:t>
      </w:r>
    </w:p>
    <w:p>
      <w:r>
        <w:t>POSSIBLE 2024: Foresight: Fifty Years to Think Your Futures — https://doi.org/10.1007/978-3-031-66100-6_4</w:t>
      </w:r>
    </w:p>
    <w:p>
      <w:r>
        <w:t>Shared claim-specific concepts: foresight, explore, possible, used; EU scope visible. This is a provisional connection, not an outcome finding.</w:t>
      </w:r>
    </w:p>
    <w:p>
      <w:r>
        <w:t>Available abstract (not full text): Abstract Foresight started with the notion of (Science and) Technology Foresight as a part of Technology Assessment (TA) but is now an independent scientific area. For a long time, Foresight mainly aimed at detecting determined futures but has developed into different directions under different headings. Most processes make use of a combination of methods to explore and develop different possible, probable or desirable futures. Foresight is more and more embedded in different institutions. There, it is carried out together with clients, and serves their specific purposes in the preparation of decision-making or science, technology and innovation policies. It offers the space to bring the different actors in the respective innovation system together. Foresight concepts are more and more accepted, and the results are distributed and used—in companies, ministries, associations, NGOs or the European Commission. Our contribution describes how Foresight has changed during the last 50 years and explains some of the aspects researchers have addressed. We conclude by highlighting two crosscutting emerging dimensions of change in Foresight, i.e. the engagement with transformative, mission-oriented agendas and the meaningful integration of machine-based approaches. Foresighters have to be aware that not only the results of their projects change but also the methods and the actors who work</w:t>
      </w:r>
    </w:p>
    <w:p>
      <w:r>
        <w:t>POSSIBLE 2023: Supporting decision making with strategic foresight — https://doi.org/10.1787/1d78c791-en</w:t>
      </w:r>
    </w:p>
    <w:p>
      <w:r>
        <w:t>Shared claim-specific concepts: purpose, foresight, help, best, each; EU scope not established. This is a provisional connection, not an outcome finding.</w:t>
      </w:r>
    </w:p>
    <w:p>
      <w:r>
        <w:t>Available abstract (not full text): This working paper discusses strategic foresight initiatives and methodologies that support decision making and process design. It highlights case studies, international benchmarks, and best practices, as well as methodological recommendations and options for promoting the adoption and use of strategic foresight in government. The paper has four sections, each centred on a critical action to improve decision making through strategic foresight: (i) framing strategic foresight, (ii) building its fundamental components in governments, (iii) fine-tuning foresight interventions to specific contexts, and (iv) undertaking concrete activities to solve specific policy challenges. Given its exploratory nature, this working paper and its proposals should be seen as contributing to ongoing debates about the use of strategic foresight for decision making in government. The ultimate purpose of this paper is to help governments become more proactive and prospective.</w:t>
      </w:r>
    </w:p>
    <w:p>
      <w:r>
        <w:t>POSSIBLE 2020: Foresight – Using Science and Evidence to Anticipate and Shape the Future — https://doi.org/10.1016/b978-0-12-822596-7.00012-7</w:t>
      </w:r>
    </w:p>
    <w:p>
      <w:r>
        <w:t>Shared claim-specific concepts: foresight, possible, help, identify; EU scope not established. This is a provisional connection, not an outcome finding.</w:t>
      </w:r>
    </w:p>
    <w:p>
      <w:r>
        <w:t>Available abstract (not full text): The role of public policy is to create a desirable future. However, policymaking often suffers from presentism bias, i.e. it focusses on today’s issues and ignores future challenges and opportunities. While the future is uncertain and cannot be predicted, foresight offers a well-established toolbox to help deal with it, in all its uncertainty and complexity. Foresight is a systematic participatory process to create collective intelligence about the medium- to long-term future and provide strategic knowledge for policy making. This chapter presents relevant foresight tools for policymaking: horizon scanning to identify emerging issues, megatrends to understand implications of long-term developments, scenario building to deal with uncertainty and develop a systemic understanding of complex issues, speculative design to illustrate possible future applications, and serious games to experience consequences of possible futures.</w:t>
      </w:r>
    </w:p>
    <w:p>
      <w:r>
        <w:t>POSSIBLE 2020: EVIDENCE- AND FORESIGHT-BASED POLICY: DICHOTOMY OR OVERLAP? — https://doi.org/10.46473/wcsaj27240606/18-09-2020-0014//full/html</w:t>
      </w:r>
    </w:p>
    <w:p>
      <w:r>
        <w:t>Shared claim-specific concepts: foresight, economy, identify, best; EU scope not established. This is a provisional connection, not an outcome finding.</w:t>
      </w:r>
    </w:p>
    <w:p>
      <w:r>
        <w:t>Available abstract (not full text): Economic research determines economic policy, which determines economic politics" could be a summary of the basic philosophy of the World Complexity Science Academy (WCSA) applied to the field of economics.Such an evidence-based policy is lively in academic circles but still absent in the political world.However, there is more: looking back in order to extrapolate and forecast tendencies for the future, as the evidence-based policy does, needs to be complemented by forward-looking attempting to identify megatrends based on change drivers that should be translated into concrete policy action today.Therefore, to narrow the gap between economy, policy and politics, foresight thinking on top of evidence-based policy could be the best option for more accurate policy and law-making.Black boxes should be avoided in the evidence-based approach as it makes policy unexplainable to the citizens and politicians unaccountable.Black swans could be integrated into the foresight-based advice in an attempt to foresee the unforeseeable and think the unthinkable.</w:t>
      </w:r>
    </w:p>
    <w:p>
      <w:r>
        <w:t>POSSIBLE 2019: Forecasting and foresight — https://doi.org/10.17169/refubium-26117</w:t>
      </w:r>
    </w:p>
    <w:p>
      <w:r>
        <w:t>Shared claim-specific concepts: foresight, help; EU scope visible. This is a provisional connection, not an outcome finding.</w:t>
      </w:r>
    </w:p>
    <w:p>
      <w:r>
        <w:t>Available abstract (not full text): In this paper, authors Sarah Bressan, Håvard Mokleiv Nygård, and Dominic Seefeldt present the evolution and state of the art of both quantitative forecasting and scenario-based foresight methods that can be applied to help prevent governance breakdown and violent conflict in Europe’s neighbourhood. In the quantitative section, they describe the different phases of conflict forecasting in political science and outline which methodological gaps EU-LISTCO’s quantitative sub-national prediction tool will address to forecast tipping points for violent conflict and governance breakdown. The qualitative section explains EU-LISTCO’s scenario-based foresight methodology for identifying potential tipping points. After comparing both approaches, the authors discuss opportunities for methodological advancements across the boundaries of quantitative forecasting and scenario-based foresight, as well as how they can inform the design of strategic policy options.</w:t>
      </w:r>
    </w:p>
    <w:p>
      <w:r>
        <w:t>POSSIBLE 2017: Deliberating foresight knowledge for policy and foresight knowledge assessment — https://doi.org/10.4324/9781351280440-10</w:t>
      </w:r>
    </w:p>
    <w:p>
      <w:r>
        <w:t>Shared claim-specific concepts: foresight, sustainable, way, adapted; EU scope not established. This is a provisional connection, not an outcome finding.</w:t>
      </w:r>
    </w:p>
    <w:p>
      <w:r>
        <w:t>Available abstract (not full text): This chapter assesses the way in which foresight knowledge is deliberated in policy and offers methods to assess the quality of foresight knowledge generated during foresight exercises. It describes the deliberation process in the policy context and identifies the normative dimensions of such a process. The chapter examines the issue of knowledge assessment of foresight knowledge. Foresight knowledge is illustrated in relation to sustainable development issues. Foresight activities are, and should, in principle be adapted to processes of deliberative policy of modern Western societies. The level concerns a broad political debate, which assumes a political consensus on the need for long-term planning if it engages foresight exercises. To appreciate any type of knowledge assessment, one needs to take into account the particular features of &amp;s;foresight&amp;s; knowledge. Knowledge is an asset to initiate issue framing, exploring uncertainty, possibilities and action.</w:t>
      </w:r>
    </w:p>
    <w:p>
      <w:pPr>
        <w:pStyle w:val="Heading2"/>
      </w:pPr>
      <w:r>
        <w:t>A Transport Policy Tool for Reduction of Co2 Emissions in Finland – Visions, Scenarios and Pathways using Pluralistic Backcasting Method</w:t>
      </w:r>
    </w:p>
    <w:p>
      <w:r>
        <w:t>Original source (2015): https://doi.org/10.1016/j.trpro.2015.12.016</w:t>
      </w:r>
    </w:p>
    <w:p>
      <w:r>
        <w:t>Original wording (abstract; indexed_source_text_not_full_document_verified): The reduction of greenhouse gas emission was the basis of a Delphi study where expert opinions about future development were asked and used to form visions of the future, and further elaborated to scenarios using a pluralistic backcasting method. A new innovative approach on how to use and combine methods and data from various disciplines in scenario modelling, on transport policy packaging and determining pathways to reach the desired futures, is presented for two of the visions analysed in detail.</w:t>
      </w:r>
    </w:p>
    <w:p>
      <w:r>
        <w:t>POSSIBLE 2026: SECTORAL GREENHOUSE GAS EMISSION REDUCTIONS IN THE EUROPEAN UNION – THE ROLE OF AGRICULTURE — https://doi.org/10.5604/01.3001.0055.6722</w:t>
      </w:r>
    </w:p>
    <w:p>
      <w:r>
        <w:t>Shared claim-specific concepts: reduction, greenhouse, gas, emission, further; EU scope visible. This is a provisional connection, not an outcome finding.</w:t>
      </w:r>
    </w:p>
    <w:p>
      <w:r>
        <w:t>Available abstract (not full text): This study analyzes the role of agriculture in achieving the European Union’s climate objectives, with particular emphasis on greenhouse gas (GHG) emission reduction targets over the period 1990-2023. The study combines a review of EU legislation and strategic policy documents with a statistical analysis of GHG emission trends based on data from the European Environment Agency (EEA). The empirical analysis focuses on the dynamics and structure of emissions, with particular attention to key emission categories in the agricultural sector. The results indicate that total GHG emissions in the EU decreased by 36.6% in 2023 compared with 1990 levels, while emissions from agriculture declined by only 25.5%, making this sector the slowest in terms of emission reduction progress. In 2023, agriculture accounted for 12% of total EU GHG emissions, with livestock production responsible for 66% of sectoral emissions. The stability of the emission structure over the past three decades indicates similar mitigation efforts in both livestock and crop production, while also highlighting the challenges associated with achieving the EU’s target of a 55% emission reduction by 2030. The findings underline the need to intensify the implementation of climate-friendly agricultural practices, strengthen financial support mechanisms, and further integrate carbon sequestration measures into agricultural po</w:t>
      </w:r>
    </w:p>
    <w:p>
      <w:r>
        <w:t>POSSIBLE 2026: Association patterns of renewables and greenhouse gas emission reduction in the European Union — https://doi.org/10.2139/ssrn.6144181</w:t>
      </w:r>
    </w:p>
    <w:p>
      <w:r>
        <w:t>Shared claim-specific concepts: reduction, greenhouse, gas, emission; EU scope visible. This is a provisional connection, not an outcome finding.</w:t>
      </w:r>
    </w:p>
    <w:p>
      <w:r>
        <w:t>Available abstract (not full text): Unavailable</w:t>
      </w:r>
    </w:p>
    <w:p>
      <w:r>
        <w:t>POSSIBLE 2026: Driving product innovation for greenhouse gas reduction: insights from European manufacturing — https://doi.org/10.1017/pds.2026.10526</w:t>
      </w:r>
    </w:p>
    <w:p>
      <w:r>
        <w:t>Shared claim-specific concepts: reduction, greenhouse, gas; EU scope visible. This is a provisional connection, not an outcome finding.</w:t>
      </w:r>
    </w:p>
    <w:p>
      <w:r>
        <w:t>Available abstract (not full text): ABSTRACT: This paper aims to explore and categorize the product innovation initiatives that European manufacturing companies with science-based greenhouse gas (GHG) reduction targets are adopting to advance toward their decarbonization goals. An inductive analysis was conducted on climate change management reports from 326 European manufacturing companies. Two main categories of strategies emerged from the analysis: the development of new low-carbon products and the improvement of existing products. Within these categories, the study highlights specific initiatives adopted by companies.</w:t>
      </w:r>
    </w:p>
    <w:p>
      <w:r>
        <w:t>POSSIBLE 2026: Increase in European summer heatwaves driven by greenhouse gases and amplified by aerosol emission reductions — https://doi.org/10.1088/1748-9326/ae6d18</w:t>
      </w:r>
    </w:p>
    <w:p>
      <w:r>
        <w:t>Shared claim-specific concepts: reduction, greenhouse, emission, about, further, method; EU scope visible. This is a provisional connection, not an outcome finding.</w:t>
      </w:r>
    </w:p>
    <w:p>
      <w:r>
        <w:t>Available abstract (not full text): Abstract More frequent heatwaves in Europe are posing considerable risks to human health, infrastructure, and ecosystems. However, the contributions of external forcing factors such as well-mixed greenhouse gases (GHGs) and aerosols remain to be better quantified. Here, using model outputs from the Large Ensemble Single Forcing Model Intercomparison Project (LESFMIP), a recent atmospheric reanalysis and a machine learning method—self-organising maps (SOMs), we attribute European heatwave trends during 1940–2020 to various external forcings. The Europe-averaged heatwave trend during 1940–2020 (0.87 days per decade) is well captured by the multi-model mean (MMM) response with GHGs dominating the trend. The positive heatwave trend in GHGs and ozone is offset by the effects of aerosols during 1940–1979, leading to weak negative heatwave trends. In contrast, the increase in GHGs has driven about half (53 ± 17%; MMM and model-spread) of the strong heatwave trends in 1980–2020 (2.5 days per decade), amplified by the reduction in aerosols (23 ± 15%). This highlights the increasing risk of more frequent heatwaves in Europe if GHG emissions continue to rise without significant mitigation measures. Analysis of atmospheric circulation by SOMs reveals that four major atmospheric circulation patterns, dominated by a blocking high anomaly, are linked to the most spatially-intense European sum</w:t>
      </w:r>
    </w:p>
    <w:p>
      <w:r>
        <w:t>POSSIBLE 2026: The greenhouse gas reduction gap in manufacturing companies: An action-research framework for European reporting requirements — https://doi.org/10.1016/j.cesys.2026.100406</w:t>
      </w:r>
    </w:p>
    <w:p>
      <w:r>
        <w:t>Shared claim-specific concepts: reduction, greenhouse, gas, use; EU scope visible. This is a provisional connection, not an outcome finding.</w:t>
      </w:r>
    </w:p>
    <w:p>
      <w:r>
        <w:t>Available abstract (not full text): The Corporate Sustainability Reporting Directive (CSRD) and its reporting standard ESRS E1 impose detailed greenhouse gas (GHG) disclosure and reduction requirements that many manufacturing SMEs struggle to operationalize. However, little empirical evidence exists on the gap between European reporting ambitions and the realistically achievable GHG reductions in manufacturing SMEs. This study reports on an eight-month action-research collaboration with two Austrian SMEs to co-develop a five-stage GHG accounting and reduction framework that guides SMEs from initially encountered lack of knowledge, resources, and data, over a baseline balance sheet to ESRS-aligned actionable decarbonization plans. In case 1, a full Scope 1–3 baseline of 9.200 tCO 2 eq was compiled, leading to a 2030 forecast of 10.817 tCO 2 eq. Planned engineering measures and anticipated supply chain improvements reduced this by 44%, meeting near-term science-based targets. In case 2, overcoming accounting complexities, gaps in data systems, and unknown product-use emissions, a 2023 baseline of 62.990 tCO 2 eq was calculated, with 85% from downstream product use. Despite internal energy and logistics measures and supply chain gains totaling 2.549 tCO 2 eq, projected 2030 emissions (84.216 tCO 2 eq) remain well above Scope 3 reduction targets. The cross-case comparison reveals a persistent “GHG reduction gap” betw</w:t>
      </w:r>
    </w:p>
    <w:p>
      <w:r>
        <w:t>POSSIBLE 2024: Factors Influencing Greenhouse Gas Reduction Measures in European Ports: Implications for Sustainable Investing — https://doi.org/10.3390/jrfm17080329</w:t>
      </w:r>
    </w:p>
    <w:p>
      <w:r>
        <w:t>Shared claim-specific concepts: reduction, greenhouse, gas, used, methods; EU scope visible. This is a provisional connection, not an outcome finding.</w:t>
      </w:r>
    </w:p>
    <w:p>
      <w:r>
        <w:t>Available abstract (not full text): European Union cargo and container ports are under pressure to reduce GHG emissions and achieve carbon neutrality by 2050, as mandated by the European Commission. The pace of progress varies among ports. This study examined the characteristics influencing GHG reduction measures in European cargo and container ports and their implications for sustainable investing. The methods used in this study, such as linear regression models to analyze predictive variables, can be applied in sustainable investing to assess which factors most strongly predict a company’s environmental, social, and governance performance. Using linear regression models to analyze data from the 33 busiest European ports, we identified five predictive variables: port size, cargo mix, surrounding population density, access to the sea, and the economic wealth of the host country. Our findings revealed that the port size significantly correlates with the adoption of measures to reduce scope 1, 2, and 3 emissions. This study underscores the importance of contextual and operational factors in evaluating sustainability efforts across sectors. The results contribute to drawing parallels with the field of sustainable investing within finance. This offers valuable insights for sustainable investing, emphasizing the importance of considering various contextual and operational factors when evaluating the sustainability eff</w:t>
      </w:r>
    </w:p>
    <w:p>
      <w:r>
        <w:t>POSSIBLE 2024: Greenhouse gas emission reduction potential in road tunnels – Can we reach the European Union goals with existing materials and technologies? — https://doi.org/10.1016/j.tust.2024.106011</w:t>
      </w:r>
    </w:p>
    <w:p>
      <w:r>
        <w:t>Shared claim-specific concepts: reduction, greenhouse, gas, emission; EU scope visible. This is a provisional connection, not an outcome finding.</w:t>
      </w:r>
    </w:p>
    <w:p>
      <w:r>
        <w:t>Available abstract (not full text): To achieve the European Uniońs climate goals, the Norwegian transport sector has committed to decrease the Greenhouse gas (GHG) emissions by 2030. For infrastructure projects, the GHG emissions from construction must be reduced by 40 %, while the emissions from maintenance must be cut by 50%. This paper investigates how realistic the GHG emission reduction goals are, if available low carbon materials and technologies are fully adopted. To examine this, we have chosen a typical Norwegian road tunnel from which two carbon emission scenarios are presented. While tunnels represent a specific subset of road infrastructure, this study showcases that implementing sustainable practices in drill and blast tunnel construction can align with the European Union’s ambitious 2030 targets. Besides this, the findings can assist stakeholders to get advice on the environmental impacts of tunnel designs.</w:t>
      </w:r>
    </w:p>
    <w:p>
      <w:r>
        <w:t>POSSIBLE 2024: Evolution and Impact of the European Union's Energy Policy: From Fossil Fuels to Renewable Energy and Greenhouse Gas Emissions Reduction — https://doi.org/10.35808/ersj/3352</w:t>
      </w:r>
    </w:p>
    <w:p>
      <w:r>
        <w:t>Shared claim-specific concepts: reduction, greenhouse, gas, emission, further, approach; EU scope visible. This is a provisional connection, not an outcome finding.</w:t>
      </w:r>
    </w:p>
    <w:p>
      <w:r>
        <w:t xml:space="preserve">Available abstract (not full text): Purpose: This scientific work focuses on analyzing the energy transformation in the European Union (EU) from 2000 to 2021, considering the shift from fossil fuels to renewable energy sources and strategies for reducing greenhouse gas emissions.The research aims to understand how the EU's energy policy has influenced the structure of energy production and consumption, as well as the emission of greenhouse gases in its member states, with particular emphasis on key initiatives such as the Kyoto Protocol, the 2020 climate and energy package, and the European Green Deal.Design/methodology/approach: Utilizing a comprehensive dataset and a variety of research methods, this work provides empirical insights into the effects of the EU's energy policy.The analysis examines the impact of implemented initiatives and regulations on the energy mix, noting an increase in the share of renewable energy and a decrease in GHG emissions.Findings: The study revealed that these initiatives and regulations have contributed to a significant change in the energy mix, marking an increase in renewable energy's share and a decline in GHG emissions.However, the research also uncovers challenges and disparities in achieving these goals among different member states.Practical implications: This work makes a significant contribution to the discussion on the efficiency and future directions of the EU's energy </w:t>
      </w:r>
    </w:p>
    <w:p>
      <w:r>
        <w:t>POSSIBLE 2023: Analysis of greenhouse gas and pollutant emission reduction in Ukraine and European Union countries — https://doi.org/10.23939/jeecs2023.01.001</w:t>
      </w:r>
    </w:p>
    <w:p>
      <w:r>
        <w:t>Shared claim-specific concepts: reduction, greenhouse, gas, emission; EU scope visible. This is a provisional connection, not an outcome finding.</w:t>
      </w:r>
    </w:p>
    <w:p>
      <w:r>
        <w:t>Available abstract (not full text): Following the European Green Deal, which aims to develop a closed-loop economy and reduce emissions of pollutants, Ukraine is also implementing it in its plans. Therefore, this paper analyzes and compares the reduction of CO2, NOx and SO2 emissions by the European Community countries and Ukraine. Actual data on achievements in reducing emissions of the specified substances and the plans of the countries under study have been analyzed and compared. Based on the elaboration of the energy and climate plans of the countries of the European Union and Ukraine, graph-analytical dependencies have been built, based on which the actual achievements since 1990 by the countries in reducing emissions of greenhouse gases and pollutants have been analyzed. Also the plans for these data represented by the countries by 2050 have been compared.</w:t>
      </w:r>
    </w:p>
    <w:p>
      <w:r>
        <w:t>POSSIBLE 2023: Climate Policy of the European Union: Reduction of Greenhouse Gas Emissions from Industrial Enterprises — https://doi.org/10.1051/bioconf/20236303014</w:t>
      </w:r>
    </w:p>
    <w:p>
      <w:r>
        <w:t>Shared claim-specific concepts: reduction, greenhouse, gas, basis; EU scope visible. This is a provisional connection, not an outcome finding.</w:t>
      </w:r>
    </w:p>
    <w:p>
      <w:r>
        <w:t>Available abstract (not full text): The global climate is determined by the global average temperature, which depends on the concentration of greenhouse gases (GHGs) in the atmosphere, which continue to rise. The key to addressing climate change is to reduce emissions and reduce GHG concentrations through removals. As part of the global climate agenda, a goal has been developed: to reach net-zero emissions in the second half of the 21st century (anthropogenic emissions should be equal to GHG removals). Currently, the climate policy of developed countries is undergoing a stage of major changes, and new energy technologies play the main role in this process. At the same time, the future of global energy and climate is increasingly dependent on decisions made in emerging market and developing countries. Emerging market and developing economies now account for more than two-thirds of global CO2 emissions, while emissions in advanced economies are declining structurally. On a per capita basis, emissions are a quarter of those of advanced economies, but economic growth and rising incomes create potential for demand and emissions growth. The challenge for developing countries is to find new models of economic development that avoid high levels of emissions, rather than repeating the path traveled by developed countries. Lowering the cost of key clean energy technologies opens up opportunities for lower-emission economic</w:t>
      </w:r>
    </w:p>
    <w:p>
      <w:r>
        <w:t>POSSIBLE 2023: Assessing the Convergence of Farming Systems towards a Reduction of Greenhouse Gas Emissions in European Union Countries — https://doi.org/10.3390/agronomy13051263</w:t>
      </w:r>
    </w:p>
    <w:p>
      <w:r>
        <w:t>Shared claim-specific concepts: reduction, greenhouse, gas, basis, use, methods; EU scope visible. This is a provisional connection, not an outcome finding.</w:t>
      </w:r>
    </w:p>
    <w:p>
      <w:r>
        <w:t>Available abstract (not full text): This study investigates change in the intensification of agricultural activities and its effect on the greenhouse gas (GHG) emissions of the 27 European Union (EU) Member States over a ten-year period from 2009 to 2019. Both multivariate and non-parametric convergence analyses were employed, using 27 indicators extrapolated from the FAO dataset. The results provide a reasonable assessment of the differences between countries in relation to their farming production methods and show that the levels of convergence/divergence depend on changes in agricultural activities over the past decade. Indeed, differences in land use, the application of organic fertilizers and pesticides, the raising of livestock, and GHG emissions allow “homogenous” groups of Member States with common features to be identified. It is important to understand the dynamics of different agriculture systems and production activities because, beneath management practices, there may be differences between systems. In particular, in the context of the Common Agricultural Policy 2023–2027, the results of grouping can act as the basis for a diversified policy for reducing GHG emissions in relation to specific clusters of EU countries.</w:t>
      </w:r>
    </w:p>
    <w:p>
      <w:r>
        <w:t>POSSIBLE 2022: Greenhouse Gas Emission Reduction Potential of European Union’s Circularity Related Targets for Plastics — https://doi.org/10.1007/s43615-022-00192-8</w:t>
      </w:r>
    </w:p>
    <w:p>
      <w:r>
        <w:t>Shared claim-specific concepts: reduction, greenhouse, gas, emission, about; EU scope visible. This is a provisional connection, not an outcome finding.</w:t>
      </w:r>
    </w:p>
    <w:p>
      <w:r>
        <w:t>Available abstract (not full text): Current rising concerns about environmental and climate impacts in production, consumption and end-of-life of plastics have led to efforts to switch from linear to circular economy of plastics in Europe. Greenhouse gas emissions are likely to decrease with a transition to a circular system; however, a systematic and integrated perspective on plastics and the carbon cycle is currently missing in the debate on plastics. In this study, a model to estimate greenhouse gas emissions of the current mostly linear plastics value chain of the EU in 2018 and a future scenario, 2025 model, were created. By 2025 if current policy targets are reached, the plastic packaging recycling rate should be 50%, PET-based drinking bottles should include 25% recycled content, 77% collection target for plastic bottles, 10 Mt recyclates should enter the markets, uptake of bio-based plastics is estimated by European bioplastics to increase from current 1 to 1.32% and landfilling will continue to decrease according to the current trend at 3.85%. Total greenhouse gas emissions caused by the current plastics value chain are estimated at 208 million tonnes of CO2-eq. The 2025 model estimates that total plastics value chain emissions will be 182 Mt of CO2-eq. Reduction potential is approximately 26 Mt of CO2-eq or 13%.</w:t>
      </w:r>
    </w:p>
    <w:p>
      <w:pPr>
        <w:pStyle w:val="Heading2"/>
      </w:pPr>
      <w:r>
        <w:t>A decision support system to find the best water allocation strategies in a Mediterranean river basin in future scenarios of global change</w:t>
      </w:r>
    </w:p>
    <w:p>
      <w:r>
        <w:t>Original source (2015): https://doi.org/10.1080/0952813x.2015.1024493</w:t>
      </w:r>
    </w:p>
    <w:p>
      <w:r>
        <w:t>Original wording (abstract; indexed_source_text_not_full_document_verified): Several scenarios have been constructed to evaluate different sectorial water allocation policies to mitigate the water scarcity induced by global change.</w:t>
      </w:r>
    </w:p>
    <w:p>
      <w:r>
        <w:t>POSSIBLE 2026: Make Any Collection Navigable: Methods for Constructing and Evaluating Hypergraph of Text — https://doi.org/10.48550/arxiv.2604.25906</w:t>
      </w:r>
    </w:p>
    <w:p>
      <w:r>
        <w:t>Shared claim-specific concepts: several, constructed, evaluate; EU scope not established. This is a provisional connection, not an outcome finding.</w:t>
      </w:r>
    </w:p>
    <w:p>
      <w:r>
        <w:t>Available abstract (not full text): One reason the Web is more useful than a simple collection of documents is that the structure created by hyperlinks enables flexible navigation from one web page to another. However, hyperlinks are typically created manually and cannot fully capture a corpus' implicit semantic structures. Is there a general way to make an arbitrary collection navigable? Recent work has formalized this problem generally as constructing a Hypergraph of Text (HoT), which provides a formal mathematical structure for supporting navigation and browsing. However, how to construct and evaluate a Hypergraph of Text remains a challenge. In this paper, we propose and study several methods for constructing a HoT. We also propose a novel quantitative metric, effort ratio, for evaluating the structural quality of a constructed HoT. Experimental results show that even simple TF-IDF baselines can match LLM-based methods on our proposed effort ratio metric.</w:t>
      </w:r>
    </w:p>
    <w:p>
      <w:r>
        <w:t>POSSIBLE 2019: Evaluation of software to construct genetic linkage maps in plants — https://doi.org/10.11606/d.11.2019.tde-28082019-142400</w:t>
      </w:r>
    </w:p>
    <w:p>
      <w:r>
        <w:t>Shared claim-specific concepts: several, evaluate, different; EU scope not established. This is a provisional connection, not an outcome finding.</w:t>
      </w:r>
    </w:p>
    <w:p>
      <w:r>
        <w:t>Available abstract (not full text): Evaluation of software to construct genetic linkage maps in plantsGenetic maps are useful tools in breeding programs and evolutionary studies.Since the publication of the first map, several concepts have been proposed and implemented in various mapping software.Each software presents different characteristics for the construction of maps.For example, aspects such as availability of source code, licenses, tutorials, and operating system need to be considered.There are also important points related to the statistical methods employed.In this context, the users' choice can often be a complicated task.The objectives here were: i) to present the main software with free licenses developed in recent years; ii) construct linkage maps using these software and, iii) evaluate them from the point of view of users.The software considered were: OneMap, Lep-MAP, HighMap, Lep-MAP2, Flipper, Lep-MAP3, ASMap, and GUSMap.This work can guide researchers about the free tools available to construct genetic maps.</w:t>
      </w:r>
    </w:p>
    <w:p>
      <w:r>
        <w:t>POSSIBLE 2019: Evaluation of a constructed wetland for wastewater treatment: Addressing emerging organic contaminants and antibiotic resistant bacteria — https://doi.org/10.1016/j.nbt.2019.05.006</w:t>
      </w:r>
    </w:p>
    <w:p>
      <w:r>
        <w:t>Shared claim-specific concepts: several, constructed, evaluate, different, water; EU scope not established. This is a provisional connection, not an outcome finding.</w:t>
      </w:r>
    </w:p>
    <w:p>
      <w:r>
        <w:t>Available abstract (not full text): The occurrence of emerging organic contaminants (EOCs) in wastewaters and the inability of the conventional wastewater treatments plants to deal with them have been pointed out several times over the last few years. As a result, remnants of those compounds released into the aquatic environment present a potential risk for public health. Constructed wetlands (CWs) have been proposed as environmentally friendly, low-cost alternative systems with satisfactory results for different types of contaminants. This study aimed to evaluate the efficiency of a CW system, planted with the halophyte Juncus acutus, to eliminate bisphenol A (BPA) and two antibiotics, namely ciprofloxacin (CIP) and sulfamethoxazole (SMX) under different operating conditions. The behavior of Escherichia coli and enterococcal populations in terms of changes in their resistance profile for the selected antibiotics and the abundance of two resistance genes (qnrA and sul1) were also examined. BPA and CIP were significantly removed by the CW, with an overall removal of 76.2% and 93.9% respectively and with the plants playing a vital role. In contrast, SMX was not significantly eliminated. Moreover, fluctuations in the antibiotic resistance profile of bacteria were observed. Treatment processes affected the response of the two selected bacterial indicators, depending on the conditions employed in each case. Furthermor</w:t>
      </w:r>
    </w:p>
    <w:p>
      <w:pPr>
        <w:pStyle w:val="Heading2"/>
      </w:pPr>
      <w:r>
        <w:t>A strategic policy scenario analysis framework for the sustainable tourist development of peripheral small island areas – the case of Lefkada-Greece Island</w:t>
      </w:r>
    </w:p>
    <w:p>
      <w:r>
        <w:t>Original source (2015): https://doi.org/10.1007/s40309-015-0063-z</w:t>
      </w:r>
    </w:p>
    <w:p>
      <w:r>
        <w:t>Original wording (abstract; indexed_source_text_not_full_document_verified): This will be implemented to a specific peripheral small island region, the island of Lefkada-Greece, seeking the integrated development of the island with emphasis on the sustainable exploitation of local tourist assets. Information gathered on potential developments of the external environment are used to inform the structuring and evaluation of sustainable tourist development scenarios in order to conclude with the most prevalent future perspective for the specific region, taking into consideration the local preferences and values in a participatory evaluation context.</w:t>
      </w:r>
    </w:p>
    <w:p>
      <w:r>
        <w:t>POSSIBLE 2026: Servitising rural heritage: Social innovation and the social economy in peripheral Europe — https://doi.org/10.24136/eq.4292</w:t>
      </w:r>
    </w:p>
    <w:p>
      <w:r>
        <w:t>Shared claim-specific concepts: peripheral, local, assets, used; EU scope visible. This is a provisional connection, not an outcome finding.</w:t>
      </w:r>
    </w:p>
    <w:p>
      <w:r>
        <w:t>Available abstract (not full text): Research background: Rural regions across post-industrial Europe face persistent structural vulnerabilities such as demographic ageing, selective outmigration and economic monocultures. At the same time, these regions possess underutilised cultural, ecological and social resources that can become drivers of regeneration. While social innovation, heritage-based development and the social economy have been widely examined, attention has been limited regarding how heritage assets can be transformed into diversified service ecosystems and institutionalised within social economy structures. In this context, the concept of rural heritage servitisation offers a useful analytical lens for understanding these processes. Purpose of the article: This study examines the Lithuanian spa town of Druskininkai as an analytically informative case for exploring how community initiatives reinterpret heritage as a basis for social innovation and economic diversification. It conceptualises rural heritage servitisation as a bridging mechanism between community-led experimentation, service creation and institutionalised social economy structures. Methods: The study employs a mixed methods case study design combining desk research, policy and document analysis, stakeholder consultations and semi-structured interviews with implementers of six social economy initiatives. Qualitative coding and comparativ</w:t>
      </w:r>
    </w:p>
    <w:p>
      <w:r>
        <w:t>POSSIBLE 2026: Expert perspectives on the requirements for implementing prehospital peripheral nerve blocks: a survey among members of the European Society of Regional Anaesthesia (ESRA) — https://doi.org/10.1186/s12871-026-04093-3</w:t>
      </w:r>
    </w:p>
    <w:p>
      <w:r>
        <w:t>Shared claim-specific concepts: implemented, specific, peripheral, local, information, used; EU scope visible. This is a provisional connection, not an outcome finding.</w:t>
      </w:r>
    </w:p>
    <w:p>
      <w:r>
        <w:t>Available abstract (not full text): BACKGROUND: Evidence on prehospital regional anesthesia (RA) is limited, with only a few trials comparing peripheral nerve blocks (PNBs) to standard opioid analgesia. Although well established in hospitals, their use in prehospital care remains rare. This survey aimed to capture expert perspectives on prerequisites, barriers, and preferred block techniques for broader implementation of prehospital PNBs. METHODS: Members of the European Society of Regional Anaesthesia (ESRA) were invited to participate in an anonymous online survey. The 30-item questionnaire collected demographic data, professional background, information on the organization of emergency medical services (EMS), and ultrasound availability. Participants were also asked about their experience with in-hospital and prehospital RA, perceived training requirements, and necessary equipment. Finally, respondents assessed the advantages, disadvantages, and suitability of specific RA techniques for prehospital scenarios. Data were analyzed descriptively and are presented as absolute numbers and percentages. RESULTS: A total of 415 fully completed questionnaires were included in the analysis. 82% (342/415) of respondents supported prehospital RA, but only 20% (73/415) reported its current use in their EMS area. Onethird of this group had personally performed RA procedures, with fascia iliaca compartment blocks (FICB) and f</w:t>
      </w:r>
    </w:p>
    <w:p>
      <w:r>
        <w:t>POSSIBLE 2024: For whom do site-specific art structures provide territorial services? The case of European peripheral areas — https://doi.org/10.1080/14702029.2024.2315844</w:t>
      </w:r>
    </w:p>
    <w:p>
      <w:r>
        <w:t>Shared claim-specific concepts: specific, peripheral, island, local; EU scope visible. This is a provisional connection, not an outcome finding.</w:t>
      </w:r>
    </w:p>
    <w:p>
      <w:r>
        <w:t>Available abstract (not full text): What type of site-specific outdoor art structure is more likely to induce and catalyze artistic territorial services and for whom are these services intended for? Answering this question will help the understanding of territorial impacts of such art projects in European peripheric areas. This article is based on the analysis of a European database on 128 site-specific outdoor visual art structures informed by 36 distinct criteria like accessibility, location, institutional statuses and funding, initiator and audiences, site-specificness criteria, etc. A typology, produced by the statistical analysis of this database, shows that three main intelligible categories dominate site-specific art initiatives: ‘art-washing sculpture parks’, ‘territorial art of peripheries’ and ‘eco-artistic front of art projects’. They all have different kinds of specific interactions, sometimes critical, with the local territory. They act differently as artistic territorial services (ATS) providers. ATS in Spain (Cesar Manrique artworks in Lanzarote Island) show how art is transformed into mass-tourism attraction; in France the Forêt d’ Art Contemporain in Nouvelle-Aquitaine and in Greece, the Vovousa Festival in Epirus, show how art can reinforce territorial identity and environmental commitment, but with very mixed benefits to the local economy.</w:t>
      </w:r>
    </w:p>
    <w:p>
      <w:r>
        <w:t>POSSIBLE 2024: Active Labour Market Policies and Youth Employment in European Peripheries — https://doi.org/10.17645/pag.7958</w:t>
      </w:r>
    </w:p>
    <w:p>
      <w:r>
        <w:t>Shared claim-specific concepts: implemented, peripheral, emphasis; EU scope visible. This is a provisional connection, not an outcome finding.</w:t>
      </w:r>
    </w:p>
    <w:p>
      <w:r>
        <w:t>Available abstract (not full text): This thematic issue discusses the design, implementation, and impact of youth-oriented active labour market policies in Europe, with a particular emphasis on its peripheries. The need to address territorialised, youth-oriented active labour market policies is pressing for several reasons. For one, the whole socioeconomic paradigm is undergoing fundamental changes due to the dual transition (digital and green) that is expected to have an impact on the rural/urban divide. Moreover, at the subnational level, youth unemployment in certain regions is a more pressing problem than suggested by existing studies, which have mostly focused on the national level. This implies that closer inspection of the subnational level, in general, and the peripheral regions, in particular, will reveal more marked cross-national differences. This thematic issue offers a point of departure for the suggested territorialised approach to the study of how active labour market policies for young people are formulated and implemented, and which effects they have on their target groups.</w:t>
      </w:r>
    </w:p>
    <w:p>
      <w:r>
        <w:t>POSSIBLE 2023: European Academy of Neurology/Peripheral Nerve Society Guideline on diagnosis and treatment of Guillain–Barré syndrome — https://doi.org/10.1111/ene.16073</w:t>
      </w:r>
    </w:p>
    <w:p>
      <w:r>
        <w:t>Shared claim-specific concepts: specific, peripheral; EU scope visible. This is a provisional connection, not an outcome finding.</w:t>
      </w:r>
    </w:p>
    <w:p>
      <w:r>
        <w:t>Available abstract (not full text): Guillain-Barré syndrome (GBS) is an acute polyradiculoneuropathy. Symptoms may vary greatly in presentation and severity. Besides weakness and sensory disturbances, patients may have cranial nerve involvement, respiratory insufficiency, autonomic dysfunction and pain. To develop an evidence-based guideline for the diagnosis and treatment of GBS, using Grading of Recommendations, Assessment, Development and Evaluation (GRADE) methodology a Task Force (TF) of the European Academy of Neurology (EAN) and the Peripheral Nerve Society (PNS) constructed 14 Population/Intervention/Comparison/Outcome questions (PICOs) covering diagnosis, treatment and prognosis of GBS, which guided the literature search. Data were extracted and summarised in GRADE Summaries of Findings (for treatment PICOs) or Evidence Tables (for diagnostic and prognostic PICOs). Statements were prepared according to GRADE Evidence-to-Decision (EtD) frameworks. For the six intervention PICOs, evidence-based recommendations are made. For other PICOs, good practice points (GPPs) are formulated. For diagnosis, the principal GPPs are: GBS is more likely if there is a history of recent diarrhoea or respiratory infection; CSF examination is valuable, particularly when the diagnosis is less certain; electrodiagnostic testing is advised to support the diagnosis; testing for anti-ganglioside antibodies is of limited clinical va</w:t>
      </w:r>
    </w:p>
    <w:p>
      <w:r>
        <w:t>POSSIBLE 2022: International Open Innovation Strategies of Firms in European Peripheral Regions — https://doi.org/10.3390/joitmc8010007</w:t>
      </w:r>
    </w:p>
    <w:p>
      <w:r>
        <w:t>Shared claim-specific concepts: peripheral, local, used; EU scope visible. This is a provisional connection, not an outcome finding.</w:t>
      </w:r>
    </w:p>
    <w:p>
      <w:r>
        <w:t>Available abstract (not full text): The involvement of companies in different open innovation activities, through knowledge outputs and inputs, has become increasingly important for the success of companies.However, the existing literature on open innovation is scarce concerning the internationalization process of companies.The internationalization of companies is fundamental in the continuous search to increase the performance of companies externally.The objective of the present research is to explain the strategic processes in the internationalization of companies located in peripheral regions at the time of the COVID-19 pandemic from the perspective of dynamic capabilities.The sample used for this research is composed of seven Portuguese companies.The methodology of qualitative nature is exploratory and uses a case study approach.Regarding the foremost modes of operation in international markets and strategies, we find that (1) companies have partnerships with local distributors or appoint exclusive importers/distributors, and (2) companies prefer to place their products in the market through their brand, "co-branded" projects with retailers, or "private label" projects.Of the seven companies under study, six use a standardization strategy, and one opts for a configuration-coordination strategy.Our findings clarified the literature on export and internationalization strategies in a peripheral country, allowing</w:t>
      </w:r>
    </w:p>
    <w:p>
      <w:r>
        <w:t>POSSIBLE 2020: The EBRD, fail forward neoliberalism and the construction of the European periphery — https://doi.org/10.1177/1035304620916652</w:t>
      </w:r>
    </w:p>
    <w:p>
      <w:r>
        <w:t>Shared claim-specific concepts: peripheral, region, external, environment; EU scope visible. This is a provisional connection, not an outcome finding.</w:t>
      </w:r>
    </w:p>
    <w:p>
      <w:r>
        <w:t>Available abstract (not full text): Abstract The European Bank for Reconstruction and Development is an institution, a set of programmes and policies designed to mark a number of important reforms not just in the post-Soviet space but in the wider European political economy. It is committed to developing a competitive business environment, foreign investment and private sector activity in the post-communist space. The European Bank for Reconstruction and Development is considered to be a key inter-state mechanism enabling member states to negotiate post-communist reforms. The paper reorients analysis of the European Bank for Reconstruction and Development, claiming that existing framings of the role of the EBRD ignore its tangible neoliberalising pressures. It argues that the EBRD works to fundamentally restructure states in the post-communist space in three ways: (1) the configuration of an ‘appropriately’ neoliberal economic space, (2) the construction of subaltern subjectivities in the regional space, and (3) the persistent dominance of expert knowledge and policy practice external to the state. This restructuring is intended to further neoliberalism in the economic space of the region. By uncoupling the European Bank for Reconstruction and Development from a state centric analysis, the paper reveals how the technical aspects of the European Bank for Reconstruction and Development activities configure particul</w:t>
      </w:r>
    </w:p>
    <w:p>
      <w:r>
        <w:t>POSSIBLE 2019: Follow-up of patients after revascularisation for peripheral arterial diseases: a consensus document from the European Society of Cardiology Working Group on Aorta and Peripheral Vascular Diseases and the European Society for Vascular Surgery — https://doi.org/10.1177/2047487319846999</w:t>
      </w:r>
    </w:p>
    <w:p>
      <w:r>
        <w:t>Shared claim-specific concepts: specific, peripheral, local; EU scope visible. This is a provisional connection, not an outcome finding.</w:t>
      </w:r>
    </w:p>
    <w:p>
      <w:r>
        <w:t>Available abstract (not full text): Peripheral arterial diseases comprise different clinical presentations, from cerebrovascular disease down to lower extremity artery disease, from subclinical to disabling symptoms and events. According to clinical presentation, the patient's general condition, anatomical location and extension of lesions, revascularisation may be needed in addition to best medical treatment. The 2017 European Society of Cardiology guidelines in collaboration with the European Society for Vascular Surgery have addressed the indications for revascularisation. While most cases are amenable to either endovascular or surgical revascularisation, maintaining long-term patency is often challenging. Early and late procedural complications, but also local and remote recurrences frequently lead to revascularisation failure. The rationale for surveillance is to propose the accurate implementation of preventive strategies to avoid other cardiovascular events and disease progression and avoid recurrence of symptoms and the need for redo revascularisation. Combined with vascular history and physical examination, duplex ultrasound scanning is the pivotal imaging technique for identifying revascularisation failures. Other non-invasive examinations (ankle and toe brachial index, computed tomography scan, magnetic resonance imaging) at regular intervals can optimise surveillance in specific settings. Currently, o</w:t>
      </w:r>
    </w:p>
    <w:p>
      <w:r>
        <w:t>POSSIBLE 2017: 2017 ESC Guidelines on the Diagnosis and Treatment of Peripheral Arterial Diseases, in collaboration with the European Society for Vascular Surgery (ESVS) — https://doi.org/10.1093/eurheartj/ehx095</w:t>
      </w:r>
    </w:p>
    <w:p>
      <w:r>
        <w:t>Shared claim-specific concepts: peripheral, information; EU scope visible. This is a provisional connection, not an outcome finding.</w:t>
      </w:r>
    </w:p>
    <w:p>
      <w:r>
        <w:t>Available abstract (not full text): The disclosure forms of all experts involved in the development of these guidelines are available on the ESC website http://www.escardio.org/guidelines. The Addenda and Questions and Answers companion documents of these guidelines are available at: www.escardio.org/Guidelines/Clinical-Practice-Guidelines/Peripheral-Artery-Diseases-Diagnosis-and-Treatment-of For the Web Addenda which include background information and detailed discussion of the data that have provided the basis for the recommendations see https://academic.oup.com/eurheartj/article-lookup/doi/10.1093/eurheartj/ehx095#supplementary-data Current background information and detailed discussion of the data for these Guidelines can be found in ESC CardioMed - Section 49 Peripheral arterial diseases ... ... Guidelines summarize and evaluate available evidence with the aim of assisting health professionals in selecting the best management strategies for an individual patient with a given condition. Guidelines and their recommendations should facilitate decision making of health professionals in their daily practice. However, the final decisions concerning an individual patient must be made by the responsible health professional(s) in consultation with the patient and caregiver as appropriate.</w:t>
      </w:r>
    </w:p>
    <w:p>
      <w:pPr>
        <w:pStyle w:val="Heading2"/>
      </w:pPr>
      <w:r>
        <w:t>After crisis scenarios for Europe: alternative evolutions of structural adjustments</w:t>
      </w:r>
    </w:p>
    <w:p>
      <w:r>
        <w:t>Original source (2015): https://doi.org/10.1093/cjres/rsv023</w:t>
      </w:r>
    </w:p>
    <w:p>
      <w:r>
        <w:t>Original wording (abstract; indexed_source_text_not_full_document_verified): The effects that these structural changes will generate are difficult to be foreseen. This article builds after-crisis scenarios for Europe on the basis of alternative evolutions of these structural changes.</w:t>
      </w:r>
    </w:p>
    <w:p>
      <w:r>
        <w:t>POSSIBLE 2026: Enabling 1.5 °C lifestyles in Europe: lifestyle options and structural change for transformation — https://doi.org/10.1080/15487733.2026.2657131</w:t>
      </w:r>
    </w:p>
    <w:p>
      <w:r>
        <w:t>Shared claim-specific concepts: structural, article; EU scope visible. This is a provisional connection, not an outcome finding.</w:t>
      </w:r>
    </w:p>
    <w:p>
      <w:r>
        <w:t>Available abstract (not full text):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r>
        <w:t>POSSIBLE 2026: Enabling 1.5 °C lifestyles in Europe: lifestyle options and structural change for transformation — https://doi.org/10.6084/m9.figshare.32180302</w:t>
      </w:r>
    </w:p>
    <w:p>
      <w:r>
        <w:t>Shared claim-specific concepts: structural, article; EU scope visible. This is a provisional connection, not an outcome finding.</w:t>
      </w:r>
    </w:p>
    <w:p>
      <w:r>
        <w:t>Available abstract (not full text): Scholars have shown that lifestyle change is pivotal for any effective climate-mitigation scenario. But what lifestyle changes are needed and how can they be enabled and mainstreamed? This is the question pursued by the EU 1.5° Lifestyles project, the results of which the article summarizes and synthesizes. The project integrated quantitative and qualitative methods, ranging from input-output analysis-based footprint calculations to co-creative “thinking labs” and policy Delphi workshops across five European countries (Germany, Hungary, Latvia, Spain, and Sweden) to identify the most impactful lifestyle changes; determine conditions for their mainstreaming; suggest how rebound effects could be prevented; uncover the main political, economic, and societal barriers to lifestyle change and governance in its pursuit; and assess how changes in welfare systems and business models could contribute to lifestyle change. Our results show that changing from car-based mobility (especially internal combustion engine-powered cars) to other modes of transport has the largest emissions-reduction potential across a range of European countries, with changes in housing, especially switching to renewable-based heating systems, comprising a second group of impactful options. The article also shows that achieving meaningful changes in lifestyles requires transforming politico-economic, technological</w:t>
      </w:r>
    </w:p>
    <w:p>
      <w:r>
        <w:t>POSSIBLE 2020: Structural Changes in Agricultural Cooperatives Following Bulgaria’s European Union Integration — https://doi.org/10.37075/isa.2020.4.05</w:t>
      </w:r>
    </w:p>
    <w:p>
      <w:r>
        <w:t>Shared claim-specific concepts: structural, article, basis; EU scope visible. This is a provisional connection, not an outcome finding.</w:t>
      </w:r>
    </w:p>
    <w:p>
      <w:r>
        <w:t>Available abstract (not full text): The article aims to analyze the structural changes in agricultural cooperatives in Bulgaria, in terms of the Common Agricultural Policy (CAP) of the European Union (EU) and, on this basis, outline the main trends in their development. The analysis is based on official statistical information from the Ministry of Agriculture and Food and Forestry (MAF) “Agrostatistics”, primary data “Agricultural and Accounting Information System” (FADN) National Strategic Institute (NSI). The trend of changing the following indicators is investigated: number of agricultural cooperatives in Bulgaria, changes in the utilized agricultural area (UAA,); changes in arable land, average size of UAA, labor force, dynamics of the production structure (crop and livestock) for the 2007-2016 period. The results show that, as a consequence of the implementation of the CAP for the 2007-2016 period, structural changes in agricultural cooperatives are reported. They are expressed in the lasting tendency to decrease both their number and the land they manage. The analysis shows that the incentives under the various CAP support schemes have positive effects on the diversification of crop production. In general, the areas with cereals and oilseeds have decreased over the years. In 2016, there was an increase in the production of fresh fruits and vegetables as a result of the implementation of CAP measures resulti</w:t>
      </w:r>
    </w:p>
    <w:p>
      <w:r>
        <w:t>POSSIBLE 2019: Is decoupling a red herring? The role of structural effects and energy policies in Europe — https://doi.org/10.1016/j.enpol.2018.12.028</w:t>
      </w:r>
    </w:p>
    <w:p>
      <w:r>
        <w:t>Shared claim-specific concepts: structural, article; EU scope visible. This is a provisional connection, not an outcome finding.</w:t>
      </w:r>
    </w:p>
    <w:p>
      <w:r>
        <w:t>Available abstract (not full text): Decoupling energy consumption and carbon emissions from economic growth is at the core of the climate change debate: successful decoupling is evidence that efficiency measures can be economically sustainable. In this article, the authors analyze the underlying nature of this decoupling in the European Union from 1990 to 2014. The objective is to quantify the role of structural changes and the effectiveness of energy efficiency measures in lowering energy consumption. We decompose final energy consumption per sector, including households and transportation into three key drivers: economic growth, economic structure and energy intensity. Our results show that a significant part of the reduction in energy consumption can be attributed to structural changes, such as deindustrialization, while an equally significant part can be attributed to energy efficiency. This further corroborates the idea that much of the observed decoupling is virtual; largely due to outsourcing of energy intensive activities. Energy is then imported in the form of embodied energy in goods and services. The dynamics of these effects suggest that a shift in our understanding of decoupling is necessary. The implementation of effective energy efficiency policies, accounting for embodied energy, remain of high priority.</w:t>
      </w:r>
    </w:p>
    <w:p>
      <w:r>
        <w:t>POSSIBLE 2018: Decoupling energy use and economic growth: Counter evidence from structural effects and embodied energy in trade — https://doi.org/10.1016/j.apenergy.2018.01.044</w:t>
      </w:r>
    </w:p>
    <w:p>
      <w:r>
        <w:t>Shared claim-specific concepts: structural, article; EU scope visible. This is a provisional connection, not an outcome finding.</w:t>
      </w:r>
    </w:p>
    <w:p>
      <w:r>
        <w:t>Available abstract (not full text): Decoupling economic growth from energy consumption is a wide spread attempt to decarbonize economic activities and increase energy security. Almost all members of the European Union have decoupled the two since 2005 as measured by a steady decline in energy intensity, the ratio of final energy consumption and gross domestic product. Economic growth, energy efficiency and structural changes have all contributed to changes in energy intensity of economic activities at the national level. In this article, the authors analyze to what extent decoupling can be attributed to each of these three factors and in particular structural effects, namely deindustrialization and tertiarization, which shifts energy consumption abroad and re-imports it as embodied energy in products. We quantify the effects of structural changes, economic growth and energy efficiency measures as well as embodied energy in trade at the level of economic activities. The methodological approach combines decomposition and input-output analysis to address boundary cases where monetary trade surpluses meet energy trade deficits. Switzerland provides a case in point with the added hurdle of low data availability per economic activity over time. The results show that the share of embodied energy in imports has reached 81% of final energy consumption in economic activities. A comparison of energy intensities with and wit</w:t>
      </w:r>
    </w:p>
    <w:p>
      <w:r>
        <w:t>POSSIBLE 2016: Frequency effects and structural change - the Afrikaans preterite — https://doi.org/10.5774/45-0-207</w:t>
      </w:r>
    </w:p>
    <w:p>
      <w:r>
        <w:t>Shared claim-specific concepts: structural, article; EU scope not established. This is a provisional connection, not an outcome finding.</w:t>
      </w:r>
    </w:p>
    <w:p>
      <w:r>
        <w:t>Available abstract (not full text): According to emergent grammar and exemplar theory in cognitive linguistics, the frequency of an item affects its behaviour in terms of structural change. In this article, I illustrate how high frequency items, such as preterital modal auxiliaries and copulas in Afrikaans, resist regularising with the rest of the Afrikaans verbal system. Items with a moderately high frequency can resist change for a time, but succumb to it eventually, such as mog (“might”) and wis (“knew”). While the course of change can also be affected by other factors, such as het (“have”) and had (“had”), and dink (“think”) and gedink/dag/dog (“thought”) show, the data in diachronic Afrikaans corpora from 1911 to 2010 confirm that high frequency items resist structural change to a large extent, while low frequency items do not. This links with the cognitive representation of language and language processing, and illustrates how the use of language shapes the structure of language.</w:t>
      </w:r>
    </w:p>
    <w:p>
      <w:pPr>
        <w:pStyle w:val="Heading2"/>
      </w:pPr>
      <w:r>
        <w:t>Analyst earnings forecast revision activity around profit warnings across four European countries</w:t>
      </w:r>
    </w:p>
    <w:p>
      <w:r>
        <w:t>Original source (2015): https://doi.org/10.1108/jaar-01-2013-0005</w:t>
      </w:r>
    </w:p>
    <w:p>
      <w:r>
        <w:t>Original wording (abstract; indexed_source_text_not_full_document_verified): Research limitations/implications – The sample is only composed on firms from four European countries owing to a lack of firms from other European countries that disclosed PW during the period 2000-2010. It would be pertinent to conduct future research dealing with an international sample from different continents.</w:t>
      </w:r>
    </w:p>
    <w:p>
      <w:r>
        <w:t>POSSIBLE 2025: Artificial Intelligence (AI): Educational Implications, Limitations and Future of Learning in Higher Education in Oyo State — https://doi.org/10.52589/bjeldp-vjwdllek</w:t>
      </w:r>
    </w:p>
    <w:p>
      <w:r>
        <w:t>Shared claim-specific concepts: limitations, implications, lack; EU scope visible. This is a provisional connection, not an outcome finding.</w:t>
      </w:r>
    </w:p>
    <w:p>
      <w:r>
        <w:t>Available abstract (not full text): In recent times, the invention and advancement of Artificial Intelligence (AI) technologies introduced by developed nations, particularly America, Europe, and Asia, has been seen as a new landmark in globalization. This new innovation has ushered in new opportunities and threats to humanity, hence the need to investigate Artificial Intelligence (AI): Educational Implications, Limitations, and the Future of Learning and Research in Nigeria. A descriptive survey research design of the ex-post facto type was adopted for the study. The population of the study consists of all the 350 academic staff in Emmanuel Alayande University of Education, Oyo, as of 2025. Emmanuel Alayande University of Education was possessively sampled using the purposive sampling technique. A multistage sampling procedure was adopted; thus, stratified random sampling was used to select 3 faculties, 9 departments and a total of one hundred and five lecturers using a simple random sampling technique. A self-developed instrument titled “Artificial Intelligence, Educational Implications, Limitations and Future of Learning Questionnaire (AIEILFLQ)” was validated by the experts in the field of Educational evaluation. The Alpha Cronbach method was used in obtaining the reliability, and a coefficient 0.84 was obtained. The data collected was analysed using descriptive statistics such as simple percentages. The findi</w:t>
      </w:r>
    </w:p>
    <w:p>
      <w:r>
        <w:t>POSSIBLE 2023: Youth Sport Participation Trends Across Europe: Implications for Policy and Practice — https://doi.org/10.1080/02701367.2022.2148623</w:t>
      </w:r>
    </w:p>
    <w:p>
      <w:r>
        <w:t>Shared claim-specific concepts: implications, four, countries, during; EU scope visible. This is a provisional connection, not an outcome finding.</w:t>
      </w:r>
    </w:p>
    <w:p>
      <w:r>
        <w:t>Available abstract (not full text):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r>
        <w:t>POSSIBLE 2023: Play therapy in children with autism: Its role, implications, and limitations — https://doi.org/10.5409/wjcp.v12.i1.1</w:t>
      </w:r>
    </w:p>
    <w:p>
      <w:r>
        <w:t>Shared claim-specific concepts: limitations, implications, different; EU scope not established. This is a provisional connection, not an outcome finding.</w:t>
      </w:r>
    </w:p>
    <w:p>
      <w:r>
        <w:t>Available abstract (not full text): Play is a pleasurable physical or mental activity that enhances the child's skills involving negotiation abilities, problem-solving, manual dexterity, sharing, decision-making, and working in a group. Play affects all the brain's areas, structures, and functions. Children with autism have adaptive behavior, adaptive response, and social interaction limitations. This review explores the different applications of play therapy in helping children with autism disorder. Play is usually significantly impaired in children with autism. Play therapy is mainly intended to help children to honor their unique mental abilities and developmental levels. The main aim of play therapy is to prevent or solve psychosocial difficulties and achieve optimal child-healthy growth and development. Play therapy helps children with autism to engage in play activities of their interest and choice to express themselves in the most comfortable ways. It changes their way of self-expression from unwanted behaviors to more non-injurious expressive behavior using toys or activities of their choice as their words. Play therapy also helps those children to experience feeling out various interaction styles. Every child with autism is unique and responds differently. Therefore, different types of intervention, like play therapy, could fit the differences in children with autism. Proper evaluation of the child is ma</w:t>
      </w:r>
    </w:p>
    <w:p>
      <w:r>
        <w:t>POSSIBLE 2022: The implications of globalization on COVID-19 vaccination in Europe — https://doi.org/10.1038/s41598-022-21493-w</w:t>
      </w:r>
    </w:p>
    <w:p>
      <w:r>
        <w:t>Shared claim-specific concepts: implications, countries, lack, period, international; EU scope visible. This is a provisional connection, not an outcome finding.</w:t>
      </w:r>
    </w:p>
    <w:p>
      <w:r>
        <w:t>Available abstract (not full text): Although globalization has left its mark on economic dynamism, causing conditionalities among various aspects (market openness, production networks, technological and information developments, migratory flows, international cooperation, humanitarian support, etc.), the less pleasant side of it should not be omitted, i.e. the emergence of the framework for the faster diffusion of epidemiological diseases. Thus, with the onset of the SARS-CoV-2 virus, its widespread circulation is a serious challenge for the provision of efficient solutions to combat it, especially in countries with fragile health systems, poor institutional quality and lack of resources. In this paper we aim to investigate the implications of globalization on the COVID-19 vaccination of the population. The period under analysis is January 1, 2021-January 1, 2022, using montly data, and the object of our study are 48 European states. To capture the relationship between globalization and the vaccination rate, we applied regression models, including a number of factors that may influence the progress of vaccination. In order to test the robustness of the results, the two-stage least squares (2SLS) regressions was used. The regression models developed underlined that globalization impacts the degree of vaccination. More globalized economies are more competitive in COVID-19 management, and the significance of this ef</w:t>
      </w:r>
    </w:p>
    <w:p>
      <w:r>
        <w:t>POSSIBLE 2021: Economic implications of a connected and automated mobility in Europe — https://doi.org/10.1016/j.retrec.2021.101072</w:t>
      </w:r>
    </w:p>
    <w:p>
      <w:r>
        <w:t>Shared claim-specific concepts: implications, other, different; EU scope visible. This is a provisional connection, not an outcome finding.</w:t>
      </w:r>
    </w:p>
    <w:p>
      <w:r>
        <w:t>Available abstract (not full text): Connected and Automated Mobility will disrupt the road transport sector which has remained substantially unchanged since the vehicle became mass produced in the first half of the twentieth century. Given the central role of mobility for our society and economy, the implications of a transformation in the transport sector will not be limited to transport but will regard many other aspects of our society. The aim of this paper is to analyse the possible future socio-economic implications of such a disruption in the road transport sector. It builds upon a set of future road transport scenarios and aims to identify the main impacts in different economic sectors mostly from a qualitative perspective. Results show that the deployment of Connected and Automated Vehicles could provide profitable opportunities for sectors like automotive, electronics and software, telecommunication, data services, digital media and freight transport; but other sectors including insurance and maintenance and repair are identified as businesses that might suffer revenue decreases in the future. In all scenarios, the policy implications of the transformation can be strong, which implies that the evolution of the transport system has to be carefully monitored in order to promptly cope with possible future effects.</w:t>
      </w:r>
    </w:p>
    <w:p>
      <w:r>
        <w:t>POSSIBLE 2021: Implications of COVID-19 lockdowns on surface passenger mobility and related CO2 emission changes in Europe — https://doi.org/10.1016/j.apenergy.2021.117396</w:t>
      </w:r>
    </w:p>
    <w:p>
      <w:r>
        <w:t>Shared claim-specific concepts: implications, countries, during, period; EU scope visible. This is a provisional connection, not an outcome finding.</w:t>
      </w:r>
    </w:p>
    <w:p>
      <w:r>
        <w:t xml:space="preserve">Available abstract (not full text): The coronavirus pandemic has severely affected our daily lives, with direct consequences on passenger transport. This in turn has strongly impacted the energy demand of the transport sector and associated CO2 emissions. We analyse near real-time passenger mobility and related emission trends in Europe between 21 January and 21 September 2020. We compiled a dataset of country-, sector- and lockdown- specific values, representing daily activity changes in private, public, and active passenger transport. In the aggregate, surface passenger transport emissions fell by 11.2% corresponding to 40.3 MtCO2 in Europe. This decline was predominantly due to the reduction of private passenger transport in five European countries (France, Germany, Italy, Spain, and the UK). During the first lockdown in April 2020, CO2 emissions from surface passenger transport declined by 50% in Europe, resulting in a 7.1% reduction in total CO2 emissions. After April 2020, private passenger travel recovered rapidly, while public passenger flows remained low. Solely prompted by the private sector, a rebound in total emissions and surface passenger transport emissions of 1.5% and 10.7%, respectively, was estimated at the end of the study period. The resulting situation of increased private and decreased public passenger transport is in contradiction to major climate goals, and without reversing these trends, </w:t>
      </w:r>
    </w:p>
    <w:p>
      <w:r>
        <w:t>POSSIBLE 2020: Shadow Education in Europe: Growing Prevalence, Underlying Forces, and Policy Implications — https://doi.org/10.1177/2096531119890142</w:t>
      </w:r>
    </w:p>
    <w:p>
      <w:r>
        <w:t>Shared claim-specific concepts: implications, only, four, other, during; EU scope visible. This is a provisional connection, not an outcome finding.</w:t>
      </w:r>
    </w:p>
    <w:p>
      <w:r>
        <w:t>Available abstract (not full text): Purpose: Private supplementary tutoring, widely known as shadow education, has long been visible in East Asia, and now has spread to other parts of the world including Europe. This article maps the phenomenon, showing variations within Europe and analyzing its growth, underlying forces, and policy implications. Design/Approach/Methods: The article assembles a regional picture from available national sources. It focuses on the 28 members of the European Union. Findings: Within Europe, four subregions may be identified. Most prominent for the longest duration has been Southern Europe, pushed by political forces and cultural factors. In Eastern Europe, shadow education became prominent following the collapse of the Soviet Union and accompanying economic and social structures during which teachers and others had to earn extra incomes. In Western Europe, the advent of marketization alongside government schooling has fueled the growth of shadow education. Only in Northern Europe does shadow education remain modest in scale, but it is growing there too. Originality/Value: The article identifies forces underlying the growth of shadow education in Europe and highlights policy implications. By contributing this regional perspective to the wider literature on shadow education, the article permits juxtaposition with patterns in East Asia and elsewhere.</w:t>
      </w:r>
    </w:p>
    <w:p>
      <w:r>
        <w:t>POSSIBLE 2020: Prospective Risk Assessment of Medicine Shortages in Europe and Israel: Findings and Implications — https://doi.org/10.3389/fphar.2020.00357</w:t>
      </w:r>
    </w:p>
    <w:p>
      <w:r>
        <w:t>Shared claim-specific concepts: implications, only, lack; EU scope visible. This is a provisional connection, not an outcome finding.</w:t>
      </w:r>
    </w:p>
    <w:p>
      <w:r>
        <w:t>Available abstract (not full text): INTRODUCTION: While medicine shortages are complex, their mitigation is more of a challenge. Prospective risk assessment as a means to mitigate possible shortages, has yet to be applied equally across healthcare settings. The aims of this study have been to: 1) gain insight into risk-prevention against possible medicine shortages among healthcare experts; 2) review existing strategies for minimizing patient-health risks through applied risk assessment; and 3) learn from experiences related to application in practice. METHODOLOGY: ) with descriptive statistics based on the distribution of responses. Their proportional difference was tested by the chi-square test and Fisher's exact test for independence. Differences in the observed ordinal variables were tested by the Mann-Whitney or Kruskal-Wallis test. The qualitative data were tabulated and recombined with the quantitative data to observe, uncover and interpret meanings and patterns. RESULTS: The participants (61.7%) are aware of the use of risk assessment procedures as a coping strategy for medicine shortages, and named the particular risk assessment procedure they are familiar with failure mode and effect analysis (FMEA) (26.4%), root cause analysis (RCA) (23.5%), the healthcare FMEA (HFMEA) (14.7%), and the hazard analysis and critical control point (HACCP) (14.7%). Only 29.4% report risk assessment as integrated into mitig</w:t>
      </w:r>
    </w:p>
    <w:p>
      <w:r>
        <w:t>POSSIBLE 2020: Skills in African Labor Markets and Implications for Migration to Europe — https://openalex.org/W3027951275</w:t>
      </w:r>
    </w:p>
    <w:p>
      <w:r>
        <w:t>Shared claim-specific concepts: implications, only, countries; EU scope visible. This is a provisional connection, not an outcome finding.</w:t>
      </w:r>
    </w:p>
    <w:p>
      <w:r>
        <w:t>Available abstract (not full text): This paper assesses the potential for skilled labor migration from sub-Saharan Africa to Europe. It utilizes representative surveys from Ghana and Kenya to shed light on the quality and distribution of skills in the labor markets of these countries. Skills in both countries are found to be unevenly distributed, with significant parts of the labor force being essentially unskilled. Similarly designed surveys from France, Germany, and the UK further allow comparing skills and formal education between the African and the European countries. On average, the labor force in the subSaharan African countries is less skilled and less educated than the European labor force. Importantly, even at the same levels of formal education, workers in Ghana and Kenya are substantially less skilled than workers in Europe. The paper further considers a number of hypothetical scenarios for skilled labor migration from the African to the European countries. It is demonstrated that the European countries would have to recruit workers from the very top end of the African skill distribution to match European demands for skills. In turn, the average worker from the African labor markets would fit only into the low end of the European skill distribution where employment rates are low. Hence, more regular and skilled labor migration from African countries will unlikely be a remedy for skill shortages in Eur</w:t>
      </w:r>
    </w:p>
    <w:p>
      <w:r>
        <w:t>POSSIBLE 2020: Pesticide prioritization approaches and limitations in environmental monitoring studies: From Europe to Latin America and the Caribbean — https://doi.org/10.1016/j.envint.2020.105917</w:t>
      </w:r>
    </w:p>
    <w:p>
      <w:r>
        <w:t>Shared claim-specific concepts: limitations, countries, other, during, different; EU scope visible. This is a provisional connection, not an outcome finding.</w:t>
      </w:r>
    </w:p>
    <w:p>
      <w:r>
        <w:t>Available abstract (not full text): Assessment and management of issues related to pesticide residues, such as environmental fate, monitoring and toxicity, are complex and, in many cases, require costly studies. The early establishment of a priority list of pesticides that should be monitored and assigned to a restricted-use policy is an important issue of post-registration Risk Assessment (RA). Various pesticide registration approaches have been adopted by different countries with those from Europe and the USA being the most popular, constituting the major prototypes for registration approaches in other countries. Adoption of pesticide registration and monitoring systems developed in Europe or USA by Latin American and Caribbean countries may underestimate factors affecting the environmental fate and toxicity of pesticides in their own countries. Incentive for this short review was the activities undertaken during the three KNOWPEC workshops held in Costa Rica, Argentina and Bolivia where European pesticide experts met Latin American experience in the form of Costa Rica's exceptional environmental conditions and ecology, Argentina's and Uruguay's soyisation and Bolivia's contrasting climate and agricultural zones. During the parallel activities of the workshop - including scientific presentations, field trips, interviews and meetings among European partners and pesticide stakeholders in Latin America, - the whol</w:t>
      </w:r>
    </w:p>
    <w:p>
      <w:r>
        <w:t>POSSIBLE 2018: Catastrophic health spending in Europe: equity and policy implications of different calculation methods — https://doi.org/10.2471/blt.18.209031</w:t>
      </w:r>
    </w:p>
    <w:p>
      <w:r>
        <w:t>Shared claim-specific concepts: implications, only, four, countries, other, different; EU scope visible. This is a provisional connection, not an outcome finding.</w:t>
      </w:r>
    </w:p>
    <w:p>
      <w:r>
        <w:t>Available abstract (not full text): OBJECTIVE: To investigate the equity and policy implications of different methods to calculate catastrophic health spending. METHODS: We used routinely collected data from recent household budget surveys in 14 European countries. We calculated the incidence of catastrophic health spending and its distribution across consumption quintiles using four methods. We compared the budget share method, which is used to monitor universal health coverage (UHC) in the sustainable development goals (SDGs), with three other well-established methods: actual food spending; partial normative food spending; and normative spending on food, housing and utilities. FINDINGS: Country estimates of the incidence of catastrophic health spending were generally similar using the normative spending on food, housing and utilities method and the budget share method at the 10% threshold of a household's ability to pay. The former method found that catastrophic spending was concentrated in the poorest quintile in all countries, whereas with the budget share method catastrophic spending was largely experienced by richer households. This is because the threshold for catastrophic health spending in the budget share method is the same for all households, while the other methods generated effective thresholds that varied across households. The normative spending on food, housing and utilities method was the only on</w:t>
      </w:r>
    </w:p>
    <w:p>
      <w:r>
        <w:t>POSSIBLE 2018: Entrepreneurial intentions and entrepreneurship in European countries — https://doi.org/10.1108/ijis-07-2017-0062</w:t>
      </w:r>
    </w:p>
    <w:p>
      <w:r>
        <w:t>Shared claim-specific concepts: limitations, implications, sample, only, countries, other; EU scope visible. This is a provisional connection, not an outcome finding.</w:t>
      </w:r>
    </w:p>
    <w:p>
      <w:r>
        <w:t>Available abstract (not full text): Purpose This study aims to pursue better understanding and investigation of the factor that can have an impact on the level of entrepreneurial activity. To achieve this, statistical analysis was conducted. Indicators from 22 countries of the European Union were reunited to compare the differences between entrepreneurial intention and entrepreneurship. Design/methodology/approach To analyse entrepreneurial intentions in Europe, two databases of the Global Databases Entrepreneurship Monitor (GEM) were used, namely, “GEM NES Key Indicators 2007-2015” and “GEM APS Key Indicators 2001-2015”, available at www.gemconsortium.org/data/sets , considering only the data from 2015 and analysed with IBM SPSS Statistics tool. Each original database includes 60 countries, and this study is limited to an analysis of only countries of the European continent, resulting in a sample of 22 countries. Findings The major determinants of the entrepreneurial intention in the countries studied were: “perceived capacity”; “entrepreneurial intention” itself which will, in fact, influence the “rate of nascent entrepreneurship”; “governmental and political factors” in relation to the respective “financing for the entrepreneur”; and “basic education and training” in entrepreneurship which influences “research and development”. Research limitations/implications This study has few limitations because, as it ref</w:t>
      </w:r>
    </w:p>
    <w:p>
      <w:pPr>
        <w:pStyle w:val="Heading2"/>
      </w:pPr>
      <w:r>
        <w:t>Assessing the impact of the 2011 EU Transport White Paper - a rail freight demand forecast up to 2050 for the EU27</w:t>
      </w:r>
    </w:p>
    <w:p>
      <w:r>
        <w:t>Original source (2015): https://doi.org/10.1007/s12544-015-0171-7</w:t>
      </w:r>
    </w:p>
    <w:p>
      <w:r>
        <w:t>Original wording (abstract; indexed_source_text_not_full_document_verified): In stark contrast, the White paper High scenario results show that demand for rail freight services almost doubles compared to the Reference values. Specifically: a modal shift, from road to rail, and waterway transport, of 30 % by 2030 and 50 % by 2050 - for distances greater than 300 km.</w:t>
      </w:r>
    </w:p>
    <w:p>
      <w:r>
        <w:t>POSSIBLE 2022: Vibrational Stark Effects: Ionic Influence on Local Fields — https://doi.org/10.1021/acs.jpclett.2c01048</w:t>
      </w:r>
    </w:p>
    <w:p>
      <w:r>
        <w:t>Shared claim-specific concepts: stark, high, show, shift; EU scope not established. This is a provisional connection, not an outcome finding.</w:t>
      </w:r>
    </w:p>
    <w:p>
      <w:r>
        <w:t>Available abstract (not full text): High Resolution Image Download MS PowerPoint Slide Molecules containing vibrational Stark shift reporters provide a useful tool for measuring DC electric fields in situ . To quantify this effect theoretically, density functional theory (DFT) calculations are usually utilized in a uniform electric field. However, using a combined theoretical and experimental study, we demonstrate here that uniform field DFT cannot simultaneously model the behavior of the three strongest vibrational modes in molecules forming a monolayer on an electrode. We show, by directly modeling ionic movement, that the measured Stark shifts are explained by partial electrical double-layer penetration into the molecular layer. This effect is sensitive to the local environment, and the Stark shifts can be fully suppressed experimentally by introducing a mixed molecular layer that prevents ionic double-layer penetration.</w:t>
      </w:r>
    </w:p>
    <w:p>
      <w:r>
        <w:t>POSSIBLE 2021: Effect of pretreatments on refractance window drying, color kinetics and bioactive properties of white sweet cherries ( Prunus avium L. stark gold) — https://doi.org/10.1111/jfpp.15895</w:t>
      </w:r>
    </w:p>
    <w:p>
      <w:r>
        <w:t>Shared claim-specific concepts: stark, white, compared; EU scope not established. This is a provisional connection, not an outcome finding.</w:t>
      </w:r>
    </w:p>
    <w:p>
      <w:r>
        <w:t>Available abstract (not full text): The aim of this study was to investigate the effects of different pretreatments (citric acid, sucrose and freezing) on the refractance window (RW) drying, color kinetics and bioactive properties of white sweet cherries. The shortest drying time (180 min) was obtained with freezing pretreatment (FP). The highest Deff was 2.38346 × 10–9 m2/s in FP. Cubic and Sigmoid equations were the best drying models for the control and FP, respectively. Furthermore, quadratic equation was the most appropriate color model for all sweet cherries. FP increased the total phenolic content (4.18 ± 0.86 mg gallic acid eq/g dry matter, DM) and antioxidant capacity (ferric reducing antioxidant power, FRAP) (13.17 ± 1.05 µmol trolox eq/g DM) of dried cherry, as compared to control and other pretreatments. Results indicated that citric acid and sucrose pretreatments (CAP and SP) were not much effective as freezing in cherry drying. This study showed that the combination of FP and RW drying can be an alternative drying for white sweet cherry. Practical applications White sweet cherry is a perishable seasonal fruit whose long term use is not possible during the off-season. Fresh sweet cherries are processed into various food products such as juice, vinegar, alcoholic drink or jam right after the collection from the field. However, other food sectors like bakery &amp; pastry, chocolate, and dairy demand to rea</w:t>
      </w:r>
    </w:p>
    <w:p>
      <w:r>
        <w:t>POSSIBLE 2016: Right-Wing Extremism and Terrorism in Europe: Current Developments and Issues for the Future — https://openalex.org/W2994049625</w:t>
      </w:r>
    </w:p>
    <w:p>
      <w:r>
        <w:t>Shared claim-specific concepts: stark, contrast, white, show, almost, compared; EU scope visible. This is a provisional connection, not an outcome finding.</w:t>
      </w:r>
    </w:p>
    <w:p>
      <w:r>
        <w:t>Available abstract (not full text): Europe has experienced a revival of groups, networks, and incidents in recent years, with a surge of anti-immigration and Islamophobic violence, as well as anti-government attacks and assaults on political opponents, ethnic minorities, and homosexuals. Although not as significant as in Europe, the United States has also seen an upsurge in political violence considered to be right-wing extremist in nature (for example, supremacist, neo-Nazi, racist, or anti-government sovereign citizen). For the international audience, only a few of these incidents gained broad media attention; attacks are seen mostly as isolated events when compared with other attacks, such as those by Islamist terrorists. In Germany, a terrorist group calling itself the National Socialist Underground was discovered in 2011. Despite having assassinated at least 10 people and committed 2 bombings over the course of almost 14 years, it had gone undetected. That same year, Anders Behring Breivik killed 77 people in a bomb attack in Oslo and a mass shooting in Ut0ya, Norway. In the United States, supremacist Michael Page shot and killed six people and wounded four others in an attack against a Wisconsin Sikh temple in August 2012. Only one day after Charles Kurzman had argued in the New York Times that terrorism might be the most severe security threat in the United States, Dylann Roof killed nine people in his sho</w:t>
      </w:r>
    </w:p>
    <w:p>
      <w:pPr>
        <w:pStyle w:val="Heading2"/>
      </w:pPr>
      <w:r>
        <w:t>Assessing the impacts of technology improvements on the deployment of marine energy in Europe with an energy system perspective</w:t>
      </w:r>
    </w:p>
    <w:p>
      <w:r>
        <w:t>Original source (2015): https://doi.org/10.1016/j.renene.2015.11.076</w:t>
      </w:r>
    </w:p>
    <w:p>
      <w:r>
        <w:t>Original wording (abstract; indexed_source_text_not_full_document_verified): Marine energy could play a significant role in the long-term energy system in Europe, and substantial resources have been allocated to research and development in this field. A sensitivity analysis is performed, varying technology costs and conversion efficiency under two different carbon-emissions paths for Europe: a current policy initiative scenario and a scenario with long-term overall CO 2 emission reductions.</w:t>
      </w:r>
    </w:p>
    <w:p>
      <w:r>
        <w:t>POSSIBLE 2023: Marine energy digitalization digital twin's approaches — https://doi.org/10.1016/j.rser.2023.114065</w:t>
      </w:r>
    </w:p>
    <w:p>
      <w:r>
        <w:t>Shared claim-specific concepts: marine, energy; EU scope visible. This is a provisional connection, not an outcome finding.</w:t>
      </w:r>
    </w:p>
    <w:p>
      <w:r>
        <w:t>Available abstract (not full text): Digital twins (DTs) promise innovation for the marine renewable energy sector using modern technological advances and the existing maritime knowledge frameworks. The DT is a digital equivalent of a real object that reflects and predicts its behaviours and states in a virtual space over its lifetime. DTs collect data from multiple sources in pilots and leverage newly introduced low-cost sensor systems. They synchronize, homogenize, and transmit the data to a central hub and integrate it with predictive and learning models to optimize plant performance and operations. This research presents critical aspects of DT implementation challenges in marine energy digitalization DT approaches that use and combine data systems. Firstly, the DT and the existing framework for marine knowledge provided by systems are presented, and the DT's main development steps are discussed. Secondly, the DT implementing main stages, measurement systems, data harmonization and preprocessing, modelling, comprehensive data analysis, and learning and optimization tools, are identified. Finally, the ILIAD (Integrated Digital Framework for Comprehensive Maritime Data and Information Services) project has been reviewed as a best EU funding practice to understand better how marine energy digitalization DT's approaches are being used, designed, developed, and launched.</w:t>
      </w:r>
    </w:p>
    <w:p>
      <w:r>
        <w:t>POSSIBLE 2023: Developing a Marine Energy Workforce Pipeline — https://doi.org/10.23919/oceans52994.2023.10336954</w:t>
      </w:r>
    </w:p>
    <w:p>
      <w:r>
        <w:t>Shared claim-specific concepts: marine, energy, resources; EU scope not established. This is a provisional connection, not an outcome finding.</w:t>
      </w:r>
    </w:p>
    <w:p>
      <w:r>
        <w:t>Available abstract (not full text): Marine Energy is a nascent, but growing industry and will need a strong workforce to be successful. This paper examines the resources and programs needed to achieve the industry's goals.</w:t>
      </w:r>
    </w:p>
    <w:p>
      <w:r>
        <w:t>POSSIBLE 2023: Energy Justice Framework for Marine Energy: Considerations from PacWave — https://doi.org/10.2172/2352468</w:t>
      </w:r>
    </w:p>
    <w:p>
      <w:r>
        <w:t>Shared claim-specific concepts: marine, energy, two; EU scope not established. This is a provisional connection, not an outcome finding.</w:t>
      </w:r>
    </w:p>
    <w:p>
      <w:r>
        <w:t>Available abstract (not full text): To accelerate the energy transition while addressing land use conflicts and community opposition, federal policies and incentives require that new energy infrastructure provide direct benefits to communities, and ensure that these benefits remain in the community. The objective of this study is to develop a framework for collecting demographic, socioeconomic, and environmental data and supporting communities in understanding how such data can support more just and equitable outcomes. Specifically, this study addresses two research questions: (1) How can energy justice be incorporated into ME project life cycle, and (2) what social and economic data are needed to assess how marine energy development supports energy justice? Based on our literature review and the data collection template, a case study of PacWave, a wave energy testing facility located on the central Oregon Coast, is employed to draw more specific implications for how energy justice can be integrated into marine energy. PacWave represents a flagship investment by Oregon State University, the State of Oregon, and the Department of Energy. The facility is situated in Lincoln County, which is home to the Confederated Tribes of Siletz Indians and family-scale fishing enterprises. PacWave has strong community support as a testing site and holds potential to provide valuable lessons for other communities.</w:t>
      </w:r>
    </w:p>
    <w:p>
      <w:r>
        <w:t>POSSIBLE 2023: Planning the Installation of Marine Renewable Energies in Portugal - a tool for decision making — https://doi.org/10.1088/1742-6596/2626/1/012074</w:t>
      </w:r>
    </w:p>
    <w:p>
      <w:r>
        <w:t>Shared claim-specific concepts: marine, energy, play, role, system; EU scope visible. This is a provisional connection, not an outcome finding.</w:t>
      </w:r>
    </w:p>
    <w:p>
      <w:r>
        <w:t>Available abstract (not full text): Abstract In the latest years, the European governments have developed and published the goals for their countries in terms of energy and climate as requested by the European Commission - The National Energy and Climate Plans (NECPs). In this sense, an intense activity on the planning of the installation of renewable energy systems took place in each Member State in order to meet the goals established on the NECPs. Following the recent energy crisis and the urgency to transform Europe’s energy system in Europe, the NECPs are also being adapted to this situation and the installation of renewable energy systems assumed an even higher relevance. In this sense, offshore wind, due to its characteristics – high wind resource, less occupation issues and others – will play a key role in the future energy mix. This work proposed the development and application of a holistic planning methodology considering the available offshore renewable resource, restrictions to the installation of marine energy systems and economic indicators, which resulted in a techno-economic platform – MarinePlan, developed in the scope of a National funded project – OffshorePlan</w:t>
      </w:r>
    </w:p>
    <w:p>
      <w:r>
        <w:t>POSSIBLE 2022: Economic feasibility of marine renewable energy: Review — https://doi.org/10.3389/fmars.2022.988513</w:t>
      </w:r>
    </w:p>
    <w:p>
      <w:r>
        <w:t>Shared claim-specific concepts: marine, energy, technology, different; EU scope visible. This is a provisional connection, not an outcome finding.</w:t>
      </w:r>
    </w:p>
    <w:p>
      <w:r>
        <w:t>Available abstract (not full text): This paper aims to comprehensively review the economic feasibility of Marine Renewable Energy. Five major continents are at different development stages of implementing MREs commercialization; Europe is in the most advanced, while Africa is at the initial stage. The Levelized Cost of Energy is usually used to make decisions and measure the plant’s economic feasibility. Literature suggests that MRE technology is still costly, and many emerging countries are sensitive to the income and use of MRE. Among various types of MREs, wind energy is the most feasible for many countries. Offshore wave energy is still at the pre-commercialization stage for many developing countries. Tidal energy plants can be economically viable depending on a reduction in investment cost and high capacity factors. Most of the world’s tidal flows have too low a speed to operate a turbine of commercial size for ocean thermal energy. In conclusion, the factors hindering MRE development are pointed out, and future challenges are discussed.</w:t>
      </w:r>
    </w:p>
    <w:p>
      <w:r>
        <w:t>POSSIBLE 2021: The Essentials of Marine Biotechnology — https://doi.org/10.3389/fmars.2021.629629</w:t>
      </w:r>
    </w:p>
    <w:p>
      <w:r>
        <w:t>Shared claim-specific concepts: marine, energy, resources, field, technology; EU scope visible. This is a provisional connection, not an outcome finding.</w:t>
      </w:r>
    </w:p>
    <w:p>
      <w:r>
        <w:t>Available abstract (not full text): Coastal countries have traditionally relied on the existing marine resources (e.g., fishing, food, transport, recreation, and tourism) as well as tried to support new economic endeavors (ocean energy, desalination for water supply, and seabed mining). Modern societies and lifestyle resulted in an increased demand for dietary diversity, better health and well-being, new biomedicines, natural cosmeceuticals, environmental conservation, and sustainable energy sources. These societal needs stimulated the interest of researchers on the diverse and underexplored marine environments as promising and sustainable sources of biomolecules and biomass, and they are addressed by the emerging field of marine (blue) biotechnology. Blue biotechnology provides opportunities for a wide range of initiatives of commercial interest for the pharmaceutical, biomedical, cosmetic, nutraceutical, food, feed, agricultural, and related industries. This article synthesizes the essence, opportunities, responsibilities, and challenges encountered in marine biotechnology and outlines the attainment and valorization of directly derived or bio-inspired products from marine organisms. First, the concept of bioeconomy is introduced. Then, the diversity of marine bioresources including an overview of the most prominent marine organisms and their potential for biotechnological uses are described. This is followed b</w:t>
      </w:r>
    </w:p>
    <w:p>
      <w:r>
        <w:t>POSSIBLE 2021: Marine Energy in the United States: An Overview of Opportunities — https://doi.org/10.2172/1766861</w:t>
      </w:r>
    </w:p>
    <w:p>
      <w:r>
        <w:t>Shared claim-specific concepts: marine, energy, resources, performed, technology; EU scope not established. This is a provisional connection, not an outcome finding.</w:t>
      </w:r>
    </w:p>
    <w:p>
      <w:r>
        <w:t>Available abstract (not full text): This report provides a concise and consolidated overview of the Unites States’ marine energy resources . The results reported herein are primarily based on U.S. Department of Energy (DOE)-funded marine energy resource assessments in the following technology areas: wave, tidal currents, ocean currents, ocean thermal gradients, and river currents. This report also incorporates recent updates and refinements to the U.S. wave and tidal resource assessments performed by the national labs. Many of these refinements were undertaken to address feedback from the National Research Council’s evaluation of the original resource assessments (National Research Council 2013). Further, this report refines the analysis that has been published to date by identifying the marine energy resources available in each U.S. state or region to the extent practical. In short, this report summarizes the best available data on U.S. marine energy resources at the state, regional, and national scales.</w:t>
      </w:r>
    </w:p>
    <w:p>
      <w:r>
        <w:t>POSSIBLE 2021: Legal and Political Barriers and Enablers to the Deployment of Marine Renewable Energy — https://doi.org/10.3390/en14164896</w:t>
      </w:r>
    </w:p>
    <w:p>
      <w:r>
        <w:t>Shared claim-specific concepts: marine, energy, performed, technology, current; EU scope visible. This is a provisional connection, not an outcome finding.</w:t>
      </w:r>
    </w:p>
    <w:p>
      <w:r>
        <w:t>Available abstract (not full text): Ocean energy is a promising source of clean renewable energy, with clear development targets set by the European Commission. However, the ocean energy sector faces non-technological challenges and opportunities that are frequently overlooked in deployment plans. The present study aimed to provide a critical evaluation of the ocean energy sector’s legal, institutional, and political frameworks with an identification and analysis of both barriers and enabling features for the deployment of ocean energy. In the first stage, a literature review on the current political and regulatory frameworks of a set of European countries was carried out, setting the basis for the main challenges and enabling factors faced by the sector. Secondly, a critical analysis of the main non-technological barriers and enablers was performed, which was supported by questionnaires sent to regulators, technology developers, and test-site managers. This questionnaire allowed us to collect and integrate the views, perceptions, and personal experiences of the main stakeholders of the ocean energy sector in the analysis. The most relevant insights were collected to guide future policy instruments, supports, and consenting measures in a more informed and effective manner and to help accelerate the development of the sector.</w:t>
      </w:r>
    </w:p>
    <w:p>
      <w:r>
        <w:t>POSSIBLE 2020: Blue energy and marine spatial planning in Southern Europe — https://doi.org/10.1016/j.enpol.2020.111421</w:t>
      </w:r>
    </w:p>
    <w:p>
      <w:r>
        <w:t>Shared claim-specific concepts: marine, energy, role, resources, different; EU scope visible. This is a provisional connection, not an outcome finding.</w:t>
      </w:r>
    </w:p>
    <w:p>
      <w:r>
        <w:t>Available abstract (not full text): The 2050 target of the European Union to decarbonize the economy by 80–90% will undoubtedly see marine renewable energies playing a key role. The deployment of offshore facilities within the framework of Blue Growth creates tension as competition for other uses of the sea intensifies as economic exploitation of marine resources increases. Marine spatial planning (MSP) is being applied in different Member States, mainly in the North Sea basin, as a way of easing tensions while promoting blue energy. The southernmost marine areas of the continent also have considerable energy potential that, as yet, has not been exploited due to the limitations imposed by a narrow and steep continental shelf, not to mention legal and administrative barriers. MSP processes currently being developed by the application of Directive 2014/89/EU present an opportunity to resolve these conflicts and promote sustainable use of MRE sources in southern Europe. This paper analyzes the marine spatial planning process of five southern European countries - Spain, Greece, Italy, Malta and Portugal - with the aim of determining the degree to which they are incorporating blue energy policies.</w:t>
      </w:r>
    </w:p>
    <w:p>
      <w:r>
        <w:t>POSSIBLE 2020: Energy Flow Through Marine Ecosystems: Confronting Transfer Efficiency — https://doi.org/10.1016/j.tree.2020.09.006</w:t>
      </w:r>
    </w:p>
    <w:p>
      <w:r>
        <w:t>Shared claim-specific concepts: marine, energy, efficiency; EU scope not established. This is a provisional connection, not an outcome finding.</w:t>
      </w:r>
    </w:p>
    <w:p>
      <w:r>
        <w:t>Available abstract (not full text): Unavailable</w:t>
      </w:r>
    </w:p>
    <w:p>
      <w:r>
        <w:t>POSSIBLE 2019: Energy at the End of the World — https://doi.org/10.7551/mitpress/10910.001.0001</w:t>
      </w:r>
    </w:p>
    <w:p>
      <w:r>
        <w:t>Shared claim-specific concepts: marine, energy, technology; EU scope visible. This is a provisional connection, not an outcome finding.</w:t>
      </w:r>
    </w:p>
    <w:p>
      <w:r>
        <w:t xml:space="preserve">Available abstract (not full text): Making local energy futures, from marine energy to hydrogen fuel, at the edge of the world.The islands of Orkney, off the northern coast of Scotland, are closer to the Arctic Circle than to London. Surrounded by fierce seas and shrouded by clouds and mist, the islands seem to mark the edge of the known world. And yet they are a center for energy technology innovation, from marine energy to hydrogen fuel networks, attracting the interest of venture capitalists and local communities. In this book, Laura Watts tells a story of making energy futures at the edge of the world. Orkney, Watts tells us, has been making technology for six thousand years, from arrowheads and stone circles to wave and tide energy prototypes. Artifacts and traces of all the ages—Stone, Bronze, Iron, Viking, Silicon—are visible everywhere. The islanders turned to energy innovation when forced to contend with an energy infrastructure they had outgrown. Today, Orkney is home to the European Marine Energy Centre, established in 2003. There are about forty open-sea marine energy test facilities in the world, many of which draw on Orkney expertise. The islands generate more renewable energy than they use, are growing hydrogen fuel and electric car networks, and have hundreds of locally owned micro wind turbines and a decade-old smart grid. Mixing storytelling and ethnography, empiricism and lyricism, Watts tells </w:t>
      </w:r>
    </w:p>
    <w:p>
      <w:r>
        <w:t>POSSIBLE 2019: The Knowledge Map of Marine Energy — https://doi.org/10.1088/1755-1315/295/4/042067</w:t>
      </w:r>
    </w:p>
    <w:p>
      <w:r>
        <w:t>Shared claim-specific concepts: marine, energy, field; EU scope not established. This is a provisional connection, not an outcome finding.</w:t>
      </w:r>
    </w:p>
    <w:p>
      <w:r>
        <w:t>Available abstract (not full text): Abstract In order to analyze the research hotspots of marine energy, the Citespace III software was used to visually analyze marine energy. The database was collected on the criteria of marine energy as the keyword, and time span extended from 2007 to 2016 on the basis of the “Web of Sciencetm core collection database”. The scientific knowledge maps analysis of marine energy has been conducted based on the Citespace III software, and analyzes the active countries/regions, institutions and research hotspots in related research fields. Active countries/regions, institutions and research hotspots of relevant research areas have been studied, and University of Chinese Academy of Sciences is at the first place of whole research institutions in marine energy field. Keywords co-occurrence analysis results show that coast, corrosion, kinetics, evolution and sediments have the highest centralities which are the focal keywords in marine energy research field. The results of the co-citation analysis show that wave energy, tidal stream energy, tidal stream turbines, and the microalgae biofuels are the hotspots in marine energy research field.</w:t>
      </w:r>
    </w:p>
    <w:p>
      <w:pPr>
        <w:pStyle w:val="Heading2"/>
      </w:pPr>
      <w:r>
        <w:t>Biotechnology versus agroecology: Entrenchments and surprise at a 2030 forecast scenario workshop</w:t>
      </w:r>
    </w:p>
    <w:p>
      <w:r>
        <w:t>Original source (2015): https://doi.org/10.1093/scipol/scv021</w:t>
      </w:r>
    </w:p>
    <w:p>
      <w:r>
        <w:t>Original wording (abstract; indexed_source_text_not_full_document_verified): A scenario workshop methodology was used to obtain various assessments of the prospects of multi-stress resistant plants. In our results, the scenario method showed itself to be highly suited to easing the grip of cognitive entrenchments and hierarchical communication structures.</w:t>
      </w:r>
    </w:p>
    <w:p>
      <w:r>
        <w:t>POSSIBLE 2025: Building Participatory Instant Messaging: Developing a Methodology for Online Workshops Using WhatsApp — https://doi.org/10.35844/001c.141333</w:t>
      </w:r>
    </w:p>
    <w:p>
      <w:r>
        <w:t>Shared claim-specific concepts: workshop, methodology, used, method; EU scope visible. This is a provisional connection, not an outcome finding.</w:t>
      </w:r>
    </w:p>
    <w:p>
      <w:r>
        <w:t>Available abstract (not full text): This paper describes an application of instant messaging to support extended online participatory workshops. We describe the development and application of Participatory Instant Messaging (PIM) within the context of two projects in Sweden, which both aimed to integrate migrant experiences into policy dialogues and societal awareness. The projects brought together artistic practice, research traditions and the active engagement of participants in self-expression. The methodology leveraged the communicative opportunities in a familiar instant messaging platform to facilitate remote participatory workshops, overcoming geographical and logistical barriers that can otherwise constrain workshops to particular localities. PIM was used to co-create narratives and media directly with participants, enriching our understanding of their lives and enhancing public engagement with migrants’ stories, while remaining sensitive to participants’ lives and other commitments. This paper discusses the iterative design of PIM, from pilot experiments to full-scale application, highlighting the methodological insights gained and the practical challenges addressed throughout these phases. We drew on the concept of social affordances of technology, which foregrounds the space of potential interactions within participants’ own use of instant messaging. Social affordances informed both facilitation strate</w:t>
      </w:r>
    </w:p>
    <w:p>
      <w:r>
        <w:t>POSSIBLE 2024: Evaluating a research methodology workshop among postgraduate students using Kirkpatrick’s model — https://doi.org/10.4103/jehp.jehp_1026_23</w:t>
      </w:r>
    </w:p>
    <w:p>
      <w:r>
        <w:t>Shared claim-specific concepts: workshop, methodology, used; EU scope not established. This is a provisional connection, not an outcome finding.</w:t>
      </w:r>
    </w:p>
    <w:p>
      <w:r>
        <w:t>Available abstract (not full text): BACKGROUND: In this era of evidence-based medicine, only systematic research can help in providing judicious and precise healthcare to individual patients based on updated knowledge and skills. However, many medical professionals do not feel competent and confident enough to conduct research. One of the reasons could be the lack of a research-based curriculum in undergraduate courses. The National Medical Council has also stressed the need for formal training in research methodology for healthcare professionals. The research methodology workshops help to familiarize the participants with basic, clinical, and translational research required to impart optimum patient care. The objective of our study was to evaluate a research methodology workshop conducted for postgraduate students by assessing the participant’s knowledge, feedback, and expected impact using Kirkpatrick’s evaluation model. MATERIALS AND METHODS: A quasi-experimental, single-group study was conducted among 132 first-year postgraduate students. The four levels of Kirkpatrick’s model were applied for evaluation. Feedback forms, scores of the pretest and posttest, quality of the research proposal drafted by the postgraduates for their thesis, and finally successful submission of the research proposal were the components used to evaluate the four levels of outcome of Kirkpatrick’s model. STATISTICAL ANALYSIS: Data col</w:t>
      </w:r>
    </w:p>
    <w:p>
      <w:r>
        <w:t>POSSIBLE 2023: Chemistry Workshop in Brazilian High School using the Three Pedagogical Moments Methodology — https://doi.org/10.14571/brajets.v16.n1.59-70</w:t>
      </w:r>
    </w:p>
    <w:p>
      <w:r>
        <w:t>Shared claim-specific concepts: workshop, methodology, showed; EU scope not established. This is a provisional connection, not an outcome finding.</w:t>
      </w:r>
    </w:p>
    <w:p>
      <w:r>
        <w:t>Available abstract (not full text): This paper deals with the importance of educational methodologies which enable linear and propaedeutic education to be eliminated, while problematization and dialogicity are stimulated. It describes a study that focuses on the evaluation of Three Pedagogical Moments (3 PMs) with planned and implemented activities in the workshop "Coarse salt bath and the study of solutions", which was carried out with high school students in chemistry classes. Workshops are developed and carried out as the result of a partnership between a university and a high school in Pelotas, a city located in southern Brazil. The production of the empirical material was based on students’ responses to a questionnaire and notes in a field diary performed by the team. Results of the content analysis showed the learning potential offered by the thematic workshop related with daily lives and chemistry teaching to students and it was observed as differentiated and alternative methodology from traditional classroom classes. Due to obtained results in the activities developed at thematic chemistry workshop organized and based in the 3 PMs, the Project have continued with the elaboration and development of other workshops that are available on the project website.</w:t>
      </w:r>
    </w:p>
    <w:p>
      <w:r>
        <w:t>POSSIBLE 2022: Use of New Approach Methodologies (NAMs) in regulatory decisions for chemical safety: Report from an EPAA Deep Dive Workshop — https://doi.org/10.1016/j.yrtph.2022.105261</w:t>
      </w:r>
    </w:p>
    <w:p>
      <w:r>
        <w:t>Shared claim-specific concepts: workshop, used, method; EU scope visible. This is a provisional connection, not an outcome finding.</w:t>
      </w:r>
    </w:p>
    <w:p>
      <w:r>
        <w:t>Available abstract (not full text): New Approach Methodologies (NAMs) are considered to include any in vitro, in silico or chemistry-based method, as well as the strategies to implement them, that may provide information that could inform chemical safety assessment. Current chemical legislation in the European Union is limited in its acceptance of the widespread use of NAMs. The European Partnership for Alternative Approaches to Animal Testing (EPAA) therefore convened a 'Deep Dive Workshop' to explore the use of NAMs in chemical safety assessment, the aim of which was to support regulatory decisions, whilst intending to protect human health. The workshop recognised that NAMs are currently used in many industrial sectors, with some considered as fit for regulatory purpose. Moreover, the workshop identified key discussion points that can be addressed to increase the use and regulatory acceptance of NAMs. These are based on the changes needed in frameworks for regulatory requirements and the essential needs in education, training and greater stakeholder engagement as well the gaps in the scientific basis of NAMs.</w:t>
      </w:r>
    </w:p>
    <w:p>
      <w:r>
        <w:t>POSSIBLE 2021: A 2021 Online Workshop for the Review of Two Modules on Methodology for Using English as a Medium of Instruction in Rwanda: Opportunities and Challenges — https://doi.org/10.33422/ejte.v3i4.554</w:t>
      </w:r>
    </w:p>
    <w:p>
      <w:r>
        <w:t>Shared claim-specific concepts: workshop, methodology, used, showed; EU scope not established. This is a provisional connection, not an outcome finding.</w:t>
      </w:r>
    </w:p>
    <w:p>
      <w:r>
        <w:t>Available abstract (not full text): Since the outbreak of the COVID-19 pandemic in Wuhan in China and its rapid spread around the globe, people’s life and work styles have changed. Governments have installed and implemented lockdowns, social distancing, and stay home preventive measures that have forced most people to work from their homes. Research units and higher learning institutions were not spared as well. International conferences that were to take place in 2020 were turned into virtual presentations and until recently nothing has changed. To handle the crisis, the University of Rwanda also thought of transforming its work ethos. In this regard a two-phase online workshop was held in January and February 2021 to review two modules produced during a face-to face workshop in October 2021. These were modules on methodologies to help pre-primary, primary and lower secondary school teachers to effectively deliver their subject content through English, the medium of instruction, and promote learners’ proficiency in this language. As this online review was the first virtual workshop experience of the kind for most participants, the researchers decided to investigate the opportunities it offered them and the challenges faced. Theories on online work and of quantitative and qualitative research paradigms were used. The research tools were a questionnaire and observations. Graphs were utilised and emerging themes gr</w:t>
      </w:r>
    </w:p>
    <w:p>
      <w:r>
        <w:t>POSSIBLE 2020: Reflection of Using Buddhist Cognitive Process Activities in the Workshop of Research Methodology Course — https://openalex.org/W3093503066</w:t>
      </w:r>
    </w:p>
    <w:p>
      <w:r>
        <w:t>Shared claim-specific concepts: workshop, methodology, used, showed, cognitive; EU scope not established. This is a provisional connection, not an outcome finding.</w:t>
      </w:r>
    </w:p>
    <w:p>
      <w:r>
        <w:t>Available abstract (not full text): The purpose of this research was to study reflection of using Buddhist cognitive process activities in the workshop of research methodology course. Classroom action research and qualitative research were used. The target group was graduate students in psychology of life and death program, Faculty of Humanities, Mahachulalongkornrajavidyalaya University. Research tools were observation form and questionnaires. Qualitative data from 18 key informants was analyzed by using content analysis and analytic induction. Results indicated that reflection of using Buddhist cognitive process activities in the workshop of research methodology course showed in 4 aspects consisted of; 1) Knowledge, students were knowledge about content of subject, 2) Learning Process, students have shown their interested in learning process and be happy with class activities, 3) Attitude, students have changed and showed positive attitudes on research methodology. They have shown inspiration to create their theses, 4) Skills and Experience, students practiced their skills on data collection, data analysis, and data presentation for research. They also reflected that Buddhist cognitive process activities in the workshop of research methodology can improve students in learning happily, inspirited and practiced skills of research. Therefore, these activities within the workshop were appropriate for applying furth</w:t>
      </w:r>
    </w:p>
    <w:p>
      <w:r>
        <w:t>POSSIBLE 2019: Methodological Workshop - Measuring the effect of metaphors: the use of experimental surveys — https://openalex.org/W3008813731</w:t>
      </w:r>
    </w:p>
    <w:p>
      <w:r>
        <w:t>Shared claim-specific concepts: workshop, used, method; EU scope not established. This is a provisional connection, not an outcome finding.</w:t>
      </w:r>
    </w:p>
    <w:p>
      <w:r>
        <w:t>Available abstract (not full text): The workshop will be divided in three main units. The first part will discuss experiments as a method: what is an experiment? What are the differences with other methods? What are the main steps in conducting a (good) experiment? (Do &amp; Don’t) The second part focuses on experiments and metaphor studies. The last part of the workshop will present concrete examples of studies as well as a group discussion on a specific case, aiming at fostering discussions among participants. If possible, we would like to invite the participants to this workshop to have a look at the three following articles (email francois.randour@uclouvain.be if you want access to the articles ). - Steen, Reijnierse, Burgers (2014) ; Boeynaems, Burgers, Konijn, Steen (2017); Perrez &amp; Reuchamps (2015) (articles used for the third part of the workshop).</w:t>
      </w:r>
    </w:p>
    <w:p>
      <w:r>
        <w:t>POSSIBLE 2018: Teaching Methodology for IoT Workshop Course Using Node-RED — https://doi.org/10.1109/ic3.2018.8530664</w:t>
      </w:r>
    </w:p>
    <w:p>
      <w:r>
        <w:t>Shared claim-specific concepts: workshop, methodology, highly; EU scope not established. This is a provisional connection, not an outcome finding.</w:t>
      </w:r>
    </w:p>
    <w:p>
      <w:r>
        <w:t>Available abstract (not full text): In recent years, due to the expected exponential growth of Internet of Things (IoT), there is huge demand for adapting IoT in many key situations like day to day life, Industries, Healthcare systems, education systems, smart cites, smart grid, etc. It is also clearly evident that, IoT technology generates huge demand for job opportunities and revenues particularly in the Information technology sector. Thus, there is definite raising demand for IoT professionals. This aspect is highly motivating to teach IoT course as one the major courses for undergraduate engineering students at Universities. IoT is an amalgamation of hardware and software, the students should be exposed to learn and harness their skills in both concepts and technology thoroughly. In this paper, we proposed once such state-of-art laboratory based IoT course named IoT workshop and is offered for the undergraduate engineering students. In this paper, we discuss our experience to highlight need for IoT course, using Node-RED visual programming language, course content, learning objectives, assessment of course, and project ideas.</w:t>
      </w:r>
    </w:p>
    <w:p>
      <w:pPr>
        <w:pStyle w:val="Heading2"/>
      </w:pPr>
      <w:r>
        <w:t>CORPORATE FORESIGHT AND ASSESSMENT OF INNOVATIVE ACTIVITY OF INDUSTRIAL ENTERPRISES</w:t>
      </w:r>
    </w:p>
    <w:p>
      <w:r>
        <w:t>Original source (2015): https://doi.org/10.14529/em090308</w:t>
      </w:r>
    </w:p>
    <w:p>
      <w:r>
        <w:t>Original wording (abstract; indexed_source_text_not_full_document_verified): Foresight is a system of expert evaluation of strategic directions of social and economic and innovative development, identification of technological breakthroughs that could have an impact on the economy and the society in the mid- and long-term perspective.</w:t>
      </w:r>
    </w:p>
    <w:p>
      <w:r>
        <w:t>POSSIBLE 2026: FORESIGHT METHODS TOOLS FOR INNOVATIVE MARKETING AND DIGITAL MARKET FORESIGHT — https://doi.org/10.20998/2313-8890.2025.12.08</w:t>
      </w:r>
    </w:p>
    <w:p>
      <w:r>
        <w:t>Shared claim-specific concepts: foresight, system, expert, evaluation, strategic, innovative; EU scope not established. This is a provisional connection, not an outcome finding.</w:t>
      </w:r>
    </w:p>
    <w:p>
      <w:r>
        <w:t>Available abstract (not full text): Abstract. The article considers the issue of using foresight methods for innovative marketing. Special attention is paid to theoretical issues of digital market foresight. It is noted that there is a growing need for the use of proactive forecasting tools that allow not only to analyze current trends, but also to form alternative scenarios for the development of the market, technologies and consumer models. It is substantiated that the scientific and practical problem is the systematization of foresight methods tools for innovative marketing and the formation of a conceptual model of digital market foresight as an integrated system of strategic prediction of market transformations. A unified classification of foresight methods tools for innovative marketing has been developed. The methodological basis of the proposed classification is based on the functional role of tools in the marketing decision-making system. Unlike traditional foresight classifications (expert, scenario, analytical methods), this system groups tools according to their contribution to the formation of future marketing decisions. Five functional classes of the classification have been identified: change scanning tools, interpretation of future market states, scenario modeling, strategic market design, validation and coordination of decisions and summarized in classification tables. A detailed description of t</w:t>
      </w:r>
    </w:p>
    <w:p>
      <w:r>
        <w:t>POSSIBLE 2023: Foresight (prevision) of development of the tourist system in Ukraine — https://doi.org/10.21511/ppm.21(4).2023.52</w:t>
      </w:r>
    </w:p>
    <w:p>
      <w:r>
        <w:t>Shared claim-specific concepts: foresight, system, strategic, directions, economy; EU scope not established. This is a provisional connection, not an outcome finding.</w:t>
      </w:r>
    </w:p>
    <w:p>
      <w:r>
        <w:t xml:space="preserve">Available abstract (not full text): Considering the war in Ukraine, it will be necessary to restore the tourism system. The use of foresight as a means of predicting the future will ensure the formation of conditions for its development. The study aims to assess the functioning of the tourism system in Ukraine under martial law and to develop foresight scenarios for its development. The analysis of the main economic indicators of tourism and hotel entities during the war period indicates potential opportunities (a stable or growing trend). The volume of tax revenues to the state budget in 2023 increased by 15.6%. 2023 hotels’ KPIs (RevPAR, ADR, Occupancy) for the main destinations compared to the same period in 2022 increased by 206.0%, 66.0%, and 44.0%, respectively. The study scans the horizon within which the factors affecting the development of the tourism system are determined and assesses the levels of their potential impact and probability of occurrence. The BANI method is used to identify possible α- and β-scenarios of development, and the matrix method is used to interpret the strategic development directions. Industry factors are combined into four groups: development trends, the state of the market, technologies, innovations, and professional competence of staff. Thus, α- (optimistic) and β- (pessimistic) development scenarios future states in the tourism development. A prognostic vision of the future </w:t>
      </w:r>
    </w:p>
    <w:p>
      <w:r>
        <w:t>POSSIBLE 2022: Education as a System: The Content of the Foresight Methodology — https://doi.org/10.25205/2541-7517-2022-20-2-68-78</w:t>
      </w:r>
    </w:p>
    <w:p>
      <w:r>
        <w:t>Shared claim-specific concepts: foresight, system, society; EU scope not established. This is a provisional connection, not an outcome finding.</w:t>
      </w:r>
    </w:p>
    <w:p>
      <w:r>
        <w:t>Available abstract (not full text): The article reveals the substantive aspects of the Foresight methodology of social forecasting of the devel­opment of the education system as a complex, dynamic, open system from the point of view of a systematic approach. It is assumed that the education system is a central social institution, which, being associated with the transmission of knowledge, has to, in order to form a holistic personality of human beings, also support its own systemic complexity, as well as correspond to the complexity of the entire structure of society. The paper emphasizes some substantive difficulties in the work of experts in the framework of Foresight studies, as well as the need to take into account the value aspect when predicting the education of the future.</w:t>
      </w:r>
    </w:p>
    <w:p>
      <w:r>
        <w:t>POSSIBLE 2022: Foresight as a Strategic Management Tool in the ICT Industry — https://doi.org/10.32983/2222-4459-2022-10-225-230</w:t>
      </w:r>
    </w:p>
    <w:p>
      <w:r>
        <w:t>Shared claim-specific concepts: foresight, system, expert, strategic, innovative, identification; EU scope not established. This is a provisional connection, not an outcome finding.</w:t>
      </w:r>
    </w:p>
    <w:p>
      <w:r>
        <w:t xml:space="preserve">Available abstract (not full text): Foresight, as one of the most effective tools of strategic management, logically fits into the system of strategizing, which determines the relevance and actuality of the presented study. The desire to exchange traditions and management practices, along with consideration of scale, also contribute to the development of strategic management, in particular, foresight management. The purpose of the publication is to identify the essence of the available foresight studies and the possibilities of introducing their results in practice, in particular at the enterprises of the ICT industry. To achieve the purpose, general and special methods were used, such as methods of system analysis, analysis and synthesis, empirical methods of comparison and generalization, case method. The task is set as follows: studying the practice of application of foresight methodology in the ICT industry. The article considers the content and features of foresight as a tool of strategic management of enterprise development used to ensure their competitiveness. The purpose of the practical application of foresight is the implementation of strategic long-term forecasting, which is formed on the basis of expert opinions, analyses of factors, identification of stakeholders, displaying alternative trends in the development of enterprise, allowing to form development scenarios and implement the chosen strategy. </w:t>
      </w:r>
    </w:p>
    <w:p>
      <w:r>
        <w:t>POSSIBLE 2021: On the Application of Foresight in Education for Sustainable Development — https://doi.org/10.21209/2658-7114-2021-16-4-55-64</w:t>
      </w:r>
    </w:p>
    <w:p>
      <w:r>
        <w:t>Shared claim-specific concepts: foresight, system, directions, innovative, technological; EU scope not established. This is a provisional connection, not an outcome finding.</w:t>
      </w:r>
    </w:p>
    <w:p>
      <w:r>
        <w:t xml:space="preserve">Available abstract (not full text): Education is the most important mechanism for achieving the Sustainable Development Goals (SDGs). One of the methodological difficulties in the implementation of education for sustainable development (ESD) is associated with its proactive, predictive nature. In this regard, when designing ESD, it seems appropriate to use technologies of futurology, particularly, the technology of foresight. The article considers the main features of foresight and examples of its application in Russian education. The results of the foresight session on the design of ESD as an innovative pedagogical system and the development of a “roadmap” for the implementation of ESD in the Russian Federation for the period until 2030 are presented. 14 experts took part in this work (21 % are with D. Sc. degree, 50 % are with Ph. D. degree; average teaching experience is 17,4 years, including 12,6 years in the field of ESD). During the STEEPV analysis, we identified the main social, technological, economic, environmental, political, and value-based factors that will affect both the education system in general and ESD in particular. The SWOT analysis allowed us to determine the characteristic features of ESD, regarding its strengths and weaknesses, opportunities, and threats. In the brainstorming mode, the main elements of the ESD roadmap for the next 10 years (trends, technologies, formats / social practices, </w:t>
      </w:r>
    </w:p>
    <w:p>
      <w:r>
        <w:t>POSSIBLE 2020: Foresight research in management accounting: scenario forecasting and a comprehensive system of expert assessment methods in agricultural holdings — https://doi.org/10.34069/ai/2020.29.05.22</w:t>
      </w:r>
    </w:p>
    <w:p>
      <w:r>
        <w:t>Shared claim-specific concepts: foresight, system, expert, strategic, long-term, perspective; EU scope not established. This is a provisional connection, not an outcome finding.</w:t>
      </w:r>
    </w:p>
    <w:p>
      <w:r>
        <w:t xml:space="preserve">Available abstract (not full text): Foresight research in management accounting should be aimed at solving long-term perspective issues. A set of systems and methods of expert assessment is selected or developed in the course of such studies. The managerial staff of an economic entity with the authority to make strategic decisions develop forecast scenarios taking into account the opinions of competent experts involved in the economic field under consideration. Based on the fact that there can be many options for an economic future, they jointly discuss and develop a coordinated idea of which option for future economic development is most preferable for an agricultural holding, taking into account the variability of the economic situation.The subject of the study is the improvement of management accounting in the part of Foresight research in agricultural holdings with a comprehensive assessment of the effectiveness of the management of the activities of its agricultural organizations. In modern times, agricultural holdings can change the situation through competent management accounting, since competent management accounting allows companies to consolidate their activities, thereby giving good development to agriculture, both financially and in attracting highly qualified specialists, as well as the country's food security. In accordance with this goal, the main task was determined: to develop the mechanisms of </w:t>
      </w:r>
    </w:p>
    <w:p>
      <w:r>
        <w:t>POSSIBLE 2020: Resilience and transformation - Report of the 5th SCAR Foresight Exercise Expert Group - Natural resources and food systems: Transitions towards a ‘safe and just’ operating space — https://doi.org/10.2777/717705</w:t>
      </w:r>
    </w:p>
    <w:p>
      <w:r>
        <w:t>Shared claim-specific concepts: foresight, expert; EU scope visible. This is a provisional connection, not an outcome finding.</w:t>
      </w:r>
    </w:p>
    <w:p>
      <w:r>
        <w:t>Available abstract (not full text): Resilience and transformationReport of the 5th SCAR Foresight Exercise Expert Group Natural resources and food systems: Transitions towards a 'safe and just' operating space RESILIENCE AND TRANSFORMATION Report of the 5th SCAR Foresight Exercise Expert Group -Natural resources and food systems: Transitions towards a 'safe and just' operating space European Commission Directorate-General for Research and Innovation Directorate C -Healthy Planet Unit C5 -Ecological and Social Transitions</w:t>
      </w:r>
    </w:p>
    <w:p>
      <w:r>
        <w:t>POSSIBLE 2019: Expert assessment method in foresight studies — https://doi.org/10.21686/2500-3925-2019-4-4-13</w:t>
      </w:r>
    </w:p>
    <w:p>
      <w:r>
        <w:t>Shared claim-specific concepts: foresight, expert; EU scope not established. This is a provisional connection, not an outcome finding.</w:t>
      </w:r>
    </w:p>
    <w:p>
      <w:r>
        <w:t xml:space="preserve">Available abstract (not full text): Purpose of the study. The main goal of this research is to identify key aspects of expert assessments and offer high-quality recommendations for their improvement. Materials and methods. Foresight is built on the basis of expert assessment method, includes: active formation of the image of the future instead of its probabilistic prediction, focus on identifying key development priorities, participation in the study of key stakeholders, the relationship with the management decision-making process. The methods of analysis used in the work suggest methods of theoretical research in the form of analysis and modeling. In the course of the research, the following tasks were solved: firstly, the Expert model was formed based on the necessary and sufficient criteria for selecting respondents to the foresight study; secondly, the main characteristics of the Delphi method for consensus decisions in expert groups were identified. The research work considers various sources of information, which became the basis for the further development of the Expert model, based on an integrated approach based on the statistical, sociological and economic fields of science. Results. On the basis of bibliometric analysis, important criteria for the selection of experts were highlighted: a practical component, a theoretical component, a creative component, an assessment of belonging to a field of study, </w:t>
      </w:r>
    </w:p>
    <w:p>
      <w:r>
        <w:t>POSSIBLE 2018: Scientific Foresight and Cognitive Modeling of Socio-Economic Systems — https://doi.org/10.1016/j.ifacol.2018.11.264</w:t>
      </w:r>
    </w:p>
    <w:p>
      <w:r>
        <w:t>Shared claim-specific concepts: foresight, system; EU scope not established. This is a provisional connection, not an outcome finding.</w:t>
      </w:r>
    </w:p>
    <w:p>
      <w:r>
        <w:t>Available abstract (not full text): The article suggests using the methodology of cognitive modeling of complex systems (social, economic, ecological, political, socio-technical) as a tool for foresight. The methodology of cognitive modeling is briefly presented. The methodology is a system of methods for developing cognitive models, researching their structural properties, stability, scenario analysis, foresight, etc. With the help of the software system of cognitive modeling, it is possible to model and analyze a large number of structures and variants of behavior of a complex system, much more than the experts can come up with on their own. An example of the application of the methodology and the corresponding program system CMLS for studying the problems of the quality of life of youth is given.</w:t>
      </w:r>
    </w:p>
    <w:p>
      <w:r>
        <w:t>POSSIBLE 2018: Foresight as Technology of Strategic Planning — https://openalex.org/W4300057926</w:t>
      </w:r>
    </w:p>
    <w:p>
      <w:r>
        <w:t>Shared claim-specific concepts: foresight, system, strategic; EU scope not established. This is a provisional connection, not an outcome finding.</w:t>
      </w:r>
    </w:p>
    <w:p>
      <w:r>
        <w:t>Available abstract (not full text): The scientific novelty of the author’s approach is that foresight is regarded as a technology development and monitoring the implementation of the most important documents of strategic planning of urban development. The theoretical basis of the methodology defined by the concept of creative foresight of the city and smart city, allowing to characterize the urban space from the point of view of building a post-industrial development. Proposals to improve the functioning of the system of strategic planning of St. Petersburg, including - the recommendation to expand the panel of experts through the inclusion of a number of groups of representatives of creative and smart dimensions of the urban environment</w:t>
      </w:r>
    </w:p>
    <w:p>
      <w:r>
        <w:t>POSSIBLE 2017: Energy storage systems in the future German electricity system: A literature review and expert interviews based foresight approach — https://openalex.org/W3088129584</w:t>
      </w:r>
    </w:p>
    <w:p>
      <w:r>
        <w:t>Shared claim-specific concepts: foresight, system, expert; EU scope not established. This is a provisional connection, not an outcome finding.</w:t>
      </w:r>
    </w:p>
    <w:p>
      <w:r>
        <w:t>Available abstract (not full text): Unavailable</w:t>
      </w:r>
    </w:p>
    <w:p>
      <w:r>
        <w:t>POSSIBLE 2017: Energy storage in the future German electricity system: A literature review and expert interviews based foresight approach — https://openalex.org/W2996323402</w:t>
      </w:r>
    </w:p>
    <w:p>
      <w:r>
        <w:t>Shared claim-specific concepts: foresight, system, expert; EU scope not established. This is a provisional connection, not an outcome finding.</w:t>
      </w:r>
    </w:p>
    <w:p>
      <w:r>
        <w:t>Available abstract (not full text): Unavailable</w:t>
      </w:r>
    </w:p>
    <w:p>
      <w:pPr>
        <w:pStyle w:val="Heading2"/>
      </w:pPr>
      <w:r>
        <w:t>Centre-Periphery Relations in Europe: Demographic Aspect</w:t>
      </w:r>
    </w:p>
    <w:p>
      <w:r>
        <w:t>Original source (2015): https://doi.org/10.20542/0131-2227-2015-2-58-67</w:t>
      </w:r>
    </w:p>
    <w:p>
      <w:r>
        <w:t>Original wording (abstract; indexed_source_text_not_full_document_verified): So, the recent number of unemployed in Spain (5.7 millions) is four times more than the expected decrease in the number of people aged 20 to 64 between 2010 and 2030 (1.4 millions).</w:t>
      </w:r>
    </w:p>
    <w:p>
      <w:r>
        <w:t>POSSIBLE 2021: The European Social Fund Supports the Reintegration of the Long-term Unemployed Individuals Aged 50+ Into the Labor Market - A Comparison of the Federal States in Austria — https://doi.org/10.2478/ngoe-2021-0012</w:t>
      </w:r>
    </w:p>
    <w:p>
      <w:r>
        <w:t>Shared claim-specific concepts: recent, number, unemployed, four, aged; EU scope visible. This is a provisional connection, not an outcome finding.</w:t>
      </w:r>
    </w:p>
    <w:p>
      <w:r>
        <w:t>Available abstract (not full text): Abstract This paper shows the importance of European Social Fund’s (ESF) countermeasures for reintegrating long-term unemployed persons aged 50+ in Austria since their number has increased in recent years. Four research questions are defined, which deal with the theoretical background, the ESF’s contribution, the possible causes of long-term unemployment, and their reflection in a country comparison figures. For the qualitative methodology, we conducted expert interviews and case study analysis. Concerning the quantitative method, we evaluated raw data from the AMS Public Employment Service, Austria, and Statistics, Austria. A correlation was established based on the content-related evaluation of the theoretical approaches, the expert analysis, and the presentation of statistics. It is necessary to identify the causes in time and take appropriate measures to prevent them from combating long-term unemployment among this target group.</w:t>
      </w:r>
    </w:p>
    <w:p>
      <w:r>
        <w:t>POSSIBLE 2019: EVALUATION OF EUROPEAN SOCIAL FUND SUPPORT FOR THE EDUCATION OF THE UNEMPLOYED IN LATVIA — https://doi.org/10.17770/iss2018.4255</w:t>
      </w:r>
    </w:p>
    <w:p>
      <w:r>
        <w:t>Shared claim-specific concepts: recent, number, unemployed, people; EU scope visible. This is a provisional connection, not an outcome finding.</w:t>
      </w:r>
    </w:p>
    <w:p>
      <w:r>
        <w:t>Available abstract (not full text): The unemployment rate in Latvia was continuing to decline in recent years, but it is still high, especially in the regions. In order to improve the existing skills and to master new skills of the unemployed, the European Social Fund's investments are used. The author of the paper is studying the support provided by the European Social Fund to the unemployed for raising their qualifications, which could help them to return to the labour market. The research aim is to investigate the active employment opportunities for unemployed people to take part and how it affects the return of the unemployed to the labour market. The result of the research study shows that the number of training programmes is large and varied. However, it has been concluded that improvements are needed in the implementation of the European Social Fund's co-funding in order to reduce the risk of its misuse.</w:t>
      </w:r>
    </w:p>
    <w:p>
      <w:r>
        <w:t>POSSIBLE 2019: Inclusion of Unemployed People at Social Risk and Private Training Markets in Ireland, Portugal, and Spain — https://doi.org/10.1007/978-3-319-94532-3_108</w:t>
      </w:r>
    </w:p>
    <w:p>
      <w:r>
        <w:t>Shared claim-specific concepts: unemployed, spain, people; EU scope visible. This is a provisional connection, not an outcome finding.</w:t>
      </w:r>
    </w:p>
    <w:p>
      <w:r>
        <w:t>Available abstract (not full text): Unavailable</w:t>
      </w:r>
    </w:p>
    <w:p>
      <w:r>
        <w:t>POSSIBLE 2018: Social protection and activation for the unemployed — https://doi.org/10.4324/9781315198422-16</w:t>
      </w:r>
    </w:p>
    <w:p>
      <w:r>
        <w:t>Shared claim-specific concepts: recent, number, unemployed, people; EU scope visible. This is a provisional connection, not an outcome finding.</w:t>
      </w:r>
    </w:p>
    <w:p>
      <w:r>
        <w:t>Available abstract (not full text): The importance of the level of social protection during unemployment, in terms of the willingness of the unemployed to take up work, is by no means uncontroversial. Activation for the unemployed has become increasingly important in recent years, both in Germany and in numerous other European countries. There are a number of different approaches and strategies regarding activation for the unemployed; primarily these focus either on material pressures and constraints, or on effective advice and support for the unemployed. The fundamentally existing starting points and strategies that play a role in the context of activation for the unemployed will be analyzed in a more differentiated fashion. A further approach in the activation for the unemployed is the intensive advice and guidance provided for unemployed people. The increased involvement of third parties already envisaged in the Job-AQTIV law is to contribute to expanding the capacity for employee placement and advice for the unemployed.</w:t>
      </w:r>
    </w:p>
    <w:p>
      <w:r>
        <w:t>POSSIBLE 2018: Inclusion of Unemployed People at Social Risk and Private Training Markets in Ireland, Portugal, and Spain — https://doi.org/10.1007/978-3-319-49789-1_108-1</w:t>
      </w:r>
    </w:p>
    <w:p>
      <w:r>
        <w:t>Shared claim-specific concepts: unemployed, spain, people; EU scope visible. This is a provisional connection, not an outcome finding.</w:t>
      </w:r>
    </w:p>
    <w:p>
      <w:r>
        <w:t>Available abstract (not full text): Unavailable</w:t>
      </w:r>
    </w:p>
    <w:p>
      <w:r>
        <w:t>POSSIBLE 2017: Self-placement of the Unemployed in the Social Hierarchy. Evidence from European Countries — https://openalex.org/W2908493705</w:t>
      </w:r>
    </w:p>
    <w:p>
      <w:r>
        <w:t>Shared claim-specific concepts: recent, unemployed, people; EU scope visible. This is a provisional connection, not an outcome finding.</w:t>
      </w:r>
    </w:p>
    <w:p>
      <w:r>
        <w:t>Available abstract (not full text): Unemployment has risen during the recent recession. However, the experience of unemployment varies considerably across European countries (Gallie 2013b). To study the \nunemployment experience in different European countries, a social exclusion approach was combined with a social stratification approach utilizing a measure of subjective social position which indicates how people perceive their relative position in the social hierarchy. In evaluating their social position people make comparisons within societal contexts. We hypothesize that the country-level economic and institutional context impacts the experience of unemployment, the way people interpret it, and thus affects the subjective social position of the unemployed. Our main goal was to study the impact of different macro-level economic and social characteristics on the subjective social position of the unemployed. We focused on a comparison of the subjective social position of unemployed persons against the remaining populations of 18 European countries using data from the International Social Survey Programme (ISSP) 2009 Social Inequality module.</w:t>
      </w:r>
    </w:p>
    <w:p>
      <w:r>
        <w:t>POSSIBLE 2016: Explaining Perceptions of the Unemployed in Europe — https://openalex.org/W2489991810</w:t>
      </w:r>
    </w:p>
    <w:p>
      <w:r>
        <w:t>Shared claim-specific concepts: number, unemployed, people; EU scope visible. This is a provisional connection, not an outcome finding.</w:t>
      </w:r>
    </w:p>
    <w:p>
      <w:r>
        <w:t>Available abstract (not full text): This article explores the determinants of the perceptions of the unemployed in 29 European countries along three dimensions: whether people see the unemployed as the ‘government’s responsibility’; whether they believe the unemployed do not ‘try hard to find a job’; and whether they think that the standard of living of the unemployed is ‘bad’. I derive a number of expectations from the political economy literature on policy preferences and test whether these expectations explain variation in the perceptions of the unemployed. Using logistic regression analysis, I find that labour market status and occupations influence individuals’ perceptions of the unemployed. For instance, the unemployed and workers in low skill occupations are most likely to think that the government is responsible for the standard of living of the unemployed. However, certain factors such as gender, occupations, education, and union membership affect distinct types of perceptions differently. The determinants of policy preferences help us make sense of perceptions of the unemployed but certain factors affect different types of perceptions in distinct ways.</w:t>
      </w:r>
    </w:p>
    <w:p>
      <w:pPr>
        <w:pStyle w:val="Heading2"/>
      </w:pPr>
      <w:r>
        <w:t>Climate Change Effects on Heat- and Cold-Related Mortality in the Netherlands: A Scenario-Based Integrated Environmental Health Impact Assessment</w:t>
      </w:r>
    </w:p>
    <w:p>
      <w:r>
        <w:t>Original source (2015): https://doi.org/10.3390/ijerph121013295</w:t>
      </w:r>
    </w:p>
    <w:p>
      <w:r>
        <w:t>Original wording (abstract; indexed_source_text_not_full_document_verified): This scenario-based integrated health impacts assessment explores baseline (1981-2010) and future (2050) population attributable fractions (PAF) of mortality due to heat (PAFheat) and cold (PAFcold), by combining observed temperature-mortality relationships with the Dutch KNMI'14 climate scenarios and three adaptation scenarios. When the 2050 model runs applying the different adaptation scenarios are considered as well, however, the PAFheat ranges between 0.94% and 2.52% and the PAFcold between 6.56% and 9.85%.</w:t>
      </w:r>
    </w:p>
    <w:p>
      <w:r>
        <w:t>POSSIBLE 2026: Heat-related health impacts across national mitigation and urban adaptation scenarios in European cities - Data — https://doi.org/10.5281/zenodo.20666093</w:t>
      </w:r>
    </w:p>
    <w:p>
      <w:r>
        <w:t>Shared claim-specific concepts: integrated, health, impacts, assessment, mortality, heat; EU scope visible. This is a provisional connection, not an outcome finding.</w:t>
      </w:r>
    </w:p>
    <w:p>
      <w:r>
        <w:t>Available abstract (not full text): Heat-related health impacts across national mitigation and urban adaptation scenarios in European cities - Analysis Data Data to reproduce the analysis and visualization scripts for the journal publication Rodés-Bachs, C., Vicedo-Cabrera, A., Sampedro, J., Masselot, P., Koasidis, K., &amp; Van de Ven, D. (2026). Heat-related health impacts across national mitigation and urban adaptation scenarios in European cities. Preprint available soon. Check out the GitHub parent directory with all the source code to reuse this data. Abstract Heat exposure is a critical health risk, yet health outcomes and age-related vulnerability remain underrepresented in climate scenario analysis. This study bridges this gap by presenting a novel framework for estimating heat-health impacts across policy-relevant mitigation scenarios and adaptation strategies. By fusing integrated assessment modeling, climate emulators, and epidemiological methods with Urban Heat Island and age-specific mortality data, we quantify heat impacts across 854 European cities. This research provides a robust methodological foundation to facilitate the integration of public health dimensions into strategic urban and national policy design. Related repositories: Preprint publication: Available soon. Data Zenodo archive: Processed data to reproduce the figures and the analysis. Code GitHub repository and Zenodo archive: Code with t</w:t>
      </w:r>
    </w:p>
    <w:p>
      <w:r>
        <w:t>POSSIBLE 2025: High resolution assessment of air quality and health in Europe under different climate mitigation scenarios — https://doi.org/10.1038/s41467-025-60449-2</w:t>
      </w:r>
    </w:p>
    <w:p>
      <w:r>
        <w:t>Shared claim-specific concepts: health, assessment, population, attributable, mortality, climate; EU scope visible. This is a provisional connection, not an outcome finding.</w:t>
      </w:r>
    </w:p>
    <w:p>
      <w:r>
        <w:t>Available abstract (not full text):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r>
        <w:t>POSSIBLE 2023: Excess mortality attributed to heat and cold: a health impact assessment study in 854 cities in Europe — https://doi.org/10.1016/s2542-5196(23)00023-2</w:t>
      </w:r>
    </w:p>
    <w:p>
      <w:r>
        <w:t>Shared claim-specific concepts: health, assessment, mortality, due, heat, cold; EU scope visible. This is a provisional connection, not an outcome finding.</w:t>
      </w:r>
    </w:p>
    <w:p>
      <w:r>
        <w:t>Available abstract (not full text): BACKGROUND: Heat and cold are established environmental risk factors for human health. However, mapping the related health burden is a difficult task due to the complexity of the associations and the differences in vulnerability and demographic distributions. In this study, we did a comprehensive mortality impact assessment due to heat and cold in European urban areas, considering geographical differences and age-specific risks. METHODS: We included urban areas across Europe between Jan 1, 2000, and Dec 12, 2019, using the Urban Audit dataset of Eurostat and adults aged 20 years and older living in these areas. Data were extracted from Eurostat, the Multi-country Multi-city Collaborative Research Network, Moderate Resolution Imaging Spectroradiometer, and Copernicus. We applied a three-stage method to estimate risks of temperature continuously across the age and space dimensions, identifying patterns of vulnerability on the basis of city-specific characteristics and demographic structures. These risks were used to derive minimum mortality temperatures and related percentiles and raw and standardised excess mortality rates for heat and cold aggregated at various geographical levels. FINDINGS: Across the 854 urban areas in Europe, we estimated an annual excess of 203 620 (empirical 95% CI 180 882-224 613) deaths attributed to cold and 20 173 (17 261-22 934) attributed to heat. Th</w:t>
      </w:r>
    </w:p>
    <w:p>
      <w:r>
        <w:t>POSSIBLE 2022: The health potential of urban water: Future scenarios on local risks and opportunities — https://doi.org/10.1016/j.cities.2022.103639</w:t>
      </w:r>
    </w:p>
    <w:p>
      <w:r>
        <w:t>Shared claim-specific concepts: integrated, health, impacts, explores, population, climate; EU scope visible. This is a provisional connection, not an outcome finding.</w:t>
      </w:r>
    </w:p>
    <w:p>
      <w:r>
        <w:t>Available abstract (not full text): Although cities can be characterised as sources of economic, environmental and social challenges, they can also be part of the solution for healthy and sustainable societies. While most cities are situated close to water, whether inland waterways, lakes, or the sea, these blue spaces are not integrated into urban planning to their full potential and their public health impacts are not always recognised by planning authorities. Furthermore, cities face future challenges regarding climate change, socio-economic developments like tourism, urbanization, and rising social inequalities. The development of healthy blue spaces can support cities in their pursuit of ways to confront these challenges. Interdisciplinary and transdisciplinary analyses of the local impacts of these trends and promising interventions have been scarce to date. This study explores the use of such methodology by presenting experiences related to five European cities: Amsterdam, Barcelona, Plymouth, Tallinn and Thessaloniki, using an interactive and participative approach with local experts and stakeholders. Future scenarios have been developed based on the question: How can blue spaces contribute to a healthier city population, given the long term trends? The results highlight the importance of addressing the local context when seeking sustainable solutions for cities. The future scenarios deliver information t</w:t>
      </w:r>
    </w:p>
    <w:p>
      <w:r>
        <w:t>POSSIBLE 2021: Tracking progress on health and climate change in Europe — https://doi.org/10.1016/s2468-2667(21)00207-3</w:t>
      </w:r>
    </w:p>
    <w:p>
      <w:r>
        <w:t>Shared claim-specific concepts: health, impacts, climate; EU scope visible. This is a provisional connection, not an outcome finding.</w:t>
      </w:r>
    </w:p>
    <w:p>
      <w:r>
        <w:t>Available abstract (not full text): Left unabated, climate change will have catastrophic effects on the health of present and future generations. Such effects are already seen in Europe, through more frequent and severe extreme weather events, alterations to water and food systems, and changes in the environmental suitability for infectious diseases. As one of the largest current and historical contributors to greenhouse gases and the largest provider of financing for climate change mitigation and adaptation, Europe's response is crucial, for both human health and the planet. To ensure that health and wellbeing are protected in this response it is essential to build the capacity to understand, monitor, and quantify health impacts of climate change and the health co-benefits of accelerated action. Responding to this need, the Lancet Countdown in Europe is established as a transdisciplinary research collaboration for monitoring progress on health and climate change in Europe. With the wealth of data and academic expertise available in Europe, the collaboration will develop region-specific indicators to address the main challenges and opportunities of Europe's response to climate change for health. The indicators produced by the collaboration will provide information to health and climate policy decision making, and will also contribute to the European Observatory on Climate and Health.</w:t>
      </w:r>
    </w:p>
    <w:p>
      <w:r>
        <w:t>POSSIBLE 2021: The European Blueprint on Digital Transformation of Health and Care for the Ageing Society — https://doi.org/10.5334/ijic.icic20404</w:t>
      </w:r>
    </w:p>
    <w:p>
      <w:r>
        <w:t>Shared claim-specific concepts: integrated, health, population; EU scope visible. This is a provisional connection, not an outcome finding.</w:t>
      </w:r>
    </w:p>
    <w:p>
      <w:r>
        <w:t>Available abstract (not full text): The European Blueprint on Digital Transformation of Health and Care for the Ageing Society, funded as part of the WE4AHA project under the European Commission's digital single market strategy, reflects a shared policy vision on how innovation can transform health and care provision in our ageing society. The Blueprint has centred its work on 12 personas, which were developed to enable the European Innovation Partnership on Active and Healthy Ageing (EIP on AHA) to envision realistic health and care needs of particular groups in society. The concept of “personas” was initially used by technology providers to enable the design of user-friendly solutions based on a deeper understanding of how a target user will interact with particular technologies . The Blueprint furthered this concept by developing an approach that encompasses the perspective of different actors, beginning with the perspective of the citizen or patient rather the industry representatives. The resulting persona profiles include not only their health and care needs at their particular life stage, but also their personal aspects such as family, interests and hobbies, and daily living, as well as behavioural characteristics, which have been found to affect both short- and long-term success with interventions directed toward managing a disease or adopting wellness . The Blueprint personas have already been successful</w:t>
      </w:r>
    </w:p>
    <w:p>
      <w:r>
        <w:t>POSSIBLE 2020: The Impact of Decarbonization Scenarios on Air Quality and Human Health in Poland—Analysis of Scenarios up to 2050 — https://doi.org/10.3390/atmos11111222</w:t>
      </w:r>
    </w:p>
    <w:p>
      <w:r>
        <w:t>Shared claim-specific concepts: integrated, health, impacts, population, heat, three; EU scope visible. This is a provisional connection, not an outcome finding.</w:t>
      </w:r>
    </w:p>
    <w:p>
      <w:r>
        <w:t>Available abstract (not full text): Poland faces two great challenges in the field of environment and atmosphere protection: improving air quality, especially by reducing particulate matter (PM) emissions, and reducing relatively high greenhouse gas emissions. The aim of this research was to investigate how the fuel and technological transformations in the power, road transport, and household and tertiary sectors aimed at reducing carbon dioxide (CO2) emissions in Poland would affect air quality, human health, and the associated external costs. The study was conducted for 2050 while considering 2015 as the base year. Ambient PM2.5 (particles with a diameter of less than 2.5 µm) concentration was used as a proxy air quality indicator. The analysis was based on decarbonization scenarios developed within the REFLEX Project (Analysis of the European energy system under the aspects of flexibility and technological progress). The three scenarios of the REFLEX Project focused on the reduction of CO2 emissions up to 2050 from various sectors, mainly by the means of fuel and technological switches. This also led to the changes in the emission levels of pollutants that directly affect air quality, which were calculated with the use of fuel- and technology-specific emission factors. Next, for each emission scenario, ambient concentrations of PM2.5 and others pollutants were calculated with the use of the Polyphemus—an Euler</w:t>
      </w:r>
    </w:p>
    <w:p>
      <w:r>
        <w:t>POSSIBLE 2019: Digital Health Transformation of Integrated Care in Europe: Overarching Analysis of 17 Integrated Care Programs — https://doi.org/10.2196/14956</w:t>
      </w:r>
    </w:p>
    <w:p>
      <w:r>
        <w:t>Shared claim-specific concepts: integrated, health, assessment, observed; EU scope visible. This is a provisional connection, not an outcome finding.</w:t>
      </w:r>
    </w:p>
    <w:p>
      <w:r>
        <w:t>Available abstract (not full text): BACKGROUND: Digital health tools comprise a wide range of technologies to support health processes. The potential of these technologies to effectively support health care transformation is widely accepted. However, wide scale implementation is uneven among countries and regions. Identification of common factors facilitating and hampering the implementation process may be useful for future policy recommendations. OBJECTIVE: The aim of this study was to analyze the implementation of digital health tools to support health care and social care services, as well as to facilitate the longitudinal assessment of these services, in 17 selected integrated chronic care (ICC) programs from 8 European countries. METHODS: A program analysis based on thick descriptions-including document examinations and semistructured interviews with relevant stakeholders-of ICC programs in Austria, Croatia, Germany, Hungary, the Netherlands, Norway, Spain, and the United Kingdom was performed. A total of 233 stakeholders (ie, professionals, providers, patients, carers, and policymakers) were interviewed from November 2014 to September 2016. The overarching analysis focused on the use of digital health tools and program assessment strategies. RESULTS: Supporting digital health tools are implemented in all countries, but different levels of maturity were observed among the programs. Only few ICC programs have</w:t>
      </w:r>
    </w:p>
    <w:p>
      <w:r>
        <w:t>POSSIBLE 2017: Climate change impacts on human health over Europe through its effect on air quality — https://doi.org/10.1186/s12940-017-0325-2</w:t>
      </w:r>
    </w:p>
    <w:p>
      <w:r>
        <w:t>Shared claim-specific concepts: health, impacts, assessment, due, heat, relationships; EU scope visible. This is a provisional connection, not an outcome finding.</w:t>
      </w:r>
    </w:p>
    <w:p>
      <w:r>
        <w:t>Available abstract (not full text): This review examines the current literature on the effects of future emissions and climate change on particulate matter (PM) and O 3 air quality and on the consequent health impacts, with a focus on Europe. There is considerable literature on the effects of climate change on O 3 but fewer studies on the effects of climate change on PM concentrations. Under the latest Intergovernmental Panel on Climate Change (IPCC) 5th assessment report (AR5) Representative Concentration Pathways (RCPs), background O 3 entering Europe is expected to decrease under most scenarios due to higher water vapour concentrations in a warmer climate. However, under the extreme pathway RCP8.5 higher (more than double) methane (CH 4 ) abundances lead to increases in background O 3 that offset the O 3 decrease due to climate change especially for the 2100 period. Regionally, in polluted areas with high levels of nitrogen oxides (NO x ), elevated surface temperatures and humidities yield increases in surface O 3 – termed the O 3 climate penalty – especially in southern Europe. The O 3 response is larger for metrics that represent the higher end of the O 3 distribution, such as daily maximum O 3 . Future changes in PM concentrations due to climate change are much less certain, although several recent studies also suggest a PM climate penalty due to high temperatures and humidity and reduced precipitation in n</w:t>
      </w:r>
    </w:p>
    <w:p>
      <w:r>
        <w:t>POSSIBLE 2016: Environmental impacts of high penetration renewable energy scenarios for Europe — https://doi.org/10.1088/1748-9326/11/1/014012</w:t>
      </w:r>
    </w:p>
    <w:p>
      <w:r>
        <w:t>Shared claim-specific concepts: impacts, heat, climate; EU scope visible. This is a provisional connection, not an outcome finding.</w:t>
      </w:r>
    </w:p>
    <w:p>
      <w:r>
        <w:t xml:space="preserve">Available abstract (not full text): The prospect of irreversible environmental alterations and an increasingly volatile climate pressurises societies to reduce greenhouse gas emissions, thereby mitigating climate change impacts. As global electricity demand continues to grow, particularly if considering a future with increased electrification of heat and transport sectors, the imperative to decarbonise our electricity supply becomes more urgent. This letter implements outputs of a detailed power system optimisation model into a prospective life cycle analysis framework in order to present a life cycle analysis of 44 electricity scenarios for Europe in 2050, including analyses of systems based largely on low-carbon fossil energy options (natural gas, and coal with carbon capture and storage (CCS)) as well as systems with high shares of variable renewable energy (VRE) (wind and solar). VRE curtailments and impacts caused by extra energy storage and transmission capabilities necessary in systems based on VRE are taken into account. The results show that systems based largely on VRE perform much better regarding climate change and other impact categories than the investigated systems based on fossil fuels. The climate change impacts from Europe for the year 2050 in a scenario using primarily natural gas are 1400 Tg CO 2 -eq while in a scenario using mostly coal with CCS the impacts are 480 Tg CO 2 -eq. Systems based </w:t>
      </w:r>
    </w:p>
    <w:p>
      <w:r>
        <w:t>POSSIBLE 2016: Proposals for enhanced health risk assessment and stratification in an integrated care scenario — https://doi.org/10.1136/bmjopen-2015-010301</w:t>
      </w:r>
    </w:p>
    <w:p>
      <w:r>
        <w:t>Shared claim-specific concepts: integrated, health, assessment, population; EU scope visible. This is a provisional connection, not an outcome finding.</w:t>
      </w:r>
    </w:p>
    <w:p>
      <w:r>
        <w:t>Available abstract (not full text): OBJECTIVES: Population-based health risk assessment and stratification are considered highly relevant for large-scale implementation of integrated care by facilitating services design and case identification. The principal objective of the study was to analyse five health-risk assessment strategies and health indicators used in the five regions participating in the Advancing Care Coordination and Telehealth Deployment (ACT) programme (http://www.act-programme.eu). The second purpose was to elaborate on strategies toward enhanced health risk predictive modelling in the clinical scenario. SETTINGS: The five ACT regions: Scotland (UK), Basque Country (ES), Catalonia (ES), Lombardy (I) and Groningen (NL). PARTICIPANTS: Responsible teams for regional data management in the five ACT regions. PRIMARY AND SECONDARY OUTCOME MEASURES: We characterised and compared risk assessment strategies among ACT regions by analysing operational health risk predictive modelling tools for population-based stratification, as well as available health indicators at regional level. The analysis of the risk assessment tool deployed in Catalonia in 2015 (GMAs, Adjusted Morbidity Groups) was used as a basis to propose how population-based analytics could contribute to clinical risk prediction. RESULTS: There was consensus on the need for a population health approach to generate health risk predictive modelli</w:t>
      </w:r>
    </w:p>
    <w:p>
      <w:r>
        <w:t>POSSIBLE 2016: Health Impacts of Active Transportation in Europe — https://doi.org/10.1371/journal.pone.0149990</w:t>
      </w:r>
    </w:p>
    <w:p>
      <w:r>
        <w:t>Shared claim-specific concepts: health, impacts, assessment, mortality; EU scope visible. This is a provisional connection, not an outcome finding.</w:t>
      </w:r>
    </w:p>
    <w:p>
      <w:r>
        <w:t>Available abstract (not full text):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pPr>
        <w:pStyle w:val="Heading2"/>
      </w:pPr>
      <w:r>
        <w:t>Comparison of Water Flows in Four European Lagoon Catchments under a Set of Future Climate Scenarios</w:t>
      </w:r>
    </w:p>
    <w:p>
      <w:r>
        <w:t>Original source (2015): https://doi.org/10.3390/w7020716</w:t>
      </w:r>
    </w:p>
    <w:p>
      <w:r>
        <w:t>Original wording (abstract; indexed_source_text_not_full_document_verified): Probable impacts of projected climate changes on catchment hydrology and freshwater input were assessed using the eco-hydrological model SWIM (Soil and Water Integrated Model) for the drainage areas of four European lagoons: Ria de Aveiro (Portugal), Mar Menor (Spain), Tyligulskyi Liman (Ukraine) and Vistula Lagoon (Poland/Russia) under a set of 15 climate scenarios covering the time period until the year 2100. Precipitation is projected to decrease in two catchments on the Iberian Peninsula and increase in the Baltic region catchment, and does not show a clear trend in the catchment located near the Black Sea.</w:t>
      </w:r>
    </w:p>
    <w:p>
      <w:r>
        <w:t>POSSIBLE 2024: Energy storage and climate impacts on the future renewable European energy system — https://openalex.org/W4412222428</w:t>
      </w:r>
    </w:p>
    <w:p>
      <w:r>
        <w:t>Shared claim-specific concepts: probable, impacts, climate, assessed, integrated; EU scope visible. This is a provisional connection, not an outcome finding.</w:t>
      </w:r>
    </w:p>
    <w:p>
      <w:r>
        <w:t>Available abstract (not full text): The world stands before the critical mission of mitigating climate change by reducing greenhouse gas emissions at such a pace that catastrophic repercussions are avoided. A primary step towards this goal is to decarbonize the energy sector. This task involves a massive rollout of renewables to replace the fossil-fueled energy supply and to meet a growing demand for electricity resulting from the transformation of all energy sectors. As variable renewable energy increasingly emerges as the predominant source of electricity, the generation of electricity becomes more volatile. Consequently, future energy systems must be equipped with adequate backup and storage infrastructure to ensure a reliable energy supply. This PhD thesis, written as a compilation of research articles, adopts a bottom-up energy system modeling approach that rely on techno-economic optimization to provide insight into this context. The investigations focus on a future sector-coupled European energy system, encompassing the determination of electricity storage technology requirements to qualify in a competitive market, an exploration of energy-related impacts of climate change and interannual weather variability, and the examination of cost-optimal measures to ensure robustness to interannual weather variability and fuel import disruptions. The first study, presented in Chapter 2, addresses a gap in the litera</w:t>
      </w:r>
    </w:p>
    <w:p>
      <w:r>
        <w:t>POSSIBLE 2022: Mid-Holocene European climate revisited: New high-resolution regional climate model simulations using pollen-based land-cover — https://doi.org/10.1016/j.quascirev.2022.107431</w:t>
      </w:r>
    </w:p>
    <w:p>
      <w:r>
        <w:t>Shared claim-specific concepts: probable, climate; EU scope visible. This is a provisional connection, not an outcome finding.</w:t>
      </w:r>
    </w:p>
    <w:p>
      <w:r>
        <w:t>Available abstract (not full text): Land-cover changes have a clear impact on local climates via biophysical effects. European land cover has been affected by human activities for at least 6000 years, but possibly longer. It is thus highly probable that humans altered climate before the industrial revolution (AD1750–1850). In this study, climate and vegetation 6000 years (6 ka) ago is investigated using one global climate model, two regional climate models, one dynamical vegetation model, pollen-based reconstruction of past vegetation cover using a model of the pollen-vegetation relationship and a statistical model for spatial interpolation of the reconstructed land cover. This approach enables us to study 6 ka climate with potential natural and reconstructed land cover, and to determine how differences in land cover impact upon simulated climate. The use of two regional climate models enables us to discuss the robustness of the results. This is the first experiment with two regional climate models of simulated palaeo-climate based on regional climate models. Different estimates of 6 ka vegetation are constructed: simulated potential vegetation and reconstructed vegetation. Potential vegetation is the natural climate-induced vegetation as simulated by a dynamical vegetation model driven by climate conditions from a climate model. Bayesian spatial model interpolated point estimates of pollen-based plant abundances</w:t>
      </w:r>
    </w:p>
    <w:p>
      <w:r>
        <w:t>POSSIBLE 2022: A probabilistic climate change assessment for Europe — https://doi.org/10.1002/joc.7604</w:t>
      </w:r>
    </w:p>
    <w:p>
      <w:r>
        <w:t>Shared claim-specific concepts: impacts, climate, four; EU scope visible. This is a provisional connection, not an outcome finding.</w:t>
      </w:r>
    </w:p>
    <w:p>
      <w:r>
        <w:t>Available abstract (not full text): Abstract Globally, the impacts of climate change can vary across different regions. This study uses a probability framework to evaluate recent historical (1976–2016) and near‐future projected (until 2049) climate change across Europe using Climate Research Unit and ensemble climate model datasets (under RCPs 2.6 and 8.5). A historical assessment shows that although the east and west of the domain experienced the largest and smallest increase in temperature, changes in precipitation are not as smooth as temperature. Results indicate that the maximum changes between distributions of the variables (temperature and precipitation) mainly occur at extreme percentiles (e.g., 10% and 90%). A group analysis of four subregions of Europe, namely east (G1), north (G2), west/south (G3), and UK/Ireland (G4), shows that G1 and G4 are expected to have the largest increase in temperature and precipitation extremes, respectively. Although maximum increases in temperature in G3 and G4 occur at larger percentiles, G1 and G2 experience maximum increases at both large and small percentiles. The maximum increase of precipitation over the study domain, however, occurs mainly at larger extremes. To quantify changes in the distribution of projection (2020–2049) relative to the historical reference (1976–2005), two measures are defined, namely a change in occurrences (KS statistic) and intensities at dif</w:t>
      </w:r>
    </w:p>
    <w:p>
      <w:r>
        <w:t>POSSIBLE 2021: Economic impacts of tipping points in the climate system — https://doi.org/10.1073/pnas.2103081118</w:t>
      </w:r>
    </w:p>
    <w:p>
      <w:r>
        <w:t>Shared claim-specific concepts: probable, impacts, climate, integrated; EU scope not established. This is a provisional connection, not an outcome finding.</w:t>
      </w:r>
    </w:p>
    <w:p>
      <w:r>
        <w:t xml:space="preserve">Available abstract (not full text): Climate scientists have long emphasized the importance of climate tipping points like thawing permafrost, ice sheet disintegration, and changes in atmospheric circulation. Yet, save for a few fragmented studies, climate economics has either ignored them or represented them in highly stylized ways. We provide unified estimates of the economic impacts of all eight climate tipping points covered in the economic literature so far using a meta-analytic integrated assessment model (IAM) with a modular structure. The model includes national-level climate damages from rising temperatures and sea levels for 180 countries, calibrated on detailed econometric evidence and simulation modeling. Collectively, climate tipping points increase the social cost of carbon (SCC) by ∼25% in our main specification. The distribution is positively skewed, however. We estimate an ∼10% chance of climate tipping points more than doubling the SCC. Accordingly, climate tipping points increase global economic risk. A spatial analysis shows that they increase economic losses almost everywhere. The tipping points with the largest effects are dissociation of ocean methane hydrates and thawing permafrost. Most of our numbers are probable underestimates, given that some tipping points, tipping point interactions, and impact channels have not been covered in the literature so far; however, our method of structural </w:t>
      </w:r>
    </w:p>
    <w:p>
      <w:r>
        <w:t>POSSIBLE 2021: Climate service derived indicators to assess the impact of climate change on local river assimilative capacity — https://doi.org/10.1016/j.cliser.2021.100250</w:t>
      </w:r>
    </w:p>
    <w:p>
      <w:r>
        <w:t>Shared claim-specific concepts: probable, climate, water; EU scope visible. This is a provisional connection, not an outcome finding.</w:t>
      </w:r>
    </w:p>
    <w:p>
      <w:r>
        <w:t>Available abstract (not full text): Continental climate services provide information on essential climate variables and indicators, which can further be used to address challenges at the local scale. Climate impact indicators are the core data for evaluating the change of the assimilative capacity of the river systems under future projection scenarios. Here, the indicators from the Copernicus pan-European climate service are used to develop and showcase a water management information service for the Asopos River, Greece. River flow indicators are incorporated in the estimation of emission limit values which serve as environmental pressure indicators, for the reference and two future periods (early- and mid-century). Assimilative capacity is evaluated for six heavy metals, namely Cr, Cd, Cu, Pb, Ni and Zn. Socioeconomic indicators are also utilized to incorporate changes of economic activities in the assessment. Results from the large ensemble of 209 scenarios, consisting of different global circulation, regional climatic and impact model combinations as well as industrial activity evolution, indicate that a decrease (up to 33% of 209 scenarios) of assimilative capacity is more probable than an increase (up to 18% of the scenarios) in a future climate. Local industrial activity evolution also has an effect on the uncertainty of the results for the early-century period. We conclude that although climate impact indi</w:t>
      </w:r>
    </w:p>
    <w:p>
      <w:r>
        <w:t>POSSIBLE 2020: A Review of the Potential Climate Change Impacts and Adaptation Options for European Viticulture — https://doi.org/10.3390/app10093092</w:t>
      </w:r>
    </w:p>
    <w:p>
      <w:r>
        <w:t>Shared claim-specific concepts: impacts, climate; EU scope visible. This is a provisional connection, not an outcome finding.</w:t>
      </w:r>
    </w:p>
    <w:p>
      <w:r>
        <w:t>Available abstract (not full text): Viticulture and winemaking are important socioeconomic sectors in many European regions. Climate plays a vital role in the terroir of a given wine region, as it strongly controls canopy microclimate, vine growth, vine physiology, yield, and berry composition, which together determine wine attributes and typicity. New challenges are, however, predicted to arise from climate change, as grapevine cultivation is deeply dependent on weather and climate conditions. Changes in viticultural suitability over the last decades, for viticulture in general or the use of specific varieties, have already been reported for many wine regions. Despite spatially heterogeneous impacts, climate change is anticipated to exacerbate these recent trends on suitability for wine production. These shifts may reshape the geographical distribution of wine regions, while wine typicity may also be threatened in most cases. Changing climates will thereby urge for the implementation of timely, suitable, and cost-effective adaptation strategies, which should also be thoroughly planned and tuned to local conditions for an effective risk reduction. Although the potential of the different adaptation options is not yet fully investigated, deserving further research activities, their adoption will be of utmost relevance to maintain the socioeconomic and environmental sustainability of the highly valued viticulture an</w:t>
      </w:r>
    </w:p>
    <w:p>
      <w:r>
        <w:t>POSSIBLE 2018: Climate change and the health impact of aflatoxins exposure in Portugal – an overview — https://doi.org/10.1080/19440049.2018.1447691</w:t>
      </w:r>
    </w:p>
    <w:p>
      <w:r>
        <w:t>Shared claim-specific concepts: probable, climate, portugal; EU scope visible. This is a provisional connection, not an outcome finding.</w:t>
      </w:r>
    </w:p>
    <w:p>
      <w:r>
        <w:t>Available abstract (not full text): Climate change has been indicated as a driver for food safety issues worldwide, mainly due to the impact on the occurrence of food safety hazards at various stages of food chain. Mycotoxins, natural contaminants produced by fungi, are among the most important of such hazards. Aflatoxins, which have the highest acute and chronic toxicity of all mycotoxins, assume particular importance. A recent study predicted aflatoxin contamination in maize and wheat crops in Europe within the next 100 years and aflatoxin B1 is predicted to become a food safety issue in Europe, especially in the most probable scenario of climate change (+2°C). This review discusses the potential influence of climate change on the health risk associated to aflatoxins dietary exposure of Portuguese population. We estimated the burden of disease associated to the current aflatoxin exposure for Portuguese population in terms of Disability Adjusted Life Years (DALYs). It is expected that in the future the number of DALYs and the associated cases of hepatocellular carcinoma due to aflatoxins exposure will increase due to climate change. The topics highlighted through this review, including the potential impact on health of the Portuguese population through the dietary exposure to aflatoxins, should represent an alert for the potential consequences of an incompletely explored perspective of climate change. Politics a</w:t>
      </w:r>
    </w:p>
    <w:p>
      <w:r>
        <w:t>POSSIBLE 2018: The impact of climate change on a cost-optimal highly renewable European electricity network — https://doi.org/10.1016/j.apenergy.2018.09.084</w:t>
      </w:r>
    </w:p>
    <w:p>
      <w:r>
        <w:t>Shared claim-specific concepts: climate, water; EU scope visible. This is a provisional connection, not an outcome finding.</w:t>
      </w:r>
    </w:p>
    <w:p>
      <w:r>
        <w:t xml:space="preserve">Available abstract (not full text): We use three ensemble members of the EURO-CORDEX project and their data on surface wind speeds, solar irradiation as well as water runoff with a spatial resolution of 12 km and a temporal resolution of 3 h under representative concentration pathway 8.5 (associated with a strong climate change and a temperature increase of 2.6–4.8 °C until the end of the century) until 2100 to investigate the impact of climate change on wind, solar and hydro resources and consequently on a highly renewable and cost-optimal European power system. The weather data is transformed into power, different aspects such as capacity factors and correlation lengths are investigated and the resulting implications for the European power system are discussed. In addition, we compare a 30-node model of Europe with historical and climate change-affected data, where investments in generation, transmission and storage facilities are optimised. Differences in capacity factors among European countries are more strongly emphasized at the end of the century compared to historic data. This results in a significantly increased photovoltaic share in the cost-optimal power system. In addition, annual hydro inflow patterns of major hydro producers change considerably. System costs increase by 5% until the end of the century and the impact of climate change on these costs is of similar magnitude as differences between the </w:t>
      </w:r>
    </w:p>
    <w:p>
      <w:r>
        <w:t>POSSIBLE 2018: Vulnerability of European intermittent renewable energy supply to climate change and climate variability — https://doi.org/10.1016/j.rser.2018.08.057</w:t>
      </w:r>
    </w:p>
    <w:p>
      <w:r>
        <w:t>Shared claim-specific concepts: impacts, climate, assessed, four; EU scope visible. This is a provisional connection, not an outcome finding.</w:t>
      </w:r>
    </w:p>
    <w:p>
      <w:r>
        <w:t>Available abstract (not full text): The impact of both climate change and climate variability on the supply of intermittent renewable energy sources (I-RES) in Europe are assessed based on global climate model simulations. The main driver of climate variability over Europe is the North Atlantic Oscillation (NAO) in winter and its equivalent in summer (sNAO) which determine to a large extent the atmospheric circulation in Europe. Four climate scenarios are constructed distinguished by a moderate and strong increase of the average global surface temperature, and a positive and negative phase of the atmospheric variability over the North Atlantic and Europe. This spans a framework which combines the effects of both climate change and climate variability. Using a 2050 distribution of PV panels and wind turbines, we found that although climate change is likely to have significant impact on future I-RES output in Europe, its effects, especially for wind power, are outweighed by the high and strongly variable impact of the NAO/sNAO phases. Variability in the large-scale atmospheric circulation is able to induce median I-RES yield differences of 20–30% for high wind potential regions. Due to the NAO variability also months were identified with persistent calm conditions over Europe linked to the inflow of frigid arctic air resulting in some regions in a decrease in wind power of up to 75%a accompanied with an increase in</w:t>
      </w:r>
    </w:p>
    <w:p>
      <w:r>
        <w:t>POSSIBLE 2018: Hydrological impacts of moderate and high-end climate change across European river basins — https://doi.org/10.1016/j.ejrh.2018.05.003</w:t>
      </w:r>
    </w:p>
    <w:p>
      <w:r>
        <w:t>Shared claim-specific concepts: impacts, climate, eco-hydrological, swim, soil, water; EU scope visible. This is a provisional connection, not an outcome finding.</w:t>
      </w:r>
    </w:p>
    <w:p>
      <w:r>
        <w:t xml:space="preserve">Available abstract (not full text): To provide a picture of hydrological impact of climate change across different climatic zones in Europe, this study considers eight river basins: Tagus in Iberian Peninsula; Emån and Lule in Scandinavia; Rhine, Danube and Teteriv in Central and Eastern Europe; Tay on the island of Great Britain and Northern Dvina in North-Eastern Europe. In this study the assessment of the impacts of moderate and high-end climate change scenarios on the hydrological patterns in European basins was conducted. To assess the projected changes, the process-based eco-hydrological model SWIM (Soil and Water Integrated Model) was set up, calibrated and validated for the basins. The SWIM was driven by the bias-corrected climate projections obtained from the coupled simulations of the Global Circulation Models and Regional Climate Models. The results show robust decreasing trends in water availability in the most southern river basin (Tagus), an overall increase in discharge in the most northern river basin (Lule), increase in the winter discharge and shift in seasonality in Northern and Central European catchments. The impacts of the high-end climate change scenario RCP 8.5 continue to develop until the end of the century, while those of the moderate climate change scenario RCP 4.5 level-off after the mid-century. The results of this study also confirm trends, found previously with mostly global scale </w:t>
      </w:r>
    </w:p>
    <w:p>
      <w:r>
        <w:t>POSSIBLE 2017: Probable maximum flood in a changing climate: An overview for Canadian basins — https://doi.org/10.1016/j.ejrh.2017.07.003</w:t>
      </w:r>
    </w:p>
    <w:p>
      <w:r>
        <w:t>Shared claim-specific concepts: probable, climate; EU scope not established. This is a provisional connection, not an outcome finding.</w:t>
      </w:r>
    </w:p>
    <w:p>
      <w:r>
        <w:t>Available abstract (not full text): Study Region: In Canada, dams which represent a high risk to human loss of life, along with important environmental and financial losses in case of failure, have to accommodate the Probable Maximum Flood (PMF). Five Canadian basins with different physiographic characteristics and geographic locations, and where the PMF is a relevant metric have been selected: Nelson, Mattagami, Kénogami, Saguenay and Manic-5. Study Focus: One of the main drivers of the PMF is the Probable Maximum Precipitation (PMP). Traditionally, the computation of the PMP relies on moisture maximization of high efficiency observed storms without consideration for climate change. The current study attempts to develop a novel approach based on traditional methods to take into account the non-stationarity of the climate using an ensemble of 14 regional climate model (RCM) simulations. PMPs, the 100-year snowpack and resulting PMF changes were computed between the 1971-2000 and 2041-2070 periods. New Hydrological Insights for the Region: The study reveals an overall increase in future spring PMP with the exception of the most northern basin Nelson. It showed a projected increase of the 100-year snowpack for the two northernmost basins, Nelson (8%) and Manic-5 (3%), and a decrease for the three more southern basins, Mattagami (-1%), Saguenay (-5%) and Kénogami (-9%). The future spring PMF is projected to increase</w:t>
      </w:r>
    </w:p>
    <w:p>
      <w:r>
        <w:t>POSSIBLE 2017: Sunflower crop and climate change: vulnerability, adaptation, and mitigation potential from case-studies in Europe — https://doi.org/10.1051/ocl/2016052</w:t>
      </w:r>
    </w:p>
    <w:p>
      <w:r>
        <w:t>Shared claim-specific concepts: impacts, climate, assessed, water, areas; EU scope visible. This is a provisional connection, not an outcome finding.</w:t>
      </w:r>
    </w:p>
    <w:p>
      <w:r>
        <w:t>Available abstract (not full text): Climate change is characterized by higher temperatures, elevated atmospheric CO2 concentrations, extreme climatic hazards, and less water available for agriculture. Sunflower, a spring-sown crop often cultivated in southern and eastern regions of Europe, could be more vulnerable to the direct effect of heat stress at anthesis and drought during its growing cycle, both factors resulting in severe yield loss, oil content decrease, and fatty acid alterations. Adaptations through breeding (earliness, stress tolerance), crop management (planting dates), and shifting of growing areas could be developed, assessed and combined to partly cope with these negative impacts. New cultivation opportunities could be expected in northern parts of Europe where sunflower is not grown presently and where it could usefully contribute to diversify cereal-based cropping systems. In addition, sunflower crop could participate to the mitigation solution as a low greenhouse gas emitter compared to cereals and oilseed rape. Sunflower crop models should be revised to account for these emerging environmental factors in order to reduce the uncertainties in yield and oil predictions. The future of sunflower in Europe is probably related to its potential adaptation to climate change but also to its competitiveness and attractiveness for food and energy.</w:t>
      </w:r>
    </w:p>
    <w:p>
      <w:pPr>
        <w:pStyle w:val="Heading2"/>
      </w:pPr>
      <w:r>
        <w:t>Comparison of temperature indices for three IPCC SRES scenarios based on RegCM simulations for Poland in 2011–2030 period</w:t>
      </w:r>
    </w:p>
    <w:p>
      <w:r>
        <w:t>Original source (2015): https://doi.org/10.1127/metz/2014/0457</w:t>
      </w:r>
    </w:p>
    <w:p>
      <w:r>
        <w:t>Original wording (abstract; indexed_source_text_not_full_document_verified): The regional climate model RegCM3 is used to investigate potential future changes of temperature indices in Poland for the period 2011–2030.</w:t>
      </w:r>
    </w:p>
    <w:p>
      <w:r>
        <w:t>POSSIBLE 2024: The impact of lakes on the European climate as simulated by a regional climate model — https://doi.org/10.60910/3pj6-v2hf</w:t>
      </w:r>
    </w:p>
    <w:p>
      <w:r>
        <w:t>Shared claim-specific concepts: regional, climate, temperature; EU scope visible. This is a provisional connection, not an outcome finding.</w:t>
      </w:r>
    </w:p>
    <w:p>
      <w:r>
        <w:t>Available abstract (not full text): The impact of lakes on the European climate is considered by analysing two 30-year regional climate model (RCM) simulations.The RCM applied is the Rossby Centre regional climate model RCA3.5.A simulation where all lakes in the model domain are replaced by land surface is compared with a simulation where the effect of lakes is accounted for through the use of the lake model FLake coupled to RCA.The difference in 2m open-land air temperature between the two simulations shows that lakes induce a warming on the European climate for all seasons.The greatest impact is seen during autumn and winter over southern Finland and western Russia where the warming exceeds 1 °C.Locally, e.g. over southern Finland and over Lake Ladoga, the convective precipitation is enhanced by 20%-40% during late summer and early autumn while it is reduced by more than 70% over Lake Ladoga during early summer.</w:t>
      </w:r>
    </w:p>
    <w:p>
      <w:r>
        <w:t>POSSIBLE 2023: Short-term temperature variability in regional climate models in Europe — https://doi.org/10.5194/egusphere-egu23-9447</w:t>
      </w:r>
    </w:p>
    <w:p>
      <w:r>
        <w:t>Shared claim-specific concepts: regional, climate, temperature, period; EU scope visible. This is a provisional connection, not an outcome finding.</w:t>
      </w:r>
    </w:p>
    <w:p>
      <w:r>
        <w:t>Available abstract (not full text): While long-term changes in mean values and extremes of temperature have been analysed from all possible points of view, changes in temperature variability have received far less attention. Trends in variability are, however, important, among others because their interaction with trends in mean values determines the degree with which extremes would change. For a reliable estimation of future changes of variability, it is therefore crucial that climate models simulate its characteristics correctly. This contribution presents the analysis of 4 short-term (i.e. intra-seasonal) variability measures of daily mean temperature in outputs of regional climate models driven by a reanalysis. The utilized measures of variability are standard deviation, the range between the 90th and 10th quantile, one-day lagged temporal autocorrelation, and mean absolute value of day-to-day change. The ability of twelve regional climate models from Euro-CORDEX initiative driven by the ERA Interim reanalysis to simulate the temperature variability characteristics was examined over Europe for all climatological seasons in the period from 1989 to 2008. The temperature variability in the RCMs was validated against the driving ERA Interim reanalysis and station data from the ECA&amp;D.</w:t>
      </w:r>
    </w:p>
    <w:p>
      <w:r>
        <w:t>POSSIBLE 2022: Assessment of extreme winds over Europe in Regional Climate Models — https://doi.org/10.5194/ems2022-365</w:t>
      </w:r>
    </w:p>
    <w:p>
      <w:r>
        <w:t>Shared claim-specific concepts: regional, climate, used, period; EU scope visible. This is a provisional connection, not an outcome finding.</w:t>
      </w:r>
    </w:p>
    <w:p>
      <w:r>
        <w:t xml:space="preserve">Available abstract (not full text): Every year, extreme wind events cause a great deal of financial losses across Europe. As such, the accurate projection of the changes in extreme winds will be invaluable for many industries, including insurance, construction, energy, and afforestation. Adaptation planning requires the estimation of how the magnitude and frequency of extreme events, such as extreme winds, will vary in the future. Extreme winds are examined in a selection of Euro-CORDEX downscalings. Since these include multiple downscalings of the same global climate models by different regional climate models, it is possible to intercompare how different models represent extreme winds. The peaks-over-threshold approach is used identify the extreme events based on the fitted Generalized Pareto Distributions (GPD), and maps of 30-year return winds for all locations over Europe are presented. Future changes in the frequency of extreme winds are assessed for Northern, Central, and Sothern Europe for three future periods, being the near, mid, and end of this century. The results show that the frequency of extreme wind events will increase from one period to the next over the 21st century in all three regions of Europe. The results of the recently published study will be presented in detail along with a brief overview of the statistical methods employed. Our ongoing work to create a comprehensive dataset of assessed </w:t>
      </w:r>
    </w:p>
    <w:p>
      <w:r>
        <w:t>POSSIBLE 2022: Afforestation impact on soil temperature in regional climate model simulations over Europe — https://doi.org/10.5194/gmd-15-595-2022</w:t>
      </w:r>
    </w:p>
    <w:p>
      <w:r>
        <w:t>Shared claim-specific concepts: regional, climate, investigate, temperature; EU scope visible. This is a provisional connection, not an outcome finding.</w:t>
      </w:r>
    </w:p>
    <w:p>
      <w:r>
        <w:t xml:space="preserve">Available abstract (not full text): In the context of the first phase of the Coordinated Regional Climate Downscaling Experiment in the European domain (EURO-CORDEX) flagship plot study on Land Use and Climate Across Scales (LUCAS), we investigate the biophysical impact of afforestation on the seasonal cycle of soil temperature over the European continent with an ensemble of 10 regional climate models. For this purpose, each ensemble member performed two idealized land cover experiments in which Europe is covered either by forests or grasslands. The multi-model mean exhibits a reduction of the annual amplitude of soil temperature (AAST) due to afforestation over all European regions, although this is not a robust feature among the models. In the Mediterranean, the spread of simulated AAST response to afforestation is between −4 and +2 ∘ C at 1 m below the ground, while in Scandinavia the inter-model spread ranges from −7 to +1 ∘ C. We show that the large range in the simulated AAST response is due to the representation of the summertime climate processes and is largely explained by inter-model differences in leaf area index (LAI), surface albedo, cloud fraction and soil moisture, when all combined into a multiple linear regression. The changes in these drivers essentially determine the ratio between the increased radiative energy at surface (due to lower albedo in forests) and the increased sum of turbulent heat </w:t>
      </w:r>
    </w:p>
    <w:p>
      <w:r>
        <w:t>POSSIBLE 2021: Precipitation–temperature relationships over Europe in CORDEX regional climate models — https://doi.org/10.1002/joc.7508</w:t>
      </w:r>
    </w:p>
    <w:p>
      <w:r>
        <w:t>Shared claim-specific concepts: regional, climate, temperature; EU scope visible. This is a provisional connection, not an outcome finding.</w:t>
      </w:r>
    </w:p>
    <w:p>
      <w:r>
        <w:t>Available abstract (not full text): Abstract We studied spatial and temporal patterns of precipitation–temperature (P–T) relationships through correlations between monthly standardized precipitation index (SPI) and monthly temperature anomalies in individual climatic seasons over Europe. In the observed data (represented by E‐OBS), positive correlations (wet–warm/dry–cold relationships) prevail during winter over most of Europe, while negative values (dry–warm/wet–cold) are dominant in summer. In the next step, an ensemble of seven regional climate models (RCMs) from the CORDEX project driven by the ERA‐Interim reanalysis were examined as to their reproduction of the regional patterns of the P–T correlations. In winter, the RCMs yielded overly strong positive P–T correlations over northern Europe, while the correlations were too weak in the south compared to observed data. During summer, the biases were generally larger; the RCMs were able to capture the overall negative P–T correlations but these tended to be too weak over northern Europe. This deficiency was found to be linked to simulated differences in shortwave radiation (a proxy for cloud cover) between dry and wet months. In western, central, and southeastern Europe, by contrast, most RCMs yielded too strong negative correlations in summer, and overly large decreases of relative humidity during dry months probably contributed to these errors. The results p</w:t>
      </w:r>
    </w:p>
    <w:p>
      <w:r>
        <w:t>POSSIBLE 2021: Afforestation impact on soil temperature in regional climate model simulations over Europe — https://doi.org/10.5194/gmd-2021-69</w:t>
      </w:r>
    </w:p>
    <w:p>
      <w:r>
        <w:t>Shared claim-specific concepts: regional, climate, investigate, temperature; EU scope visible. This is a provisional connection, not an outcome finding.</w:t>
      </w:r>
    </w:p>
    <w:p>
      <w:r>
        <w:t>Available abstract (not full text): Abstract. In the context of the first phase of the Euro-CORDEX Flagship Plot Study (FPS) Land Use and Climate Across Scales (LUCAS), we investigate the afforestation impact on the seasonal cycle of soil temperature over the European continent with an ensemble of ten regional climate models (RCMs). For this purpose, each ensemble member performed two idealized land cover experiments in which Europe is covered either by forests or grasslands. The multi-model mean exhibits a reduction of the annual amplitude of soil temperature (AAST) over all European regions, although this not a robust feature among the models. In Mediterranean, the simulated AAST response to afforestation is between −4 K and +2 K while in Scandinavia the inter-model spread ranges from −7 K to +1 K. We then examine the role of changes in the annual amplitude of ground heat flux (AAGHF) and summer soil moisture content (SMC) in determining the effect of afforestation on AAST response. In contrast with the diverging results in AAST, all the models consistently indicate a widespread AAGHF decrease and summer SMC decline due to afforestation. The AAGHF changes effectively explain the largest part of the inter-model variance in AAST response in most regions, while the changes in summer SMC determine the sign of AAST response within a group of three simulations sharing the same land surface model. Finally, we pair FLU</w:t>
      </w:r>
    </w:p>
    <w:p>
      <w:r>
        <w:t>POSSIBLE 2021: Extreme wind projections over Europe from the Euro-CORDEX regional climate models — https://doi.org/10.1016/j.wace.2021.100363</w:t>
      </w:r>
    </w:p>
    <w:p>
      <w:r>
        <w:t>Shared claim-specific concepts: regional, climate, investigate, period; EU scope visible. This is a provisional connection, not an outcome finding.</w:t>
      </w:r>
    </w:p>
    <w:p>
      <w:r>
        <w:t>Available abstract (not full text): Extreme weather events represent one of the most visible and immediate hazards to society. Many of these types of phenomena are projected to increase in intensity, duration or frequency as the climate warms. Of these extreme winds are among the most damaging historically over Europe yet assessments of their future changes remain fraught with uncertainty. This uncertainty arises due to both the rare nature of extreme wind events and the fact that most model are unable to faithfully represent them. Here we take advantage of a 15 member ensemble of high resolution Euro-CORDEX simulations (∼12 km) and investigate projected changes in extreme winds using a peaks-over-threshold approach. Additionally we show that – despite lingering model deficiencies and inadequate observational coverage – there is clear added value of the higher resolution simulations over coarser resolution counterparts. Further, the spatial heterogeneity and highly localised nature is well captured. Effects such as orographic interactions, drag due to urban areas, and even individual storm tracks over the oceans are clearly visible. As such future changes also exhibit strong spatial heterogeneity. These results emphasise the need for careful case-by-case treatment of extreme wind analysis, especially when done in a climate adaptation or decision making context. However, for more general assessments the picture is</w:t>
      </w:r>
    </w:p>
    <w:p>
      <w:r>
        <w:t>POSSIBLE 2020: Biogeophysical impacts of forestation in Europe: first results from the LUCAS (Land Use and Climate Across Scales) regional climate model intercomparison — https://doi.org/10.5194/esd-11-183-2020</w:t>
      </w:r>
    </w:p>
    <w:p>
      <w:r>
        <w:t>Shared claim-specific concepts: regional, climate, used, potential, temperature; EU scope visible. This is a provisional connection, not an outcome finding.</w:t>
      </w:r>
    </w:p>
    <w:p>
      <w:r>
        <w:t>Available abstract (not full text): Abstract. The Land Use and Climate Across Scales Flagship Pilot Study (LUCAS FPS) is a coordinated community effort to improve the integration of Land Use Change (LUC) in Regional Climate Models (RCMs) and to quantify the biogeophysical effects of LUC on local to regional climate in Europe. In the first phase of LUCAS, nine RCMs are used to explore the biogeophysical impacts of re-/afforestation over Europe. Namely, two idealized experiments representing respectively a non-forested and a maximally forested Europe are compared in order to quantify spatial and temporal variations in the regional climate sensitivity to forestation. We find some robust features in the simulated response to forestation. In particular, all models indicate a year-round decrease in surface albedo, which is most pronounced in winter and spring at high latitudes. This results in a winter warming effect, which is relatively robust across models. However, there are also a number of strongly diverging responses. For instance, there is no agreement on the sign of temperature changes in summer with some RCMs predicting a widespread cooling from forestation, a widespread warming, or a mixed response. A large part of the inter-model spread is attributed to the representation of land processes. In particular, differences in the partitioning of sensible and latent heat are identified as a key source of uncertaint</w:t>
      </w:r>
    </w:p>
    <w:p>
      <w:r>
        <w:t>POSSIBLE 2020: Assessment of the European Climate Projections as Simulated by the Large EURO‐CORDEX Regional and Global Climate Model Ensemble — https://doi.org/10.1029/2019jd032356</w:t>
      </w:r>
    </w:p>
    <w:p>
      <w:r>
        <w:t>Shared claim-specific concepts: regional, climate, temperature, indices; EU scope visible. This is a provisional connection, not an outcome finding.</w:t>
      </w:r>
    </w:p>
    <w:p>
      <w:r>
        <w:t>Available abstract (not full text): Abstract This paper analyzes the ensemble of regional climate model (RCM) projections for Europe completed within the EURO‐CORDEX project. Projections are available for the two greenhouse gas concentration scenarios RCP2.6 (22 members) and RCP8.5 (55 members) at 0.11° resolution from 11 RCMs driven by eight global climate models (GCMs). The RCM ensemble results are compared with the driving CMIP5 global models but also with a subset of available last generation CMIP6 projections. Maximum warming is projected by all ensembles in Northern Europe in winter, along with a maximum precipitation increase there; in summer, maximum warming occurs in the Mediterranean and Southern European regions associated with a maximum precipitation decrease. The CMIP6 ensemble shows the largest signals, both for temperature and precipitation, along with the largest inter‐model spread. There is a high model consensus across the ensembles on an increase of extreme precipitation and drought frequency in the Mediterranean region. Extreme temperature indices show an increase of heat extremes and a decrease of cold extremes, with CMIP6 showing the highest values and EURO‐CORDEX the finest spatial details. This data set of unprecedented size and quality will provide the basis for impact assessment and climate service activities for the European region.</w:t>
      </w:r>
    </w:p>
    <w:p>
      <w:r>
        <w:t>POSSIBLE 2020: European daily precipitation according to EURO-CORDEX regional climate models (RCMs) and high-resolution global climate models (GCMs) from the High-Resolution Model Intercomparison Project (HighResMIP) — https://doi.org/10.5194/gmd-13-5485-2020</w:t>
      </w:r>
    </w:p>
    <w:p>
      <w:r>
        <w:t>Shared claim-specific concepts: regional, climate; EU scope visible. This is a provisional connection, not an outcome finding.</w:t>
      </w:r>
    </w:p>
    <w:p>
      <w:r>
        <w:t>Available abstract (not full text): Abstract. In this study, we perform an evaluation of PRIMAVERA high-resolution (25–50 km) Global Climate Models (GCMs) relative to CORDEX Regional Climate Models (RCMs) over Europe (12–50 km resolutions). It is the first time such assessment is performed for regional climate information using ensembles of GCMs and RCMs at similar horizontal resolutions. We perform this exercise for the distribution of daily precipitation contributions to rainfall bins over Europe under current climate conditions. Both ensembles are evaluated against high quality national gridded observations in terms of resolution and station density. We show that PRIMAVERA GCMs simulate very similar distribution to CORDEX RCMs that CMIP5 cannot because of their coarse resolutions. PRIMAVERA and CORDEX ensembles generally show similar strengths and weaknesses. They are of good quality in summer and autumn in most European regions, but tend to overestimate precipitation in winter and spring. PRIMAVERA show improvements in the latter bias by reducing mid-rain rate biases in Central and Eastern Europe. Moreover, CORDEX simulate less light rainfall than PRIMAVERA in most regions and seasons, which improves this common GCM bias. Finally, PRIMAVERA simulate less heavy precipitation than CORDEX in most regions and seasons, especially in summer. PRIMAVERA appear to be closer to observations. However, when we apply an a</w:t>
      </w:r>
    </w:p>
    <w:p>
      <w:r>
        <w:t>POSSIBLE 2020: Partitioning uncertainty components of mean climate and climate change in a large ensemble of European regional climate model projections — https://doi.org/10.1007/s00382-020-05229-y</w:t>
      </w:r>
    </w:p>
    <w:p>
      <w:r>
        <w:t>Shared claim-specific concepts: regional, climate, temperature; EU scope visible. This is a provisional connection, not an outcome finding.</w:t>
      </w:r>
    </w:p>
    <w:p>
      <w:r>
        <w:t>Available abstract (not full text): Abstract A study of seasonal mean temperature, precipitation, and wind speed has been performed for a set of 19 global climate model (GCM) driven high-resolution regional climate model (RCM) simulations forming a complete 5 × 4 GCM × RCM matrix with only one missing simulation. Differences between single simulations and between groups of simulations forced by a specific GCM or a specific RCM are identified. With the help of an analysis of variance (ANOVA) we split the ensemble variance into linear GCM and RCM contributions and cross terms for both mean climate and climate change for the end of the current century according to the RCP8.5 emission scenario. The results document that the choice of GCM generally has a larger influence on the climate change signal than the choice of RCM, having a significant influence for roughly twice as many points in the area for the fields investigated (temperature, precipitation and wind speed). It is also clear that the RCM influence is generally concentrated close to the eastern and northern boundaries and in mountainous areas, i.e., in areas where the added surface detail of e.g. orography, snow and ice seen by the RCM is expected to have considerable influence on the climate, and in areas where the air in general has spent the most time within the regional domain. The analysis results in estimates of areas where the specific identity of eit</w:t>
      </w:r>
    </w:p>
    <w:p>
      <w:r>
        <w:t>POSSIBLE 2018: European climate change at global mean temperature increases of 1.5 and 2 °C above pre-industrial conditions as simulated by the EURO-CORDEX regional climate models — https://doi.org/10.5194/esd-9-459-2018</w:t>
      </w:r>
    </w:p>
    <w:p>
      <w:r>
        <w:t>Shared claim-specific concepts: regional, climate, used, investigate, temperature; EU scope visible. This is a provisional connection, not an outcome finding.</w:t>
      </w:r>
    </w:p>
    <w:p>
      <w:r>
        <w:t>Available abstract (not full text): Abstract. We investigate European regional climate change for time periods when the global mean temperature has increased by 1.5 and 2 °C compared to pre-industrial conditions. Results are based on regional downscaling of transient climate change simulations for the 21st century with global climate models (GCMs) from the fifth-phase Coupled Model Intercomparison Project (CMIP5). We use an ensemble of EURO-CORDEX high-resolution regional climate model (RCM) simulations undertaken at a computational grid of 12.5 km horizontal resolution covering Europe. The ensemble consists of a range of RCMs that have been used for downscaling different GCMs under the RCP8.5 forcing scenario. The results indicate considerable near-surface warming already at the lower 1.5 °C of warming. Regional warming exceeds that of the global mean in most parts of Europe, being the strongest in the northernmost parts of Europe in winter and in the southernmost parts of Europe together with parts of Scandinavia in summer. Changes in precipitation, which are less robust than the ones in temperature, include increases in the north and decreases in the south with a borderline that migrates from a northerly position in summer to a southerly one in winter. Some of these changes are already seen at 1.5 °C of warming but are larger and more robust at 2 °C. Changes in near-surface wind speed are associated with a lar</w:t>
      </w:r>
    </w:p>
    <w:p>
      <w:pPr>
        <w:pStyle w:val="Heading2"/>
      </w:pPr>
      <w:r>
        <w:t>Consequences of Enduring Low Fertility – A German Case Study. Demographic Projections and Implications for Different Policy Fields</w:t>
      </w:r>
    </w:p>
    <w:p>
      <w:r>
        <w:t>Original source (2015): https://doi.org/10.12765/cpos-2015-06</w:t>
      </w:r>
    </w:p>
    <w:p>
      <w:r>
        <w:t>Original wording (abstract; indexed_source_text_not_full_document_verified): Ageing is a more severe problem than shrinking, because the severe changes in the age structure in the social security system that will take place until 2040 apply to most Germans and are inevitable.</w:t>
      </w:r>
    </w:p>
    <w:p>
      <w:r>
        <w:t>POSSIBLE 2021: Ageing and ocular problems — https://doi.org/10.1556/2066.2021.00042</w:t>
      </w:r>
    </w:p>
    <w:p>
      <w:r>
        <w:t>Shared claim-specific concepts: ageing, problem, system; EU scope not established. This is a provisional connection, not an outcome finding.</w:t>
      </w:r>
    </w:p>
    <w:p>
      <w:r>
        <w:t>Available abstract (not full text): Abstract Ageing is a common problem in modern societies. Due to sophisticated new methods in medicine, the average life expectancy significantly increased in recent years. 70 is the new 50. The new principles of food intake and processing, more exercise, and less smoking contributed to a health benefits and a longer life span of human kind. Nevertheless, there are the special problems of ageing. Numerous dysfunctions of the body may arise affecting a broad range of organs and the musculoskeletal system. The eye can also be severely affected by ageing. Vision gained more importance recently especially during the COVID-19 pandemic. Elderly people who never used computers before, had to learn computer technology in order to communicate with their family and to accomplish their everyday tasks or pay their bills. Therefore, good near vision has become crucial for elderly people. In this review article the most common ageing problems of the eye, therapies and pathophysiology of ageing processes will be reviewed and discussed. There are physiological problems of ageing and there are ocular pathologies which can be treated efficiently in time to preserve near and far visual acuity.</w:t>
      </w:r>
    </w:p>
    <w:p>
      <w:r>
        <w:t>POSSIBLE 2021: The role of the medial prefrontal cortex in cognition, ageing and dementia — https://doi.org/10.1093/braincomms/fcab125</w:t>
      </w:r>
    </w:p>
    <w:p>
      <w:r>
        <w:t>Shared claim-specific concepts: ageing; EU scope not established. This is a provisional connection, not an outcome finding.</w:t>
      </w:r>
    </w:p>
    <w:p>
      <w:r>
        <w:t>Available abstract (not full text): Humans require a plethora of higher cognitive skills to perform executive functions, such as reasoning, planning, language and social interactions, which are regulated predominantly by the prefrontal cortex. The prefrontal cortex comprises the lateral, medial and orbitofrontal regions. In higher primates, the lateral prefrontal cortex is further separated into the respective dorsal and ventral subregions. However, all these regions have variably been implicated in several fronto-subcortical circuits. Dysfunction of these circuits has been highlighted in vascular and other neurocognitive disorders. Recent advances suggest the medial prefrontal cortex plays an important regulatory role in numerous cognitive functions, including attention, inhibitory control, habit formation and working, spatial or long-term memory. The medial prefrontal cortex appears highly interconnected with subcortical regions (thalamus, amygdala and hippocampus) and exerts top-down executive control over various cognitive domains and stimuli. Much of our knowledge comes from rodent models using precise lesions and electrophysiology readouts from specific medial prefrontal cortex locations. Although, anatomical disparities of the rodent medial prefrontal cortex compared to the primate homologue are apparent, current rodent models have effectively implicated the medial prefrontal cortex as a neural substrate o</w:t>
      </w:r>
    </w:p>
    <w:p>
      <w:r>
        <w:t>POSSIBLE 2020: Central and Peripheral Neuromuscular Adaptations to Ageing — https://doi.org/10.3390/jcm9030741</w:t>
      </w:r>
    </w:p>
    <w:p>
      <w:r>
        <w:t>Shared claim-specific concepts: ageing, severe, system; EU scope not established. This is a provisional connection, not an outcome finding.</w:t>
      </w:r>
    </w:p>
    <w:p>
      <w:r>
        <w:t xml:space="preserve">Available abstract (not full text): Ageing is accompanied by a severe muscle function decline presumably caused by structural and functional adaptations at the central and peripheral level. Although researchers have reported an extensive analysis of the alterations involving muscle intrinsic properties, only a limited number of studies have recognised the importance of the central nervous system, and its reorganisation, on neuromuscular decline. Neural changes, such as degeneration of the human cortex and function of spinal circuitry, as well as the remodelling of the neuromuscular junction and motor units, appear to play a fundamental role in muscle quality decay and culminate with considerable impairments in voluntary activation and motor performance. Modern diagnostic techniques have provided indisputable evidence of a structural and morphological rearrangement of the central nervous system during ageing. Nevertheless, there is no clear insight on how such structural reorganisation contributes to the age-related functional decline and whether it is a result of a neural malfunction or serves as a compensatory mechanism to preserve motor control and performance in the elderly population. Combining leading-edge techniques such as high-density surface electromyography (EMG) and improved diagnostic procedures such as functional magnetic resonance imaging (fMRI) or high-resolution electroencephalography (EEG) could </w:t>
      </w:r>
    </w:p>
    <w:p>
      <w:r>
        <w:t>POSSIBLE 2019: Food Allergies and Ageing — https://doi.org/10.3390/ijms20225580</w:t>
      </w:r>
    </w:p>
    <w:p>
      <w:r>
        <w:t>Shared claim-specific concepts: ageing, problem, age, system, until; EU scope not established. This is a provisional connection, not an outcome finding.</w:t>
      </w:r>
    </w:p>
    <w:p>
      <w:r>
        <w:t>Available abstract (not full text): All over the world, there is an increase in the overall survival of the population and the number of elderly people. The incidence of allergic reactions is also rising worldwide. Until recently, allergies, and in particular food allergies (FAs), was regarded as a pediatric problem, since some of them start in early childhood and may spontaneously disappear in adulthood. It is being discovered that, on the contrary, these problems are increasingly affecting even the elderly. Along with other diseases that are considered characteristics of advanced age, such as cardiovascular, dysmetabolic, autoimmune, neurodegenerative, and oncological diseases, even FAs are increasingly frequent in the elderly. An FA is a pleiomorphic and multifactorial disease, characterized by an abnormal immune response and an impaired gut barrier function. The elderly exhibit distinct FA phenotypes, and diagnosis is difficult due to frequent co-morbidities and uncertainty in the interpretation of in vitro and in vivo tests. Several factors render the elderly susceptible to FAs, including the physiological changes of aging, a decline in gut barrier function, the skewing of adaptive immunity to a Th2 response, dysregulation of innate immune cells, and age-related changes of gut microbiota. Aging is accompanied by a progressive remodeling of immune system functions, leading to an increased pro-inflammatory sta</w:t>
      </w:r>
    </w:p>
    <w:p>
      <w:r>
        <w:t>POSSIBLE 2018: On loneliness and the ageing process* — https://doi.org/10.4324/9780429476266-2</w:t>
      </w:r>
    </w:p>
    <w:p>
      <w:r>
        <w:t>Shared claim-specific concepts: ageing, severe, because; EU scope not established. This is a provisional connection, not an outcome finding.</w:t>
      </w:r>
    </w:p>
    <w:p>
      <w:r>
        <w:t>Available abstract (not full text): Pearl King, at the 31st International Congress, pointed out that it was the first time that a paper on the problems concerned with the psychoanalysis of elderly patients had been arranged. She indicated that researches in the theory and practice of psychoanalysis over the past few decades have necessitated a re-evaluation of psychoanalysts&amp;s; attitudes, and the criteria they use for the selection of such patients. Among such researches, the author particularly refers to the changes in psychoanalytic understanding and technique that have facilitated clinical exploration of severe narcissistic disorders. Psychoanalysts find themselves confronted with severe narcissistic patients frequently when patients are middle-aged and later, because the very nature of their disorder has not allowed them to seek help earlier. The author illustrates the general points of loneliness of mind by reference to case material of an ageing patient, who presented with a traumatized history and severe narcissistic problems.</w:t>
      </w:r>
    </w:p>
    <w:p>
      <w:r>
        <w:t>POSSIBLE 2018: Ageing Process and Physiological Changes — https://doi.org/10.5772/intechopen.76249</w:t>
      </w:r>
    </w:p>
    <w:p>
      <w:r>
        <w:t>Shared claim-specific concepts: ageing, age, place; EU scope not established. This is a provisional connection, not an outcome finding.</w:t>
      </w:r>
    </w:p>
    <w:p>
      <w:r>
        <w:t>Available abstract (not full text): Ageing is a natural process. Everyone must undergo this phase of life at his or her own time and pace. In the broader sense, ageing reflects all the changes taking place over the course of life. These changes start from birth—one grows, develops and attains maturity. To the young, ageing is exciting. Middle age is the time when people notice the age-related changes like greying of hair, wrinkled skin and a fair amount of physical decline. Even the healthiest, aesthetically fit cannot escape these changes. Slow and steady physical impairment and functional disability are noticed resulting in increased dependency in the period of old age. According to World Health Organization, ageing is a course of biological reality which starts at conception and ends with death. It has its own dynamics, much beyond human control. However, this process of ageing is also subject to the constructions by which each society makes sense of old age. In most of the developed countries, the age of 60 is considered equivalent to retirement age and it is said to be the beginning of old age. In this chapter, you understand the details of ageing processes and associated physiological changes.</w:t>
      </w:r>
    </w:p>
    <w:p>
      <w:r>
        <w:t>POSSIBLE 2017: Chronic kidney disease and ageing — https://openalex.org/W3208943687</w:t>
      </w:r>
    </w:p>
    <w:p>
      <w:r>
        <w:t>Shared claim-specific concepts: ageing, severe, problem, because, system; EU scope not established. This is a provisional connection, not an outcome finding.</w:t>
      </w:r>
    </w:p>
    <w:p>
      <w:r>
        <w:t>Available abstract (not full text): In recent decades, life expectancy has significantly extended, and the number of elderly people in each populationincreases significantly during the subsequent years. Ageing is associated with a physiological deteriorationof kidney function, however, in patients with additional diseases such as diabetes, hypertension andobesity, there is often stronger severity of kidney damage. It has been estimated that the prevalence of chronickidney disease (CKD) in the older population is several times higher than in the general population. It is consideredthat in addition to the mentioned above comorbid the socio-economic factors also increases prevalenceof CKD. The occurrence of CKD significantly increases the mortality, deteriorating the quality of life of thesesubjects and is also severe financial problem for the health care system because of the high costs of renal replacementtherapy. For this reason, renal replacement therapy in elderly patients is expensive and not alwaysbrings measurable benefits.</w:t>
      </w:r>
    </w:p>
    <w:p>
      <w:r>
        <w:t>POSSIBLE 2016: HIV and ageing — https://doi.org/10.1097/coh.0000000000000305</w:t>
      </w:r>
    </w:p>
    <w:p>
      <w:r>
        <w:t>Shared claim-specific concepts: ageing, age, system; EU scope not established. This is a provisional connection, not an outcome finding.</w:t>
      </w:r>
    </w:p>
    <w:p>
      <w:r>
        <w:t>Available abstract (not full text): PURPOSE OF REVIEW: Evidence-based strategies are needed to address the growing complexity of care of those ageing with HIV so that as life expectancy is extended, quality of life is also enhanced. RECENT FINDINGS: Modifiable contributing factors to the quantity and quality of life in adults ageing with HIV include: burden of harmful health behaviours, injury from HIV infection, HIV treatment toxicity and general burden of age-associated comorbidities. In turn, these factors contribute to geriatric syndromes including multimorbidity and polypharmacy, physiologic frailty, falls and fragility fractures and cognitive dysfunction, which further compromise the quality of life long before they lead to mortality. SUMMARY: Viral suppression of HIV with combination antiviral therapy has led to increasing longevity but has not enabled a complete return to health among ageing HIV-infected individuals (HIV+). As adults age with HIV, the role of HIV itself and associated inflammation, effects of exposure to antiretroviral agents, the high prevalence of modifiable risk factors for age-associated conditions (e.g. smoking), and the effects of other viral coinfections are all influencing the health trajectory of persons ageing with HIV. We must move from the simplistic notion of HIV becoming a 'chronic controllable illness' to understanding the continually evolving 'treated' history of HIV infec</w:t>
      </w:r>
    </w:p>
    <w:p>
      <w:r>
        <w:t>POSSIBLE 2016: Suicide in an ageing UK population: problems and prevention — https://doi.org/10.1108/qaoa-05-2015-0022</w:t>
      </w:r>
    </w:p>
    <w:p>
      <w:r>
        <w:t>Shared claim-specific concepts: ageing, place; EU scope not established. This is a provisional connection, not an outcome finding.</w:t>
      </w:r>
    </w:p>
    <w:p>
      <w:r>
        <w:t>Available abstract (not full text): Purpose Suicide can be an emotive, and at times, controversial subject. The purpose of this paper is to reflect on the social, health, personal, and cultural issues that can arise in later life and the potential reasons for suicide. It will analyse already recognised risk factors of suicide in older adults and focus on improving knowledge about the social meaning and causation of suicide for older people. It will also consider suicide prevention policies, their practice implications, and whether they are successful in protecting this potentially vulnerable cohort. Design/methodology/approach A synopsis of available literature in the form of a general review paper of suicide of older adults. Findings There is evidence that the ageing process often leads to a set of co-morbidities and a complex and diverse set of individual challenges. This in turn equates to an increased risk of suicide. There is no easy answer to why there is evidence of a growing number of older adults deciding that suicide is there only option, and even fewer suggestions on how to manage this risk. Social implications The entry of the “baby boom” generation into retirement will lead to the potential of an increase in both suicide risk factors and older adults completing suicide. This is on the background of a demographic surge which is likely to place additional pressures on already under-resourced, and under</w:t>
      </w:r>
    </w:p>
    <w:p>
      <w:r>
        <w:t>POSSIBLE 2016: Innate immune responses in the ageing lung — https://doi.org/10.1111/cei.12881</w:t>
      </w:r>
    </w:p>
    <w:p>
      <w:r>
        <w:t>Shared claim-specific concepts: ageing, age, system; EU scope not established. This is a provisional connection, not an outcome finding.</w:t>
      </w:r>
    </w:p>
    <w:p>
      <w:r>
        <w:t>Available abstract (not full text): The world is undergoing an unprecedented shift in demographics, with the number of individuals over the age of 60 years projected to reach 2 billion or more by 2050, representing 22% of the global population. Elderly people are at a higher risk for chronic disease and more susceptible to infection, due in part to age-related dysfunction of the immune system resulting from low-grade chronic inflammation known as 'inflamm-ageing'. The innate immune system of older individuals exhibits a diminished ability to respond to microbial threats and clear infections, resulting in a greater occurrence of many infectious diseases in elderly people. In particular, the incidence of and mortality from lung infections increase sharply with age, with such infections often leading to worse outcomes, prolonged hospital stays and life-threatening complications, such as sepsis or acute respiratory distress syndrome. In this review, we highlight research on bacterial pneumonias and pulmonary viral infections and discuss age-related changes in innate immunity that contribute to the higher rate of these infections in older populations. By understanding more clearly the innate immune defects in elderly individuals, we can design age-specific therapies to address lung infections in such a vulnerable population.</w:t>
      </w:r>
    </w:p>
    <w:p>
      <w:pPr>
        <w:pStyle w:val="Heading2"/>
      </w:pPr>
      <w:r>
        <w:t>Developing scenarios for the Norwegian travel industry 2025</w:t>
      </w:r>
    </w:p>
    <w:p>
      <w:r>
        <w:t>Original source (2015): https://doi.org/10.1108/jtf-12-2014-0018</w:t>
      </w:r>
    </w:p>
    <w:p>
      <w:r>
        <w:t>Original wording (abstract; indexed_source_text_not_full_document_verified): Accordingly, a common understanding of future drivers and different scenarios for the industry is needed. This resulted in four scenarios: Money Rules, The Urban Diamond, Opportunities for All, and Master Plan.</w:t>
      </w:r>
    </w:p>
    <w:p>
      <w:r>
        <w:t>POSSIBLE 2025: The Traditional Understanding of Lawmaking by Appellate Courts — https://doi.org/10.1017/9781009589307.003</w:t>
      </w:r>
    </w:p>
    <w:p>
      <w:r>
        <w:t>Shared claim-specific concepts: accordingly, common, understanding; EU scope not established. This is a provisional connection, not an outcome finding.</w:t>
      </w:r>
    </w:p>
    <w:p>
      <w:r>
        <w:t>Available abstract (not full text): This chapter describes the traditional understanding of the nature of lawmaking by appellate courts in America. Often labeled as formalism, this conception of appellate court lawmaking is understood as being largely objective, highly logical, and fixed in nature. From this perspective, appellate judges were thought, while resolving specific disputes, to be also striving to develop and to refine the existing common law in a given jurisdiction so that it more and more came, over time, to accurately reflect a presumed ideal version of legal regulation. This activity was thought to be very similar in nature to the work of natural sciences when they seek to reconcile specific experimental results with current understandings and thereby move a field of science ever closer to an objectively correct account of the natural world. Accordingly, the ideal version of legal doctrine toward which formalist common law lawmaking aspired was commonly known as the natural law.</w:t>
      </w:r>
    </w:p>
    <w:p>
      <w:r>
        <w:t>POSSIBLE 2024: Understanding and Mitigating Bias in Imaging Artificial Intelligence — https://doi.org/10.1148/rg.230067</w:t>
      </w:r>
    </w:p>
    <w:p>
      <w:r>
        <w:t>Shared claim-specific concepts: accordingly, common, understanding; EU scope not established. This is a provisional connection, not an outcome finding.</w:t>
      </w:r>
    </w:p>
    <w:p>
      <w:r>
        <w:t>Available abstract (not full text): Artificial intelligence (AI) algorithms are prone to bias at multiple stages of model development, with potential for exacerbating health disparities. However, bias in imaging AI is a complex topic that encompasses multiple coexisting definitions. Bias may refer to unequal preference to a person or group owing to preexisting attitudes or beliefs, either intentional or unintentional. However, cognitive bias refers to systematic deviation from objective judgment due to reliance on heuristics, and statistical bias refers to differences between true and expected values, commonly manifesting as systematic error in model prediction (ie, a model with output unrepresentative of real-world conditions). Clinical decisions informed by biased models may lead to patient harm due to action on inaccurate AI results or exacerbate health inequities due to differing performance among patient populations. However, while inequitable bias can harm patients in this context, a mindful approach leveraging equitable bias can address underrepresentation of minority groups or rare diseases. Radiologists should also be aware of bias after AI deployment such as automation bias, or a tendency to agree with automated decisions despite contrary evidence. Understanding common sources of imaging AI bias and the consequences of using biased models can guide preventive measures to mitigate its impact. Accordingly</w:t>
      </w:r>
    </w:p>
    <w:p>
      <w:r>
        <w:t>POSSIBLE 2023: Strategy-making: The use and misuse of artifacts to achieve common understanding — https://doi.org/10.1177/23409444231202808</w:t>
      </w:r>
    </w:p>
    <w:p>
      <w:r>
        <w:t>Shared claim-specific concepts: common, understanding, different; EU scope not established. This is a provisional connection, not an outcome finding.</w:t>
      </w:r>
    </w:p>
    <w:p>
      <w:r>
        <w:t>Available abstract (not full text): Strategists intentionally use artifacts to promote their perception of a prudent strategic choice. Separating artifacts and strategists’ intentionality blurs our understanding of how strategy-making unfolds. Our study addresses the dynamics of strategists’ intentionality and their use of artifacts in strategy-making. The study provides empirical evidence that artifacts act as stand-ins for the strategists’ intentionality, used to guide or misused to curb the strategy-making. The implications of our study contribute to the understanding that (1) we can neither assume that the individuals’ intentionality is predictable nor that the involved strategists achieve a common understanding, (2) strategist–artifact relationships are pivotal to align or misalign different strategists’ interests, (3) the mediating role of artifacts is mutable entailing strategists materializing artifacts and adding text and symbols to intentionally manage the strategy-making, and (4) strategists deliberately use many artifacts to reach the intended strategy, not necessarily implementing the optimal strategy choice. JEL CLASSIFICATION: L190</w:t>
      </w:r>
    </w:p>
    <w:p>
      <w:r>
        <w:t>POSSIBLE 2023: A Theoretical Discussion of How Common Understanding and Reflection Upon Need for Resources Can Prevent Risks Underlying Social Innovations — https://doi.org/10.1177/00469580231152078</w:t>
      </w:r>
    </w:p>
    <w:p>
      <w:r>
        <w:t>Shared claim-specific concepts: common, understanding, different; EU scope not established. This is a provisional connection, not an outcome finding.</w:t>
      </w:r>
    </w:p>
    <w:p>
      <w:r>
        <w:t>Available abstract (not full text): The welfare state is facing complex challenges. Social innovation is considered as the solution to social challenges and so-called wicked problems, problems in the welfare state that are important, but difficult to solve. This implies being willing to take the risk that is involved when being innovative. A discussion of how different kinds of social innovations carry various risks and how some of these can be prevented, is still limited. This article looks at experiences from previous social innovations and ask what we can learn from them. It elaborates on why social innovation is challenging and what we can do to reduce the risk of failure. The research question is: What risks are at stake in different social innovations, and how can these be prevented? The article highlights risks and issues associated with social or collaborative innovation related to welfare services. It is theoretical and based on innovation theory and previous research, with examples from Norwegian welfare services. The purpose is to explore challenges and risks involved in 4 stereotype versions of social innovation as a result of crossing 2 dimensions of social innovation described above: (a) the degree of novelty and (b) who has initiated the innovation. The article enlightens some aspects of the implementation phase that are important to be aware of if we want to minimize the risk of failure. This conc</w:t>
      </w:r>
    </w:p>
    <w:p>
      <w:r>
        <w:t>POSSIBLE 2023: Approach to Reference Models for Building Performance Simulation: Establishing Common Understanding — https://doi.org/10.1007/s42979-023-01696-2</w:t>
      </w:r>
    </w:p>
    <w:p>
      <w:r>
        <w:t>Shared claim-specific concepts: accordingly, common, understanding; EU scope not established. This is a provisional connection, not an outcome finding.</w:t>
      </w:r>
    </w:p>
    <w:p>
      <w:r>
        <w:t>Available abstract (not full text): Abstract In the fields of business process modeling, logistics, and information model development, Reference Models (RMs) have shown to enhance standardization, support the common understanding of terminology and procedures, reduce the modeling efforts and cost through the paradigm “Design by Reuse”, and enable knowledge transfer. Utilizing RMs in Building Performance Simulation (BPS) shows potential to achieve similar benefits. However, there is no universally agreed understanding of RMs. In a previous scientific publication, we provided a comprehensive overview of the diversely interpreted definitions, benefits, and attributes of RMs and related terms. Additionally, to transfer the approach of RMs to BPS, a definition for RMs applicable to BPS has been provided, and the identified RM qualities were matched with BPS’s challenges. However, a sound evaluation of the success of transferring RMs to BPS is lacking. Therefore, this scientific contribution firstly includes the analysis conducted in the previous scientific contribution constituting a common understanding about RMs and their elements for BPS. Secondly, by conducting expert interviews, the applicability and validity of the developed concept of RMs for BPS are surveyed. In total, ten experts (seven BPS experts and three RM experts) evaluated the quality of creating transparency about the understanding of RMs and the leve</w:t>
      </w:r>
    </w:p>
    <w:p>
      <w:r>
        <w:t>POSSIBLE 2023: Sfumato as a Metaphor for Creating a Common Understanding in Complex Projects — https://doi.org/10.1007/978-3-031-35163-1_9</w:t>
      </w:r>
    </w:p>
    <w:p>
      <w:r>
        <w:t>Shared claim-specific concepts: common, understanding, different; EU scope not established. This is a provisional connection, not an outcome finding.</w:t>
      </w:r>
    </w:p>
    <w:p>
      <w:r>
        <w:t>Available abstract (not full text): Abstract Sfumato painting technique is proposed as an artistic metaphor for creating a shared understanding about safety and risk in complex safety-critical multi-stakeholder projects. The aim is to illuminate a mindset and suggest approaches for softening potentially detrimental effect of sharp dysfunctional boundaries between and within different project parties, which might impair quality of communication, coordination, and collaboration and impact safety.</w:t>
      </w:r>
    </w:p>
    <w:p>
      <w:r>
        <w:t>POSSIBLE 2022: Understanding common dolphin and Australasian gannet feeding associations from nutritional and ethological perspectives — https://doi.org/10.1093/icesjms/fsac133</w:t>
      </w:r>
    </w:p>
    <w:p>
      <w:r>
        <w:t>Shared claim-specific concepts: accordingly, common, understanding; EU scope not established. This is a provisional connection, not an outcome finding.</w:t>
      </w:r>
    </w:p>
    <w:p>
      <w:r>
        <w:t>Available abstract (not full text): Abstract Prey detection and subsequent capture is considered a major hypothesis to explain feeding associations between common dolphins and Australasian gannets. However, a current lack of insight on nutritional strategies with respect to foraging behaviours of both species has until now, prevented any detailed understanding of this conspecific relationship. Here we combine stomach content analysis (SCA), nutritional composition of prey, a multidimensional nutritional niche framework (MNNF) and videography to provide a holistic dietary, nutritional, and behavioural assessment of the feeding association between dolphins and gannets in the Hauraki Gulf, New Zealand. Dolphins consumed ten prey species, including grey mullet (Mugil cephalus) as the most representative by wet mass (33.4%). Gannets preyed upon six species, with pilchards (Sardinops pilchardus) contributing most of the diet by wet mass (32.4%) to their diet. Both predators jointly preyed upon pilchard, jack mackerel (Trachurus spp.), arrow squid (genus Nototodarus), and anchovy (Engraulis australis). Accordingly, the MNNF revealed a moderate overlap in the prey composition niche (0.42) and realized nutritional niche (0.52) between dolphins and gannets. This suggests that both predators coexist in a similar nutritional space, while simultaneously reducing interspecific competition and maximizing the success of both enc</w:t>
      </w:r>
    </w:p>
    <w:p>
      <w:r>
        <w:t>POSSIBLE 2022: A Reference Model for Common Understanding of Capabilities and Skills in Manufacturing — https://doi.org/10.48550/arxiv.2209.09632</w:t>
      </w:r>
    </w:p>
    <w:p>
      <w:r>
        <w:t>Shared claim-specific concepts: common, understanding, industry; EU scope not established. This is a provisional connection, not an outcome finding.</w:t>
      </w:r>
    </w:p>
    <w:p>
      <w:r>
        <w:t>Available abstract (not full text): In manufacturing, many use cases of Industry 4.0 require vendor-neutral and machine-readable information models to describe, implement and execute resource functions. Such models have been researched under the terms capabilities and skills. Standardization of such models is required, but currently not available. This paper presents a reference model developed jointly by members of various organizations in a working group of the Plattform Industrie 4.0. This model covers definitions of most important aspects of capabilities and skills. It can be seen as a basis for further standardization efforts.</w:t>
      </w:r>
    </w:p>
    <w:p>
      <w:r>
        <w:t>POSSIBLE 2021: What We All Know: Community in Moore's "A Defence of Common Sense" — https://doi.org/10.1353/hph.2021.0064</w:t>
      </w:r>
    </w:p>
    <w:p>
      <w:r>
        <w:t>Shared claim-specific concepts: common, understanding, all; EU scope not established. This is a provisional connection, not an outcome finding.</w:t>
      </w:r>
    </w:p>
    <w:p>
      <w:r>
        <w:t>Available abstract (not full text): I defend an account of Moore's conception of Common Sense—as it figures in "A Defence of Common Sense"—according to which it is based in a vision of the community of human beings as bound and unified by a settled common understanding of the meaning of our words and statements. This, for Moore, is our inalienable starting point in philosophy. When Moore invokes Common Sense against idealist (and skeptical) philosophers, he is reminding them that they too are bound by this common understanding, which cannot just be left behind as they confusedly believe. On Moore's conception, Common Sense becomes nothing other than the affirmation that there is such a common understanding—that there is Common Sense—which yields a specific body of Common Sense knowledge. This yields a more principled account of Common Sense than a mere tallying of what contingently happens to be believed (or known) by all.</w:t>
      </w:r>
    </w:p>
    <w:p>
      <w:r>
        <w:t>POSSIBLE 2021: Understanding the common mechanisms of heart and skeletal muscle wasting in cancer cachexia — https://doi.org/10.1038/s41389-020-00288-6</w:t>
      </w:r>
    </w:p>
    <w:p>
      <w:r>
        <w:t>Shared claim-specific concepts: common, understanding, different; EU scope not established. This is a provisional connection, not an outcome finding.</w:t>
      </w:r>
    </w:p>
    <w:p>
      <w:r>
        <w:t>Available abstract (not full text): Cachexia is a severe complication of cancer that adversely affects the course of the disease, with currently no effective treatments. It is characterized by a progressive atrophy of skeletal muscle and adipose tissue, resulting in weight loss, a reduced quality of life, and a shortened life expectancy. Although the cachectic condition primarily affects the skeletal muscle, a tissue that accounts for ~40% of total body weight, cachexia is considered a multi-organ disease that involves different tissues and organs, among which the cardiac muscle stands out for its relevance. Patients with cancer often experience severe cardiac abnormalities and manifest symptoms that are indicative of chronic heart failure, including fatigue, shortness of breath, and impaired exercise tolerance. Furthermore, cardiovascular complications are among the major causes of death in cancer patients who experienced cachexia. The lack of effective treatments for cancer cachexia underscores the need to improve our understanding of the underlying mechanisms. Increasing evidence links the wasting of the cardiac and skeletal muscles to metabolic alterations, primarily increased energy expenditure, and to increased proteolysis, ensuing from activation of the major proteolytic machineries of the cell, including ubiquitin-dependent proteolysis and autophagy. This review aims at providing an overview of the key me</w:t>
      </w:r>
    </w:p>
    <w:p>
      <w:r>
        <w:t>POSSIBLE 2021: From common operational picture to common situational understanding: An analysis based on practitioner perspectives — https://doi.org/10.1016/j.ssci.2021.105381</w:t>
      </w:r>
    </w:p>
    <w:p>
      <w:r>
        <w:t>Shared claim-specific concepts: common, understanding, different; EU scope not established. This is a provisional connection, not an outcome finding.</w:t>
      </w:r>
    </w:p>
    <w:p>
      <w:r>
        <w:t>Available abstract (not full text): The concepts of Situational Awareness (SA) and Common Operational Picture (COP) are closely related and well-acknowledged to be crucial factors for effective emergency management. In multi-agency operations, such as extreme weather events, the involved first responders manage the event with different mandates, objectives, and tools which can make it challenging to build a COP. Effective collaboration requires a common situational understanding, based on knowledge about each other’s responsibilities and tasks, mutual respect and trust, as well as common communication tools for emergency communication and information sharing. This paper argues that the COP serves as a basis for deciding on further action, and thus represents a first stage in the process of establishing common situational understanding among the involved actors. The empirical basis for the study includes interviews with Norwegian emergency management stakeholders, analysis of audio-logs, and review of public documents. Based on the analysis we present a framework comprising activities and processes involved in establishing a COP as a basis for common situational understanding.</w:t>
      </w:r>
    </w:p>
    <w:p>
      <w:r>
        <w:t>POSSIBLE 2021: What Is Open Pedagogy? Identifying Commonalities — https://doi.org/10.19173/irrodl.v22i2.5161</w:t>
      </w:r>
    </w:p>
    <w:p>
      <w:r>
        <w:t>Shared claim-specific concepts: accordingly, common, understanding; EU scope not established. This is a provisional connection, not an outcome finding.</w:t>
      </w:r>
    </w:p>
    <w:p>
      <w:r>
        <w:t>Available abstract (not full text): Open pedagogy has been touted by advocates as a promising expansion of open educational resources because it involves shifting from making resources accessible to impacting the practice of teaching. The allure of the term coupled with its promise to bring greater innovation to pedagogy has led to its widespread use at conferences and publications. However, as the concept has gained increasing levels of popularity, it has also sparked considerable debate as to what it means. For example, how is open pedagogy distinct from other forms of pedagogy such as critical or cultural? What does it mean to practice open pedagogy? Without a clear understanding of its meaning, establishing a solid research foundation on which to make claims about the impact of open pedagogy approaches is difficult. Accordingly, this article argues that the current debate signals the need for the development of robust analytical frameworks in order to construct a cohesive body of research that can be used to advance it as a field of study. To do this, the authors review the literature and identify common characteristics within it. The authors then propose a five-part framework that encourages the long-term sustainability of open pedagogy.</w:t>
      </w:r>
    </w:p>
    <w:p>
      <w:pPr>
        <w:pStyle w:val="Heading2"/>
      </w:pPr>
      <w:r>
        <w:t>Ecosystem service provision in a changing Europe: adapting to the impacts of combined climate and socio-economic change</w:t>
      </w:r>
    </w:p>
    <w:p>
      <w:r>
        <w:t>Original source (2015): https://doi.org/10.1007/s10980-014-0148-2</w:t>
      </w:r>
    </w:p>
    <w:p>
      <w:r>
        <w:t>Original wording (abstract; indexed_source_text_not_full_document_verified): Adaptation options offer significant opportunities, but may necessitate trade-offs between services, particularly between agriculture- and forestry-related services. Integrated assessment enables exploration of interactions and trade-offs between ecosystem services, highlighting the importance of taking account of complex cross-sectoral interactions under different future scenarios of planning adaptation responses.</w:t>
      </w:r>
    </w:p>
    <w:p>
      <w:r>
        <w:t>POSSIBLE 2026: The economically optimal mix and timing of coastal adaptation in Europe to 2150 — https://doi.org/10.1038/s41467-026-74042-8</w:t>
      </w:r>
    </w:p>
    <w:p>
      <w:r>
        <w:t>Shared claim-specific concepts: adaptation, options, necessitate, between; EU scope visible. This is a provisional connection, not an outcome finding.</w:t>
      </w:r>
    </w:p>
    <w:p>
      <w:r>
        <w:t>Available abstract (not full text): Coastal adaptation to sea level rise involves combining and sequencing adaptation options into adaptation pathways that include adaptation tipping points, which are moments requiring a switch between options, often due to economic limits. While local case studies show costs depend on the economically optimal timing of actions and adaptation tipping points, this remains unexplored on global and continental scales. We present economically optimal adaptation pathways for Europe's coastal floodplains through 2150. For 95% of the coastline requiring adaptation, the optimal timing for initial actions is immediate due to current economic under-adaptation, a condition in which the costs of additional adaptation are outweighed by the reduction in expected flood damages. By 2150, retreat is economically optimal for 22% of the coastline, incurring lower total costs than protection, which is optimal for 9%. Adaptation tipping points are primarily driven by sea level rise and necessitate a switch from accommodation to either protection or retreat, or from retreat to inland protection combined with retreat in the foreland. Their timing depends on climate change, occurring 32 years earlier under higher climate change scenarios compared to lower ones.</w:t>
      </w:r>
    </w:p>
    <w:p>
      <w:r>
        <w:t>POSSIBLE 2026: Developing a cloud-based service offering actionable coastal climate risk and adaptation data across Europe — https://doi.org/10.1016/j.cliser.2026.100678</w:t>
      </w:r>
    </w:p>
    <w:p>
      <w:r>
        <w:t>Shared claim-specific concepts: adaptation, options, services, integrated; EU scope visible. This is a provisional connection, not an outcome finding.</w:t>
      </w:r>
    </w:p>
    <w:p>
      <w:r>
        <w:t>Available abstract (not full text): Coastal zones face increasing climate-driven hazards such as sea-level rise, storm surges, flooding and erosion,threatening infrastructure and ecosystems. Addressing the need for actionable climate information in adaptation planning, wedeveloped an integrated Coastal Climate Services platform for Europe that consolidates sea-level projections, flood and ero-sion maps, exposure data, damage estimates, and adaptation options into a unified, cloud-based service. Co-designed withnational authorities, municipal planners, and infrastructure owners, the platform offers an interactive web viewer for non-experts and a collaborative coding environment for advanced users. It delivers localized, FAIR (Findable, Accessible, Interop-erable, Reusable)-compliant data supporting evidence-based adaptation planning and compliance with European frameworks.By bridging scientific data and operational climate services, this platform enhances climate resilience and informs strategiccoastal risk management across Europe and shows how a broad-scale coastal climate service can be delivered.</w:t>
      </w:r>
    </w:p>
    <w:p>
      <w:r>
        <w:t>POSSIBLE 2022: Climate services for the railway sector: A synthesis of adaptation information needs in Europe — https://doi.org/10.3389/fclim.2022.968298</w:t>
      </w:r>
    </w:p>
    <w:p>
      <w:r>
        <w:t>Shared claim-specific concepts: adaptation, but, services; EU scope visible. This is a provisional connection, not an outcome finding.</w:t>
      </w:r>
    </w:p>
    <w:p>
      <w:r>
        <w:t>Available abstract (not full text): Given that climate variability and change present unprecedented challenges to the rail sector, efforts to produce relevant climate data/information for climate risk management and adaptive decision making in the rail sector are gaining traction. However, inadequate understanding of climate change impact and information needs raises several concerns for the sector. This paper addressed the question: What climate risk information services are needed to support the adaptation needs of the rail sector? Data from interviews, literature reviews, and workshops were used. The results show that changes in precipitation, temperature, sea-level rise, and thunderstorms are the top drivers of climate risk in the sector. Additionally, the need for tailor-made climate information to manage these changes is in high demand. Although insufficient, rail organizations use special protocols to manage climate risk. Understudied countries have operational and design standards formulated in metrics and codes related to specific critical weather conditions as part of their Natural Hazard Management process. However, desirable adjustments in the standards are currently based on past events rather than future climate conditions. Future climate change information is relevant for medium- to longer-term decisions, strategy, and policymaking. For operational and design standards, weather and climate informat</w:t>
      </w:r>
    </w:p>
    <w:p>
      <w:r>
        <w:t>POSSIBLE 2021: Climate change, adaptation, and global jobs: Lessons and urgent policy options for Africa — https://doi.org/10.35877/454ri.qems298</w:t>
      </w:r>
    </w:p>
    <w:p>
      <w:r>
        <w:t>Shared claim-specific concepts: adaptation, options, opportunities; EU scope visible. This is a provisional connection, not an outcome finding.</w:t>
      </w:r>
    </w:p>
    <w:p>
      <w:r>
        <w:t xml:space="preserve">Available abstract (not full text): Climate change remains one of the world’s greatest challenge in the 21st century. It causes inevitable changes that alter human activities. Adaptation to climate change creates and at the same time limits opportunities that support human existence. While United States of America, Europe, China, India and other countries are maximizing the opportunities climate change adaptation offers especially in areas of green technology, energy and agriculture, that of Africa who are more vulnerable to climate change are complacent and at most show less commitment. As the negative impacts of climate change increases and livelihoods erode, and as jobs continue to disappear leading to conflicts and upheavals in Africa, governments across the continent need policy options that will enable them to mitigate and adapt to climate change while at the same time address the problem of unemployment and create new patterns of livelihood. This paper, therefore, explores options that support these objectives. It offered policy suggestions in green energy and agriculture where Africa have a comparative advantage over other nations, and which also has the capacity of employing 90 per cent of the continent's workforce. It makes suggestions on how Lake Chad and other water sources affected by climate change in Africa can be revived to support agricultural activities and hydropower industry as well as create </w:t>
      </w:r>
    </w:p>
    <w:p>
      <w:r>
        <w:t>POSSIBLE 2021: CLIMADA v1.4.1: towards a globally consistent adaptation options appraisal tool — https://doi.org/10.5194/gmd-14-351-2021</w:t>
      </w:r>
    </w:p>
    <w:p>
      <w:r>
        <w:t>Shared claim-specific concepts: adaptation, options, assessment; EU scope not established. This is a provisional connection, not an outcome finding.</w:t>
      </w:r>
    </w:p>
    <w:p>
      <w:r>
        <w:t>Available abstract (not full text): Abstract. Climate change is a fact and adaptation to a changing environment therefore a necessity. Adaptation is ultimately local, yet similar challenges pose themselves to decision-makers all across the globe and on all levels. The Economics of Climate Adaptation (ECA) methodology established an economic framework to fully integrate risk and reward perspectives of different 10 stakeholders, underpinned by the CLIMADA impact modelling platform. We present an extension of the latter to appraise adaption options in a consistent fashion in order to provide decision-makers from the local to the global level with the necessary facts to identify the most effective instruments to meet the adaptation challenge. We apply the open-source methodology and its Python implementation to a case study in the Caribbean, which allows to prioritize a small basked of adaptation options, namely green and grey infrastructure options as well as behavioural measures, and permits inter-island comparisons. In 15 Anguilla, for example, mangroves avert simulated damages more than 4 times the cost estimated for restoration, while enforcement of building codes shows to be effective in the Turks and Caicos islands. For all islands, cost-effective measures reduce the cost of risk transfer, which covers damage of high impact events that cannot be cost-effectively prevented by other measures. This extended versi</w:t>
      </w:r>
    </w:p>
    <w:p>
      <w:r>
        <w:t>POSSIBLE 2021: Rethinking urban heat stress: Assessing risk and adaptation options across socioeconomic groups in Bonn, Germany — https://doi.org/10.1016/j.uclim.2021.100857</w:t>
      </w:r>
    </w:p>
    <w:p>
      <w:r>
        <w:t>Shared claim-specific concepts: adaptation, options, between, integrated; EU scope visible. This is a provisional connection, not an outcome finding.</w:t>
      </w:r>
    </w:p>
    <w:p>
      <w:r>
        <w:t>Available abstract (not full text): With climate change and socioeconomic trends expected to exacerbate the risk of urban heat stress, implementing adaptation measures is paramount to limit adverse impacts of heat on urban inhabitants. Identification of the best options needs to be based on sound, localised assessments of risk, understood as the interaction of hazard, exposure and vulnerability. Yet a review of the literature reveals that minimal research to date considers the perceived impacts of heat among urban residents. Based on a household survey in Bonn, Germany, this paper adopts an integrated approach to assess how different socioeconomic groups are affected by heat stress and explores the connections between perceived impacts of heat and indicators of exposure and vulnerability across groups. Results indicate that all socioeconomic groups are at risk of urban heat stress, though to differing extents and for different reasons. Exposure was found to be lowest in groups typically considered to be of higher risk, such as older respondents, who at the same time have the highest susceptibility. Students and other younger respondents, on the other hand, face comparably high exposure and have the lowest coping and adaptive capacities. At the same time, each group has its own capacities with the potential to mitigate risk. The study shows that urban inhabitants beyond “classic risk groups” usually addressed in l</w:t>
      </w:r>
    </w:p>
    <w:p>
      <w:r>
        <w:t>POSSIBLE 2020: Assessing the feasibility of adaptation options: methodological advancements and directions for climate adaptation research and practice — https://doi.org/10.1007/s10584-020-02762-x</w:t>
      </w:r>
    </w:p>
    <w:p>
      <w:r>
        <w:t>Shared claim-specific concepts: adaptation, options, offer, trade-offs, assessment; EU scope not established. This is a provisional connection, not an outcome finding.</w:t>
      </w:r>
    </w:p>
    <w:p>
      <w:r>
        <w:t>Available abstract (not full text): Abstract The Paris Agreement put adaptation prominently on the global climate action agenda. Despite a surge in research and praxis-based knowledge on adaptation, a critical policy roadblock is synthesizing and assessing this burgeoning evidence. We develop an approach to assess the multidimensional feasibility of adaptation options in a robust and transparent manner, providing direction for global climate policy and identifying knowledge gaps to further future climate research. The approach, which was tested in the IPCC Special Report on 1.5 °C (SR1.5) to assess 23 adaptation options, is underpinned by a systematic review of recent literature, expert elicitation, and iterative peer review. It responds to the challenge of limited agreement on adaptation indicators, lack of fine-scale adaptation data, and challenges of assessing synergies and trade-offs with mitigation. The findings offer methodological insights into how future assessments such as the IPCC Assessment Report (AR) six and regional, national, and sectoral assessment exercises could assess adaptation feasibility and synthesize the growing body of knowledge on climate change adaptation.</w:t>
      </w:r>
    </w:p>
    <w:p>
      <w:r>
        <w:t>POSSIBLE 2018: Upholding labour productivity under climate change: an assessment of adaptation options — https://doi.org/10.1080/14693062.2018.1517640</w:t>
      </w:r>
    </w:p>
    <w:p>
      <w:r>
        <w:t>Shared claim-specific concepts: adaptation, options, but, assessment, importance; EU scope not established. This is a provisional connection, not an outcome finding.</w:t>
      </w:r>
    </w:p>
    <w:p>
      <w:r>
        <w:t>Available abstract (not full text): Changes in labour productivity feed through directly to national income. An external shock, like climate change, which may substantially reduce the productivity of workers is therefore a macroeconomic concern. The biophysical impact of higher temperatures on human performance is well documented. Less well understood are the wider effects of higher temperatures on the aggregate productivity of modern, diversified economies, where economic output is produced in contexts ranging from outdoor agriculture to work in air-conditioned buildings. Working conditions are at least to some extent the result of societal choices, which means that the labour productivity effects of heat can be alleviated through careful adaptation. A range of technical, regulatory/infrastructural and behavioural options are available to individuals, businesses and governments. The importance of local contexts prevents a general ranking of the available measures, but many appear cost-effective. Promising options include the optimization of working hours and passive cooling mechanisms. Climate-smart urban planning and adjustments to building design are most suitable to respond to high base temperature, while air conditioning can respond flexibly to short temperature peaks if there is sufficient cheap, reliable and clean electricity.Key policy insights The effect of heat stress on labour productivity is a key eco</w:t>
      </w:r>
    </w:p>
    <w:p>
      <w:r>
        <w:t>POSSIBLE 2018: Evaluation of adaptation options to flood risk in a probabilistic framework — https://doi.org/10.1016/j.ejrh.2018.07.001</w:t>
      </w:r>
    </w:p>
    <w:p>
      <w:r>
        <w:t>Shared claim-specific concepts: adaptation, options, but; EU scope not established. This is a provisional connection, not an outcome finding.</w:t>
      </w:r>
    </w:p>
    <w:p>
      <w:r>
        <w:t>Available abstract (not full text): Study region City of Niamey, Niger, West Africa. Study focus This paper aims to explore the possibility of implementing a probabilistic framework for flood risk estimation for the city of Niamey, Niger. A probabilistic set of flood maps were generated by forcing a HEC-RAS model with a stochastically generated ensemble of flood peaks representing the river regime at Niamey. Loss curves were derived from expert judgment, and various adaptation options to flood risk were examined by considering two main variables: a) buildings’ material; b) dike height (ranged from 180.5 m to 184 m, at a 0.5 m interval) within a scenario-based framework. Floods with return periods of 2- to 1000-yr were considered in estimating total loss, and benefits and costs of different adaptation options were compared. New hydrological insights for the region It was found that increasing the height of the dikes would lead to smaller economic losses, while rebuilding with better materials would increase the average annual economic losses, but might decrease the risk of human casualties. Individual and combined impact of decision variables on flood risk were estimated for the city of Niamey. Quantitative tools were developed to help decision-makers and regulators choose the best preventive measures to mitigate flood risk.</w:t>
      </w:r>
    </w:p>
    <w:p>
      <w:r>
        <w:t>POSSIBLE 2017: Sunflower crop and climate change: vulnerability, adaptation, and mitigation potential from case-studies in Europe — https://doi.org/10.1051/ocl/2016052</w:t>
      </w:r>
    </w:p>
    <w:p>
      <w:r>
        <w:t>Shared claim-specific concepts: adaptation, opportunities, but, account; EU scope visible. This is a provisional connection, not an outcome finding.</w:t>
      </w:r>
    </w:p>
    <w:p>
      <w:r>
        <w:t>Available abstract (not full text): Climate change is characterized by higher temperatures, elevated atmospheric CO2 concentrations, extreme climatic hazards, and less water available for agriculture. Sunflower, a spring-sown crop often cultivated in southern and eastern regions of Europe, could be more vulnerable to the direct effect of heat stress at anthesis and drought during its growing cycle, both factors resulting in severe yield loss, oil content decrease, and fatty acid alterations. Adaptations through breeding (earliness, stress tolerance), crop management (planting dates), and shifting of growing areas could be developed, assessed and combined to partly cope with these negative impacts. New cultivation opportunities could be expected in northern parts of Europe where sunflower is not grown presently and where it could usefully contribute to diversify cereal-based cropping systems. In addition, sunflower crop could participate to the mitigation solution as a low greenhouse gas emitter compared to cereals and oilseed rape. Sunflower crop models should be revised to account for these emerging environmental factors in order to reduce the uncertainties in yield and oil predictions. The future of sunflower in Europe is probably related to its potential adaptation to climate change but also to its competitiveness and attractiveness for food and energy.</w:t>
      </w:r>
    </w:p>
    <w:p>
      <w:r>
        <w:t>POSSIBLE 2016: Adaptation Pathways and Real Options Analysis: An approach to deep uncertainty in climate change adaptation policies — https://doi.org/10.1016/j.polsoc.2016.05.002</w:t>
      </w:r>
    </w:p>
    <w:p>
      <w:r>
        <w:t>Shared claim-specific concepts: adaptation, options, complex; EU scope not established. This is a provisional connection, not an outcome finding.</w:t>
      </w:r>
    </w:p>
    <w:p>
      <w:r>
        <w:t>Available abstract (not full text): Abstract Governments face the daunting task of developing policies and making investment decisions for climate change adaptation in an environment that consist of complex, interlinked systems with manifold uncertainties. Instead of responding to surprises and making decisions on ad hoc basis, a structured approach to deal with complex systems and uncertainties can provide indispensable support for policy making. This contribution proposes a structured approach for designing climate adaptation policies based on the concepts of Adaptation Pathways, Adaptive Policy Making, and Real Options Analysis. Such an approach results in incorporation of flexibility that allows change over time in response to how the future unfolds, what is learned about the system, and changes in societal preferences. The approach is illustrated by looking at drainage policies and measures to address flooding in Singapore.</w:t>
      </w:r>
    </w:p>
    <w:p>
      <w:pPr>
        <w:pStyle w:val="Heading2"/>
      </w:pPr>
      <w:r>
        <w:t>Ensemble flood risk assessment in Europe under high end climate scenarios</w:t>
      </w:r>
    </w:p>
    <w:p>
      <w:r>
        <w:t>Original source (2015): https://doi.org/10.1016/j.gloenvcha.2015.09.004</w:t>
      </w:r>
    </w:p>
    <w:p>
      <w:r>
        <w:t>Original wording (abstract; indexed_source_text_not_full_document_verified): When coherent socio-economic development pathways are included in the assessment, central estimates of population annually affected by floods range between 500,000 and 640,000 in 2050, and between 540,000 and 950,000 in 2080, as compared to 216,000 in the current climate. A larger range is foreseen in the annual flood damage, currently of 5.3 B€, which is projected to rise at 20–40 B€ in 2050 and 30–100 B€ in 2080, depending on the future economic growth.</w:t>
      </w:r>
    </w:p>
    <w:p>
      <w:r>
        <w:t>POSSIBLE 2025: THE CONTRIBUTION OF SMES ENTREPRENEURSHIP TO SOCIO-ECONOMIC DEVELOPMENT IN TERENGGANU — https://doi.org/10.35631/ijemp.832016</w:t>
      </w:r>
    </w:p>
    <w:p>
      <w:r>
        <w:t>Shared claim-specific concepts: socio-economic, central; EU scope not established. This is a provisional connection, not an outcome finding.</w:t>
      </w:r>
    </w:p>
    <w:p>
      <w:r>
        <w:t>Available abstract (not full text): Small and medium enterprises (SMEs) are widely acknowledged as the backbone of socio-economic development, particularly in emerging regions where they play a vital role in employment generation, poverty alleviation, and cultural preservation. This article explores the contribution of SMEs entrepreneurship to socio-economic development in Terengganu, Malaysia, and critically examines the constraints that limit their growth. By synthesizing recent scholarship, the study situates SME development within five central dimensions: financial accessibility, digital transformation, entrepreneurial capacity, global competitiveness, and inclusivity for women and youth. The analysis demonstrates that SMEs in Terengganu contribute to economic diversification through tourism, fisheries, handicrafts, and cultural industries while reinforcing community resilience and sustaining local identity. Yet persistent barriers such as restricted capital access, uneven digital adoption, skills deficiencies, exposure to global market pressures, and limited inclusivity undermine their potential impact. These challenges are interconnected and require integrated approaches that align institutional reforms with ecosystem-based strategies. Building on this foundation, the article proposes practical suggestions including hybrid financing models, targeted digitalization programs, localized training and mentorship</w:t>
      </w:r>
    </w:p>
    <w:p>
      <w:r>
        <w:t>POSSIBLE 2025: SOCIO-ECONOMIC ANALYSIS OF THE SOUTH-WEST OLTENIA DEVELOPMENT REGION — https://openalex.org/W7215541317</w:t>
      </w:r>
    </w:p>
    <w:p>
      <w:r>
        <w:t>Shared claim-specific concepts: socio-economic, population; EU scope visible. This is a provisional connection, not an outcome finding.</w:t>
      </w:r>
    </w:p>
    <w:p>
      <w:r>
        <w:t>Available abstract (not full text): The paper analyzes the socio-economic development level of the South-West Oltenia Development Region, composed of Dolj, Gorj, Mehedinți, Olt, and Vâlcea counties, aiming to identify territorial disparities and strategic priorities for sustainable regional growth. The study’s relevance derives from the region’s strategic location at Romania’s south-western border and from the need to ensure a balanced use of its natural, human, and economic resources. The research methodology relied on official statistical data (National Institute of Statistics, Tempo-Online) for the 2014–2024 period, analyzed through descriptive and comparative methods. Demographic and economic indicators were assessed at both regional and county levels, and the results were presented using tables and graphical representations. Findings reveal a pronounced demographic decline, with a population loss exceeding 75,000 inhabitants and a negative natural growth rate (–10,741), the population density remaining below the national average. The regional GDP reached 108.4 billion RON in 2022, accounting for only 7.8% of Romania’s economy, while GDP per capita (51,826 RON) confirms a low level of economic competitiveness. The regional economy shows a mixed structure – agricultural in the south, energy and industrial in the north – while infrastructure remains insufficiently developed. The conclusions emphasize the need f</w:t>
      </w:r>
    </w:p>
    <w:p>
      <w:r>
        <w:t>POSSIBLE 2023: Harnessing on the potential of migrants in the socio-economic development of the Republic of Moldova — https://doi.org/10.53486/2537-6179.9-1.01</w:t>
      </w:r>
    </w:p>
    <w:p>
      <w:r>
        <w:t>Shared claim-specific concepts: socio-economic, population, current, currently; EU scope visible. This is a provisional connection, not an outcome finding.</w:t>
      </w:r>
    </w:p>
    <w:p>
      <w:r>
        <w:t xml:space="preserve">Available abstract (not full text): Migration is an important component of the development of the Republic of Moldova at the current stage. The economic and social instability that followed after obtaining political independence in 1991, the inefficiency of reforms in several socio-economic fields, the institutional uncertainty led the population to migrate, this being a strategy to adapt it to the created conjuncture situation. The increase in intensity migration was also influenced by the processes of liberalization of entry and exit procedures from the territory of the Republic of Moldova. Currently, our country represents one of the countries in the world with the largest shares of the migrant working population, as well as the share of remittances in GDP, the effects of migration being felt in all areas of social-economic life in the country. Concern for the support of migrants over time has materialized through the creation of governmental structures with the aim of monitoring and launching various strategies, programs, projects addressed to citizens outside the country's borders. Ensuring the reintegration of returned migrants, after a migratory experience of work or life abroad, is of great importance both for citizens and for the state authorities that have the duty to support emigrant citizens regardless of their options to return or settle in the adoptive country. Through this scientific approach, the </w:t>
      </w:r>
    </w:p>
    <w:p>
      <w:r>
        <w:t>POSSIBLE 2023: Working in (Slow) Progress: Socio-Environmental and Economic Dynamics in the Forestry Sector and the Contribution to Sustainable Development in Europe — https://doi.org/10.3390/su151310271</w:t>
      </w:r>
    </w:p>
    <w:p>
      <w:r>
        <w:t>Shared claim-specific concepts: coherent, between, climate; EU scope visible. This is a provisional connection, not an outcome finding.</w:t>
      </w:r>
    </w:p>
    <w:p>
      <w:r>
        <w:t>Available abstract (not full text): Forest ecosystems are increasingly subject to disturbances, such as extreme (climate) events, fires and pathological outbreaks, which exert significant (and still poorly quantified) economic impacts, despite their intrinsic resilience. How forest management addresses these challenges will have profound effects on human health, environmental diversity, (ecological and economic) productivity and the ability of forest ecosystems to recovery from exogenous shocks. Assuming forests as ensuring ecosystem services that are vital to society and human well-being, in addition to providing wood material, a better knowledge of forest ecosystems appears a key requirement to delineate a developmental strategy that guarantees environmental protection objectives and achievement of climate and energy targets. In the context of Sustainable Development Goals of the United Nations 2030 Agenda, the information available on forest management practices in Europe still seems not completely suitable to provide a comprehensive overview of ecosystem conditions, their economic value, and their biodiversity. Based on a literature review, the present contribution focuses on recent dynamics of the forestry sector in Europe, delineating the inherent complexity in the environmental-economic nexus. Additionally, the extensive use of a key natural resource such as wood exerts social implications for local distri</w:t>
      </w:r>
    </w:p>
    <w:p>
      <w:r>
        <w:t>POSSIBLE 2022: THE INFLUENCE OF ECONOMIC MENTALITY ON SOCIO-ECONOMIC DEVELOPMENT — https://doi.org/10.55643/fcaptp.1.42.2022.3670</w:t>
      </w:r>
    </w:p>
    <w:p>
      <w:r>
        <w:t>Shared claim-specific concepts: socio-economic, between, current; EU scope not established. This is a provisional connection, not an outcome finding.</w:t>
      </w:r>
    </w:p>
    <w:p>
      <w:r>
        <w:t>Available abstract (not full text): Abstract. The current stage of socio-economic development is characterized by structural reforms connected with forming of competitive market environment, development of various forms of ownership, formation of qualitatively new forms of economic activity organization, deepening integration processes. Authors underline inconsistenciesbetween the interaction of the formal and historically formed informal institutions actualizes the role of economic mentality, since it directly influences the general vector of socio-economic system development. The article draws attention to the informal component of the institutional environment — economic mentality, which haracterizes the historically formed values, motives and models of economic behavior of individual and collective actors that directly affect the overall vector of socio-economic system development and transformation.It is determined that economic mentality determines the dynamics of the institutional environment development of by influencing the effectiveness of formal and informal institutions interaction, ensuring the performance of complementary functions; mediates the process of institutionalization of historically determined values, stereotypes and models of economic behavior in the system of formal norms and rules; provides under the influence of other socio-economic factors adaptability and dynamism of nstitutional str</w:t>
      </w:r>
    </w:p>
    <w:p>
      <w:r>
        <w:t>POSSIBLE 2022: Political Leadership and Socio-economic Development of Rivers State — https://doi.org/10.51699/cajssh.v3i4.283</w:t>
      </w:r>
    </w:p>
    <w:p>
      <w:r>
        <w:t>Shared claim-specific concepts: socio-economic, population, compared; EU scope not established. This is a provisional connection, not an outcome finding.</w:t>
      </w:r>
    </w:p>
    <w:p>
      <w:r>
        <w:t>Available abstract (not full text): The paper examined the role of political leadership on socio-economic development of Rivers State. The study raised two research questions and two corresponding objectives. Elite theory was adopted as the theoretical frame work. Both primary and secondary data were utilized. The population for this study is 7,303,924 based on 2022 city projected population. A sample of 400 respondents was drawn with the aid of Taro Yamene formula. The study adopted stratified sampling and purposive sampling technique to administer the research instrument to the respondents. The study generated data from primary and secondary sources. A questionnaire instrument was used in this study titled; “Role of Political Leadership on Socio-economic Development Questionnaire (RPLSEDQ)”. The study employed the test-re-test method. This method allowed the researcher to assess the survey instrument by applying two separate measurements on the same elements at different times with the same methods. The outcome of the pilot survey was compared with that of the final survey to confirm if the results are the same. The data generated were analyzed with Mean and Standard Deviation through the aid of SPSS version 25. The criterion mean was 2.5 which implied that any item found equal or above 2.5 was accounted as Agreed, while item means lesser than 2.5 were interpreted to be disagreed. The study found that the polit</w:t>
      </w:r>
    </w:p>
    <w:p>
      <w:r>
        <w:t>POSSIBLE 2022: REMITTANCE OF INDIAN IMMIGRANTS: CATALYTIC FOR SOCIO-ECONOMIC DEVELOPMENT — https://doi.org/10.47509/ijaeb.2023.v05i01.09</w:t>
      </w:r>
    </w:p>
    <w:p>
      <w:r>
        <w:t>Shared claim-specific concepts: socio-economic, population, range, annual; EU scope not established. This is a provisional connection, not an outcome finding.</w:t>
      </w:r>
    </w:p>
    <w:p>
      <w:r>
        <w:t>Available abstract (not full text): Immigrants have become an integral component of socio-economic development, and play a diverse set of roles, preserving a range of influences on the economy of their origin. International migration, usually network-driven is a natural consequence of capitalist market formation in the developing world penetrating peripheral regions. Every year 2.5 million (25 lakh) Indians migrate overseas, which is the highest annual number of migrants in the world. Indians represent the second largest U.S. immigrant group, after Mexicans and ahead of Chinese and Filipinos. The 2.7 million Indianimmigrants residing in the United States as of 2021 made up 6 per cent of the total foreignborn population, and their numbers continue to expand. USA ranks second on the list with so many growth opportunities accessible for Indians in the spheres of technology and biological sciences. Based on secondary sources of data, the present research assesses the trend, major flow of immigrants and their contribution to the development of Indian economy, which concludes that with the help of remittances, immigration can contribute positively to the developmental activity of a country, including employment, economic growth, poverty reduction, social empowerment, and technological progress.</w:t>
      </w:r>
    </w:p>
    <w:p>
      <w:r>
        <w:t>POSSIBLE 2021: Modern trends in the socio-economic development of the Moscow region — https://doi.org/10.25634/mirbis.2021.4.15</w:t>
      </w:r>
    </w:p>
    <w:p>
      <w:r>
        <w:t>Shared claim-specific concepts: socio-economic, population, current; EU scope not established. This is a provisional connection, not an outcome finding.</w:t>
      </w:r>
    </w:p>
    <w:p>
      <w:r>
        <w:t>Available abstract (not full text): Насущной проблемой развития отечественной экономики является переход к устойчивому экономическому росту, который будет способствовать закреплению России в составе государств, освоивших шестой технологический уклад. В нынешних условиях концепция управления социальноэкономическим развитием, нацеленная на повышение эффективности экономики трансформируется в вектор, направленный на существенное преобразование параметров и требований к повышению качества условий жизнедеятельности гражданина страны. Важно отметить при этом, что именно от региональных властей требуется проведение политики, направленной на всеобъемлющее повышение качественных параметров уровня жизни населения. В статье рассматриваются особенности развития Московской области, возможности устойчивой прогрессивной динамики по ключевым параметрам в долгосрочной перспективе. Анализируются управленческие решения органов региональной власти по определению приоритетов и направлений прогресса социальной и экономической систем, характеризуются достижения субъекта Федерации в рамках стратегии социально-экономического развития до 2030 год. This An urgent problem in the development of the domestic economy is the transition to sustainable economic growth, which will contribute to the consolidation of Russia among the states that have mastered the sixth technological mode. In the current conditions, the concept of managing socio-econ</w:t>
      </w:r>
    </w:p>
    <w:p>
      <w:r>
        <w:t>POSSIBLE 2019: A protocol to develop Shared Socio-economic Pathways for European agriculture — https://doi.org/10.1016/j.jenvman.2019.109701</w:t>
      </w:r>
    </w:p>
    <w:p>
      <w:r>
        <w:t>Shared claim-specific concepts: socio-economic, pathways, between, climate; EU scope visible. This is a provisional connection, not an outcome finding.</w:t>
      </w:r>
    </w:p>
    <w:p>
      <w:r>
        <w:t>Available abstract (not full text):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r>
        <w:t>POSSIBLE 2018: National Identities and Socio-Economic Development in European Union — https://openalex.org/W2904096159</w:t>
      </w:r>
    </w:p>
    <w:p>
      <w:r>
        <w:t>Shared claim-specific concepts: socio-economic, between; EU scope visible. This is a provisional connection, not an outcome finding.</w:t>
      </w:r>
    </w:p>
    <w:p>
      <w:r>
        <w:t>Available abstract (not full text): This paper analyses the relationship between identity and level of socio-economic development in the member states of the European Union. This work is an empirical study which uses original data on the number of national mottos and country logos, GDP/ Capita and Human Development Index (HDI) for 2016 disaggregated by states of the EU28. Our findings suggest the existence of a symmetrical interdependence between the consistency of national identities and the degree of socio-economic development, between which there is a relative territorial overlap. We attempt to demonstrate that the symmetry of their arrangement with each other maps out a community-wide asymmetry, resulting in a territorial cohesion deficit and segregated segregation of the Union, generating an asymmetric European Union with more identity-development speeds.</w:t>
      </w:r>
    </w:p>
    <w:p>
      <w:r>
        <w:t>POSSIBLE 2018: New European socio-economic scenarios for climate change research: operationalising concepts to extend the shared socio-economic pathways — https://doi.org/10.1007/s10113-018-1400-0</w:t>
      </w:r>
    </w:p>
    <w:p>
      <w:r>
        <w:t>Shared claim-specific concepts: socio-economic, pathways, climate; EU scope visible. This is a provisional connection, not an outcome finding.</w:t>
      </w:r>
    </w:p>
    <w:p>
      <w:r>
        <w:t>Available abstract (not full text): Scenarios have been recognised as a useful tool for planning, which have resulted in a strong increase in the number of (multi-scale) scenarios in climate change research. This paper addresses the need for methodological progress and testing of conceptual considerations, by extending the global shared socio-economic pathways (SSPs). We present a set of four European SSPs until 2100 and a novel method to develop qualitative stories for Europe equivalent to the global SSPs starting from an existing set of European scenarios. Similar to the global SSPs, the set includes a sustainable future with global cooperation and less intensive lifestyles (We are the World; Eur-SSP1); a future in which countries struggle to maintain living standards in a high-carbon intensive Europe (Icarus; Eur-SSP3); a world in which power becomes concentrated in a small elite and where Europe becomes an important player (Riders on the Storm; Eur-SSP4); and one where a lack of environmental concern leads to the over-exploitation of fossil fuel resources addressed by technological solutions (Fossil-fuelled Development; Eur-SSP5). We conclude that the global SSPs are a good starting point for developing equivalent continental scale scenarios that, in turn, can serve multiple purposes. There are, however, methodological challenges related to the choice for equivalence and the exact methods by which scenarios a</w:t>
      </w:r>
    </w:p>
    <w:p>
      <w:r>
        <w:t>POSSIBLE 2016: European Union policy for the socio-economic development of Africa — https://doi.org/10.22630/amme.2016.2.1.3</w:t>
      </w:r>
    </w:p>
    <w:p>
      <w:r>
        <w:t>Shared claim-specific concepts: socio-economic, between, current; EU scope visible. This is a provisional connection, not an outcome finding.</w:t>
      </w:r>
    </w:p>
    <w:p>
      <w:r>
        <w:t>Available abstract (not full text): The main goal of the research was to show the European Union’s policy towards the regional development of the African continent. Recently, Africa has played a very important role on the international political arena and it has been empowered thanks to a plentiful supply of raw materials. The Communities’ help is based mainly on financial support and promotion of the Mediterranean area. Under the long-term cooperation between the two continents, many agreements, acts, and documents have been signed that would directly benefit the African states and indirectly help the entire European Union. While these documents and agreements cover a variety of matters, including environmental protection and human rights, they are diffuse and lack clear goals. The article relies on the relevant and current literature and a variety of statistics.</w:t>
      </w:r>
    </w:p>
    <w:p>
      <w:pPr>
        <w:pStyle w:val="Heading2"/>
      </w:pPr>
      <w:r>
        <w:t>Futurescapes: expectations in Europe for relative effectiveness evidence for drugs in 2020</w:t>
      </w:r>
    </w:p>
    <w:p>
      <w:r>
        <w:t>Original source (2015): https://doi.org/10.2217/cer.15.7</w:t>
      </w:r>
    </w:p>
    <w:p>
      <w:r>
        <w:t>Original wording (abstract; indexed_source_text_not_full_document_verified): The most likely scenario entailed some change with postlaunch regulatory studies driving the likely nature of RE evidence generated.</w:t>
      </w:r>
    </w:p>
    <w:p>
      <w:r>
        <w:t>POSSIBLE 2025: Seasonal Climate Change in Europe Over the Last Thousand Years as a Social Challenge — https://doi.org/10.1093/acrefore/9780190228620.013.980</w:t>
      </w:r>
    </w:p>
    <w:p>
      <w:r>
        <w:t>Shared claim-specific concepts: likely, entailed; EU scope visible. This is a provisional connection, not an outcome finding.</w:t>
      </w:r>
    </w:p>
    <w:p>
      <w:r>
        <w:t>Available abstract (not full text): Abstract This is likely the first time that a climatologist and a historian have jointly written a book about seasonal temperature conditions and their societal impact. Together, they reconstructed and climatologically interpreted weather reports in historical documents. Results were compared with population trends. Narrative reports often include proxy data such as plant development and reports about ice and snow cover. From this information, a seven-level temperature index is obtained for statistically estimating seasonal and annual temperature conditions. Before the 20th century, changes in the Earth’s orbital motion significantly influenced the millennial-scale decline in annual temperatures since the mid-Holocene, with a low point in the 19th century. Without the use of fossil fuels, the 20th century would have been even colder than the late 19th century. At the decadal to secular time scale, temperature fluctuations before the massive increase in greenhouse gases in the 20th century were mainly influenced by groups of volcanic eruptions, fluctuations in solar activity, and the internal (stochastic) system variability of the climate system. Winters were cold throughout the millennium. Summers were mostly balanced, disregarding a high number of warm summers in the 13th century, which allowed figs and olives to ripen in the Cologne area. The anthropogenic long-term rise in a</w:t>
      </w:r>
    </w:p>
    <w:p>
      <w:pPr>
        <w:pStyle w:val="Heading2"/>
      </w:pPr>
      <w:r>
        <w:t>How far away is hydrogen? Its role in the medium and long-term decarbonisation of the European energy system</w:t>
      </w:r>
    </w:p>
    <w:p>
      <w:r>
        <w:t>Original source (2015): https://doi.org/10.1016/j.ijhydene.2015.09.004</w:t>
      </w:r>
    </w:p>
    <w:p>
      <w:r>
        <w:t>Original wording (abstract; indexed_source_text_not_full_document_verified): In this paper, the JRC-EU-TIMES model – a bottom-up, technology-rich model of the EU28 energy system – is used to assess the role of hydrogen in a future decarbonised Europe under two climate scenarios, current policy initiative (CPI) and long-term decarbonisation (CAP). Our results indicate that hydrogen could become a viable option already in 2030 – however, a long-term CO 2 cap is needed to sustain the transition.</w:t>
      </w:r>
    </w:p>
    <w:p>
      <w:r>
        <w:t>POSSIBLE 2026: JRC Statistical Audit of the Quality of Life index — https://doi.org/10.2760/3318126</w:t>
      </w:r>
    </w:p>
    <w:p>
      <w:r>
        <w:t>Shared claim-specific concepts: two, initiative; EU scope not established. This is a provisional connection, not an outcome finding.</w:t>
      </w:r>
    </w:p>
    <w:p>
      <w:r>
        <w:t>Available abstract (not full text): The JRC-COIN statistical audit finds that the Human Rights Measurement Initiative’s income-adjusted Quality of Life (QoL) Index rests on a strong and transparent methodological foundation and provides a credible basis for comparing countries’ performance on economic and social rights. Covering 18 indicators across five pillars and two income-specific indicator sets, the audit successfully reproduced the published results, found generally satisfactory data quality and correlation patterns, and showed that most indicators carry meaningful information into the overall index. Some weaker links remain, in the Health, Housing and Food dimensions and in the education-quality indicator for low- and middle-income countries. Sensitivity and uncertainty analysis based on 4 000 alternative model runs shows that the index is robust overall: 78 % of low- and middle-income country scores and 95 % of high-income country scores are robust to frontier estimation and penalty strength. At the same time, the audit identifies practical ways to strengthen the framework, including replacing weakly aligned indicators, shortening the 10-year imputation look-back period where feasible, and considering more transparent frontier-setting methods such as Data Envelopment Analysis. For policymakers, the message is clear: the HRMI QoL Index is already a valuable tool for monitoring rights performance, and targ</w:t>
      </w:r>
    </w:p>
    <w:p>
      <w:r>
        <w:t>POSSIBLE 2025: Monitoring the impact of EU F-gas regulation on HFC-134a emissions through a comparison of top-down and bottom-up estimates — https://doi.org/10.1186/s12302-025-01081-1</w:t>
      </w:r>
    </w:p>
    <w:p>
      <w:r>
        <w:t>Shared claim-specific concepts: bottom-up, used, two; EU scope visible. This is a provisional connection, not an outcome finding.</w:t>
      </w:r>
    </w:p>
    <w:p>
      <w:r>
        <w:t>Available abstract (not full text): Abstract HFC-134a is the most prevalent hydrofluorocarbon used as a replacement for ozone-depleting CFCs and HCFCs. Due to its high global warming potential, it is regulated under various European and global frameworks, underscoring the importance of tracking its emissions. Emissions derived by the commonly used, bottom-up, methodology are affected by a certain degree of uncertainty. The bottom-up estimates can be aided with an independent top-down estimate based on atmospheric observations combined with an atmospheric transport model. This study presents HFC-134a emissions for Europe, with a specific focus on Italy, from 2008 to 2023. The emissions were estimated using a Bayesian inversion methodology, based on atmospheric observations collected at four European stations. Our analysis reveals a slightly increasing trend in HFC-134a emissions for Italy from 2008 to 2015 of 0.17 Gg/yr, followed by a steady decrease thereafter, highlighting the effect of European regulation on fluorinated gases that came into force in 2014. We observed a reduction in HFC-134a emissions in the Po Basin inferred from the inversion method for 2020, likely due to mobility restrictions imposed during the COVID-19 pandemic. The observed mild seasonality in emissions may be partly attributed to higher air-conditioning activity during summer. A comparison with the Italian national emission inventories sh</w:t>
      </w:r>
    </w:p>
    <w:p>
      <w:r>
        <w:t>POSSIBLE 2024: TIMES-Europe: An Integrated Energy System Model for Analyzing Europe’s Energy and Climate Challenges — https://doi.org/10.1007/s10666-024-09976-8</w:t>
      </w:r>
    </w:p>
    <w:p>
      <w:r>
        <w:t>Shared claim-specific concepts: energy, system, used, role, climate; EU scope visible. This is a provisional connection, not an outcome finding.</w:t>
      </w:r>
    </w:p>
    <w:p>
      <w:r>
        <w:t>Available abstract (not full text): Abstract This paper introduces TIMES-Europe, a novel integrated multi-sectoral energy system optimization model for Europe based on the TIMES generator. We describe its main specifications and assumptions as well as its underlying methodology, and summarize the type of policy questions that it can help answering. TIMES-Europe can be used to analyze policy instruments designed for implementing the EU Green Deal and Fit-for-55 program, and to create strategic energy decarbonization and climate change mitigation insights for Europe against the backdrop of its interactions and relations with neighboring countries. Thanks to its technology richness across all main sectors—including power production, transport, industry and the commercial, agricultural and residential sectors—it allows for performing in-depth studies on the role of a large range of low-carbon options in the energy transition of all European countries, both jointly and individually. Three characteristics render TIMES-Europe particularly valuable: (1) it covers the entire European energy system and its main greenhouse gas emissions, (2) it includes all EU member states individually as well as a large set of countries in the EU’s vicinity, and (3) it can be used to generate high-level strategic insights as well as detailed recommendations for both national and EU policies. TIMES-Europe is especially suitable for analyzi</w:t>
      </w:r>
    </w:p>
    <w:p>
      <w:r>
        <w:t>POSSIBLE 2021: Second bottom-up model simulations : Deliverably D3.5 — https://openalex.org/W3211137343</w:t>
      </w:r>
    </w:p>
    <w:p>
      <w:r>
        <w:t>Shared claim-specific concepts: bottom-up, system, role; EU scope visible. This is a provisional connection, not an outcome finding.</w:t>
      </w:r>
    </w:p>
    <w:p>
      <w:r>
        <w:t>Available abstract (not full text): Models play a crucial role in the quantification of GHG emissions. They can extrapolate and interpolate measurements spatially and temporally. Different models are designed for different purposes, from data-driven models that make the most efficient use of existing data, to process-based models which provide increased resolution of underlying driving mechanisms. VERIFY incorporates a wide variety of different model types to enable the system to respond to a far-reaching host of questions.Therefore, the aim of this WP is to simulate terrestrial carbon fluxes in both natural and anthropogenic systems. Using harmonized input data collected and reported on in D3.2, WP3 produced a variety of gridded flux and stock estimates of carbon within Europe. This particular deliverable shows carbon dioxide emissions from croplands, grasslands, and forests across the continent, using a variety of approaches. These approaches include models making extensive use of country-level statistics, those aiming for comprehensive descriptions of ecosystem processes, and statistical upscaling of site-level results to the continental scale.This deliverable provides details about the results of the second round of simulations from the bottom-up land models. Simulation methods will be improved during the course of the project, reflecting new scientific and technical understanding.</w:t>
      </w:r>
    </w:p>
    <w:p>
      <w:r>
        <w:t>POSSIBLE 2021: Electric vehicle charging network in Europe: An accessibility and deployment trends analysis — https://doi.org/10.1016/j.trd.2021.102813</w:t>
      </w:r>
    </w:p>
    <w:p>
      <w:r>
        <w:t>Shared claim-specific concepts: bottom-up; EU scope visible. This is a provisional connection, not an outcome finding.</w:t>
      </w:r>
    </w:p>
    <w:p>
      <w:r>
        <w:t>Available abstract (not full text): If coupled with a low-carbon electricity mix, electric vehicles (EVs) can represent an important technology for transport decarbonization and local pollutants abatement. Yet, to ensure large-scale EVs adoption, an adequate charging stations network must be developed. This paper provides the first comprehensive bottom-up analysis of the EV charging network in Europe. Combining a crowd-sourced database of charging stations with accessibility data and algorithms, we produce maps of the travel time to the most accessible EV charging station across Europe, we evaluate the charging points density and the number of active operators in different areas. We find that although recent years have witnessed a notable expansion of the EV charging network, stark inequalities persist across and within countries, both in terms of accessibility and of the charging points available to users. Our results allow for a better understanding of some of the key challenges ahead for ensuring mass EVs adoption throughout Europe and thus potentially reducing the environmental impact of the transport sector.</w:t>
      </w:r>
    </w:p>
    <w:p>
      <w:r>
        <w:t>POSSIBLE 2020: Classification and challenges of bottom-up energy system models - A review — https://doi.org/10.1016/j.rser.2020.109917</w:t>
      </w:r>
    </w:p>
    <w:p>
      <w:r>
        <w:t>Shared claim-specific concepts: bottom-up, energy, system, used, current, long-term; EU scope not established. This is a provisional connection, not an outcome finding.</w:t>
      </w:r>
    </w:p>
    <w:p>
      <w:r>
        <w:t>Available abstract (not full text): This paper reviews the classification schemes used for bottom-up energy system modelling and proposes a novel one as re-elaboration of the previous schemes. Moreover, this paper identifies that the main challenges of this research field rotate around the concept of resolution. A matrix of challenges in which four main fields are identified: resolution in time, in space, in techno-economic detail and in sector-coupling. These main fields are divided into different levels of resolution: low, medium and high. The use of a low resolution introduces errors in the modelling as demonstrated by different studies. Several existing bottom-up energy system models are reviewed in order to classify them according to the proposed approach and map them through the proposed matrix. 13 different models are analyzed in the category of bottom-up short-term and 9 as bottom-up long-term energy system models. The following mapping shows how several models reach a high level of resolution in one or more than one area. However, the ultimate challenge is the simultaneous achievement of high resolution in all these fields. The literature review has shown how this final aim is not reached by any model at the current stage and it highlights the gap and weaknesses of this branch of research and the direction versus which is important to work to improve this type of modelling.</w:t>
      </w:r>
    </w:p>
    <w:p>
      <w:r>
        <w:t>POSSIBLE 2020: Critically reviewing smart home technology applications and business models in Europe — https://doi.org/10.1016/j.enpol.2020.111631</w:t>
      </w:r>
    </w:p>
    <w:p>
      <w:r>
        <w:t>Shared claim-specific concepts: energy, climate, become; EU scope visible. This is a provisional connection, not an outcome finding.</w:t>
      </w:r>
    </w:p>
    <w:p>
      <w:r>
        <w:t>Available abstract (not full text):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r>
        <w:t>POSSIBLE 2020: HERMESv3, a stand-alone multi-scale atmospheric emission modelling framework – Part 2: The bottom–up module — https://doi.org/10.5194/gmd-13-873-2020</w:t>
      </w:r>
    </w:p>
    <w:p>
      <w:r>
        <w:t>Shared claim-specific concepts: bottom-up, system, two; EU scope visible. This is a provisional connection, not an outcome finding.</w:t>
      </w:r>
    </w:p>
    <w:p>
      <w:r>
        <w:t>Available abstract (not full text): Abstract. We describe the bottom-up module of the High-Elective Resolution Modelling Emission System version 3 (HERMESv3), a python-based and multiscale modelling tool intended for the processing and computation of atmospheric emissions for air quality modelling. HERMESv3 is composed of two separate modules: the global_regional module and the bottom_up module. In a companion paper (Part 1, Guevara et al., 2019) we presented the global_regional module. The bottom_up module described in this contribution is an emission model that estimates anthropogenic emissions at high spatial (e.g. road link level) and temporal (hourly) resolution using state-of-the-art calculation methods that combine local activity and emission factors along with meteorological data. The model computes bottom-up emissions from point sources, road transport, residential and commercial combustion, other mobile sources and agricultural activities. The computed pollutants include main criteria pollutants (i.e. NOx, CO, NMVOC, SOx, NH3, PM10 and PM2.5) and greenhouse gases (i.e. CO2 and CH4, only related to combustion processes). Specific emission estimation methodologies are provided for each source, and are mostly based on (but not limited to) the calculation methodologies reported by the European EMEP/EEA air pollutant emission inventory guidebook. Meteorological-dependent functions are also included to take i</w:t>
      </w:r>
    </w:p>
    <w:p>
      <w:r>
        <w:t>POSSIBLE 2019: Modelling flexible power demand and supply in the EU power system: soft-linking between JRC-EU-TIMES and the open-source Dispa-SET model — https://openalex.org/W3002138420</w:t>
      </w:r>
    </w:p>
    <w:p>
      <w:r>
        <w:t>Shared claim-specific concepts: jrc-eu-times, eu28, energy, system, used, assess; EU scope visible. This is a provisional connection, not an outcome finding.</w:t>
      </w:r>
    </w:p>
    <w:p>
      <w:r>
        <w:t>Available abstract (not full text): Modelling the variability of renewable energy sources together with flexible and/or storage technologies is highly relevant for the current EU power system. Dispa-SET is an open-source unit commitment and optimal dispatch model that covers various energy sectors (power systems, heating &amp; cooling, transportation) and the 26 European countries plus Switzerland and Norway. It uses high-resolution time series for the demands, renewable generation and outages to optimize the system operation under technical constraints (e.g. maximum ramping rates of power plants, interconnection capacities, heating &amp; cooling constraints, etc.). This work evaluates the application of the model on the ENTSOE EU28 open-dataset and calibrates critical inputs such as renewables availability, power plant outages, hydro levels and power demands to match historic data for the year 2016. The calibrated model is finally used to assess the implementation of future low carbon EU strategies and policies through several “what if” scenarios and soft linking with the JRC-EU-TIMES model.</w:t>
      </w:r>
    </w:p>
    <w:p>
      <w:r>
        <w:t>POSSIBLE 2019: Life cycle assessment integration into energy system models: An application for Power-to-Methane in the EU — https://doi.org/10.1016/j.apenergy.2019.114160</w:t>
      </w:r>
    </w:p>
    <w:p>
      <w:r>
        <w:t>Shared claim-specific concepts: jrc-eu-times, energy, system, used, climate, indicate; EU scope visible. This is a provisional connection, not an outcome finding.</w:t>
      </w:r>
    </w:p>
    <w:p>
      <w:r>
        <w:t>Available abstract (not full text): As the EU energy system transitions to low carbon, the technology choices should consider a broader set of criteria. The use of Life Cycle Assessment (LCA) prevents burden shift across life cycle stages or impact categories, while the use of Energy System Models (ESM) allows evaluating alternative policies, capacity evolution and covering all the sectors. This study does an ex-post LCA analysis of results from JRC-EU-TIMES and estimates the environmental impact indicators across 18 categories in scenarios that achieve 80–95% CO2 emission reduction by 2050. Results indicate that indirect CO2 emissions can be as large as direct ones for an 80% CO2 reduction target and up to three times as large for 95% CO2 reduction. Impact across most categories decreases by 20–40% as the CO2 emission target becomes stricter. However, toxicity related impacts can become 35–100% higher. The integrated framework was also used to evaluate the Power-to-Methane (PtM) system to relate the electricity mix and various CO2 sources to the PtM environmental impact. To be more attractive than natural gas, the climate change impact of the electricity used for PtM should be 123–181 gCO2eq/kWh when the CO2 comes from air or biogenic sources and 4–62 gCO2eq/kWh if the CO2 is from fossil fuels. PtM can have an impact up to 10 times larger for impact categories other than climate change. A system without PtM resu</w:t>
      </w:r>
    </w:p>
    <w:p>
      <w:r>
        <w:t>POSSIBLE 2019: How will second-use of batteries affect stocks and flows in the EU? A model for traction Li-ion batteries — https://doi.org/10.1016/j.resconrec.2019.02.022</w:t>
      </w:r>
    </w:p>
    <w:p>
      <w:r>
        <w:t>Shared claim-specific concepts: energy, two; EU scope visible. This is a provisional connection, not an outcome finding.</w:t>
      </w:r>
    </w:p>
    <w:p>
      <w:r>
        <w:t>Available abstract (not full text): Although not yet developed in Europe, second-use of traction batteries enables an extension of their lifetime and potentially improves life cycle environmental performance. Li-ion batteries (LIBs) offer the most promising chemistry for traction batteries in electric vehicles (xEVs) and for second-use. Due to the novelty of the topic and the expected increase of e-mobility in the next decades, more efforts to understand the potential consequences of second-use of batteries from different perspectives are needed. This paper develops a dynamic, parameterised Material Flow Analysis (MFA) model to estimate stocks and flows of LIBs after their removal from xEVs along the specific processes of the european value-chain. Direct reuse, second-use and recycling are included in the model and parameters make it customisable and updatable. Focusing on full and plug-in electric vehicles, LIBs and energy storage capacity flows are estimated. Stocks and flows of two embedded materials relevant for Europe were also assessed (cobalt and lithium). Results showed that second-use corresponds to a better exploitation of LIBs' storage capacity. Meanwhile, Co and Li in-use stocks are locked in LIBs and their recovery is delayed by second-use; depending on the slower/faster development of second-use, the amount of Co available for recycling in 2030 ranges between 9% and 15% of Co demand and between 7 an</w:t>
      </w:r>
    </w:p>
    <w:p>
      <w:r>
        <w:t>POSSIBLE 2018: VEIN v0.2.2: an R package for bottom–up vehicular emissions inventories — https://doi.org/10.5194/gmd-11-2209-2018</w:t>
      </w:r>
    </w:p>
    <w:p>
      <w:r>
        <w:t>Shared claim-specific concepts: bottom-up, used, climate, current; EU scope not established. This is a provisional connection, not an outcome finding.</w:t>
      </w:r>
    </w:p>
    <w:p>
      <w:r>
        <w:t>Available abstract (not full text): Abstract. Emission inventories are the quantification of pollutants from different sources. They provide important information not only for climate and weather studies, but also for urban planning and environmental health protection. We developed an open source model (named VEIN v0.2.2) that provides high resolution vehicular emissions inventories for different fields of studies. We focused on vehicular sources at street and hourly levels % they are the major source of air pollution in megacities. due to the current lack of information about these sources, mainly in developing countries. The type of emissions covered by VEIN are: exhaust (hot and cold) and evaporative considering the deterioration of the factors. VEIN also performs speciation and incorporates functions to generate and spatially allocate emissions databases. It allows users to load their own emissions factors, but it also provides emissions factors from the road transport model (Copert), the United States Environmental Protection Agency (EPA) and Brazilian databases. The VEIN model reads, distributes by age of use and extrapolates hourly traffic data, and estimates hourly and spatially emissions. Based on our knowledge, VEIN is the first bottom-up vehicle emissions software that allows input to the WRF-Chem model. Therefore, the VEIN model provides an important, easy and fast way of elaborating or analyzing vehi</w:t>
      </w:r>
    </w:p>
    <w:p>
      <w:pPr>
        <w:pStyle w:val="Heading2"/>
      </w:pPr>
      <w:r>
        <w:t>Imagining energy futures: Sociotechnical imaginaries of the future Smart Grid in Norway</w:t>
      </w:r>
    </w:p>
    <w:p>
      <w:r>
        <w:t>Original source (2015): https://doi.org/10.1016/j.erss.2015.08.015</w:t>
      </w:r>
    </w:p>
    <w:p>
      <w:r>
        <w:t>Original wording (abstract; indexed_source_text_not_full_document_verified): A future “Smart Grid” is increasingly being embraced in energy policies as a promising energy scenario for the future, with the introduction of “smart” electricity meters being seen as the first step. The paper suggests that increased openness and the inclusion of multiple perspectives and ways of knowing, inspired by post-normal science, could facilitate more careful consideration of potential social implications.</w:t>
      </w:r>
    </w:p>
    <w:p>
      <w:r>
        <w:t>POSSIBLE 2023: Smart Energy Meters for Smart Grids, an Internet of Things Perspective — https://doi.org/10.3390/en16041974</w:t>
      </w:r>
    </w:p>
    <w:p>
      <w:r>
        <w:t>Shared claim-specific concepts: smart, grid, energy, electricity, meters, seen; EU scope not established. This is a provisional connection, not an outcome finding.</w:t>
      </w:r>
    </w:p>
    <w:p>
      <w:r>
        <w:t>Available abstract (not full text): Smart energy has evolved over the years to include multiple domains integrated across multiple technology themes, such as electricity, smart grid, and logistics, linked through communication technology and processed in the cloud in a holistic way to deliver on global challenges. Advances in sensing, communication, and computation technologies have been made that enable better smart system implementations. In smart energy systems, sensing technologies have spanned multiple domains with newer techniques that are more accurate, have greater dynamic ranges, and are more reliable. Similarly, communication techniques have now evolved into very high-speed, flexible, and dynamic systems. Computation techniques have seen a quantum leap with greater integration, powerful computing engines, and versatile software stacks that are easily available and modifiable. Finally, the system integration has also seen advances in the form of management, automation, and analytics paradigms. Consequently, smart energy systems have witnessed a revolutionary transformation. The complexity has correspondingly grown exponentially. With regard to smart meters, the measurement component has to scale up to meet the demands of the evolved energy eco-system by relying on the advancements offered. The internet of things (IoT) is a key technology enabler in this scenario, and the smart meter is a key component. I</w:t>
      </w:r>
    </w:p>
    <w:p>
      <w:r>
        <w:t>POSSIBLE 2023: From Smart Grids to Super Smart Grids: A Roadmap for Strategic Demand Management for Next Generation SAARC and European Power Infrastructure — https://doi.org/10.1109/access.2023.3241686</w:t>
      </w:r>
    </w:p>
    <w:p>
      <w:r>
        <w:t>Shared claim-specific concepts: smart, energy, electricity, step, multiple; EU scope visible. This is a provisional connection, not an outcome finding.</w:t>
      </w:r>
    </w:p>
    <w:p>
      <w:r>
        <w:t>Available abstract (not full text): Due to an increasing of demands of electricity in a world on regular basis, different continents will initiate a step towards transforming their smart grids infrastructure into super smart grids (SSGs), in which various countries in a continent will take a step towards an interconnection of their power system networks with one another to manage their futuristic demands conditions. The concept of SSGs system is predicated due to extensive use of modern technology, digital communication, machine learning and modern information techniques for the present power generating system to be more accurate and feature on balancing demand and supply. The SSGs uses renewable energy resources to support power system of multiple countries by reducing the greenhouse gases emissions. The main purpose of transforming smart grids into SSGs is to balance the demands and supply between multiple countries, if each country is not able to manage their own demands profiles. The environmental conditions, lack of energy management, intermittent nature of renewable energy resources and line losses are the major hurdles to provide regular supply. This research work focused about the hurdles in the form of technical challenges that will be arises in case of developing a futuristic SSGs for European and SAARC continents, and thus provide a valuable solution for it along with discussion about the future resear</w:t>
      </w:r>
    </w:p>
    <w:p>
      <w:r>
        <w:t>POSSIBLE 2022: Mobility in the Smart Grid: Roaming Protocols for EV Charging — https://doi.org/10.1109/tsg.2022.3202608</w:t>
      </w:r>
    </w:p>
    <w:p>
      <w:r>
        <w:t>Shared claim-specific concepts: smart, grid, increasingly, openness; EU scope visible. This is a provisional connection, not an outcome finding.</w:t>
      </w:r>
    </w:p>
    <w:p>
      <w:r>
        <w:t>Available abstract (not full text): While most smart grids approaches assume that the user consumes services in a fixed location, the case of charging Battery Electric Vehicles (BEVs) adds an interesting mobility dimension. Drivers increasingly need to rely on public charging facilities, and given local grid conditions, such facilities often cannot offer their services without smart charging and tight integration in the smart grid. In analogy with mobile telecommunications, stakeholders in the field of EV charging have developed EV roaming protocols to allow for a mobility dimension, and, for some, add smart grid integration. However, this development is still in its early phase, and in Europe, there are at least four different, mutually incompatible protocols in use. In this paper, we investigate the history of these protocols, their characteristics – especially in relation to the smart grid – and investigate their openness and neutrality. We then explore scenarios for future development towards a single standard, also taking the regulatory dimension into consideration. We end with a reflection on the development of standards for the smart grid.</w:t>
      </w:r>
    </w:p>
    <w:p>
      <w:r>
        <w:t>POSSIBLE 2022: Quantum computing for smart grid applications — https://doi.org/10.1049/gtd2.12602</w:t>
      </w:r>
    </w:p>
    <w:p>
      <w:r>
        <w:t>Shared claim-specific concepts: smart, grid, energy, promising; EU scope not established. This is a provisional connection, not an outcome finding.</w:t>
      </w:r>
    </w:p>
    <w:p>
      <w:r>
        <w:t>Available abstract (not full text): Abstract Computational complexities in modern power systems are reportedly increasing daily, and it is anticipated that traditional computers might be inadequate to provide the computation prerequisite in future complex power grids. In that given context, quantum computing (QC) can be considered a next‐generation alternative solution to deal with upcoming computational challenges in smart grids. The QC is a relatively new yet promising technology that leverages the unique phenomena of quantum mechanics in processing information and computations. This emerging paradigm shows a significant potential to overcome the barrier of computational limitations with better and faster solutions in optimization, simulations, and machine learning problems. In recent years, substantial progress in developing advanced quantum hardware, software, and algorithms have made QC more feasible to apply in various research areas, including smart grids. It is evident that considerable research has already been carried out, and such efforts are remarkably continuing. As QC is a highly evolving field of study, a brief review of the existing literature will be vital to realize the state‐of‐art on QC for smart grid applications. Therefore, this article summarizes the research outcomes of the most recent papers, highlights their suggestions for utilizing QC techniques for various smart grid applications, and</w:t>
      </w:r>
    </w:p>
    <w:p>
      <w:r>
        <w:t>POSSIBLE 2021: 2021 IEEE PES Innovative Smart Grid Technologies Europe (ISGT-Europe) — https://doi.org/10.1109/isgteurope52324.2021.9640224</w:t>
      </w:r>
    </w:p>
    <w:p>
      <w:r>
        <w:t>Shared claim-specific concepts: smart, grid, energy, perspectives; EU scope visible. This is a provisional connection, not an outcome finding.</w:t>
      </w:r>
    </w:p>
    <w:p>
      <w:r>
        <w:t>Available abstract (not full text): Power grids are evolving into smart grids in order to create a sustainable energy system.Decentralized, intermittent generation and demand management needs, among other things, make the grid more dynamic and demanding, thus posing a management challenge.Communication and information technologies are used extensively to address this challenge.Wider penetration of open, public communication networks and information technologies induces vulnerabilities into the system.Furthermore, critical infrastructure assets, such as power grids, are primary targets in cyber warfare and cyber criminality.The panelists will share experiences on reliability and security of power grids with perspectives of resilience, cybersecurity, operation and control, data-driven approaches, and mobile communication.</w:t>
      </w:r>
    </w:p>
    <w:p>
      <w:r>
        <w:t>POSSIBLE 2021: A Survey on Energy Efficiency in Smart Homes and Smart Grids — https://doi.org/10.3390/en14217273</w:t>
      </w:r>
    </w:p>
    <w:p>
      <w:r>
        <w:t>Shared claim-specific concepts: smart, grid, energy, electricity; EU scope visible. This is a provisional connection, not an outcome finding.</w:t>
      </w:r>
    </w:p>
    <w:p>
      <w:r>
        <w:t>Available abstract (not full text): Empowered by the emergence of novel information and communication technologies (ICTs) such as sensors and high-performance digital communication systems, Europe has adapted its electricity distribution network into a modern infrastructure known as a smart grid (SG). The benefits of this new infrastructure include precise and real-time capacity for measuring and monitoring the different energy-relevant parameters on the various points of the grid and for the remote operation and optimization of distribution. Furthermore, a new user profile is derived from this novel infrastructure, known as a prosumer (a user that can produce and consume energy to/from the grid), who can benefit from the features derived from applying advanced analytics and semantic technologies in the rich amount of big data generated by the different subsystems. However, this novel, highly interconnected infrastructure also presents some significant drawbacks, like those related to information security (IS). We provide a systematic literature survey of the ICT-empowered environments that comprise SGs and homes, and the application of modern artificial intelligence (AI) related technologies with sensor fusion systems and actuators, ensuring energy efficiency in such systems. Furthermore, we outline the current challenges and outlook for this field. These address new developments on microgrids, and data-driven e</w:t>
      </w:r>
    </w:p>
    <w:p>
      <w:r>
        <w:t>POSSIBLE 2020: Smart grid encounters edge computing: opportunities and applications — https://doi.org/10.1016/j.adapen.2020.100006</w:t>
      </w:r>
    </w:p>
    <w:p>
      <w:r>
        <w:t>Shared claim-specific concepts: smart, grid, first; EU scope not established. This is a provisional connection, not an outcome finding.</w:t>
      </w:r>
    </w:p>
    <w:p>
      <w:r>
        <w:t>Available abstract (not full text): Smart grids (SGs) are reforming towards utilizing massive data for operations and services. During this reform, the information and communication technologies (ICTs) play a critical role, especially for the computing model, which determines how data analytics in SG can be executed. Edge computing (EC), a novel computing paradigm innovation, has high potential to help with the digitization of SG. This paper seeks to provide a comprehensive review of interdisciplinary research on EC applications in SG. First, an in-depth analysis of EC, including the definition, architectures, characteristics, and key enabling technologies is conducted from the perspective of SG application requirements. Afterward, this paper systematically explores application scenarios of EC in SG based on its characteristics. Beyond that, the synergistic effect of the integration of EC and SG is also assessed: SG not only benefits from EC but also supports EC to become sustainable. Challenges and open questions are then investigated.</w:t>
      </w:r>
    </w:p>
    <w:p>
      <w:r>
        <w:t>POSSIBLE 2019: Determinants of the Smart Grid in energy projects — https://openalex.org/W2942906542</w:t>
      </w:r>
    </w:p>
    <w:p>
      <w:r>
        <w:t>Shared claim-specific concepts: smart, grid, increasingly, energy, electricity; EU scope visible. This is a provisional connection, not an outcome finding.</w:t>
      </w:r>
    </w:p>
    <w:p>
      <w:r>
        <w:t>Available abstract (not full text): The development of electricity networks depends mainly on new technologies. Smart Grid – an intelligent, multi-grid is a tool for the future efficient use of increasingly expensive energy resources. In general, the implementation of intelligent networks will benefit individual customers, the national economy and the environment. Europe is now seeking to increase energy efficiency and reduce greenhouse gas emissions. The Smart Grid is a challenge which seeks to achieve this ambitious goal. The article presents the ideas of intelligent networks that will help energy companies to increase the reliability of energy supply and operational efficiency, expanding the scope of measurement and control of power systems and management of new technologies, even in the farthest points of the grid.</w:t>
      </w:r>
    </w:p>
    <w:p>
      <w:r>
        <w:t>POSSIBLE 2018: Unbundled Smart meters in the new smart grid era: Assessment on compatibility with European standardisation efforts and with IoT features — https://doi.org/10.1109/melcon.2018.8379064</w:t>
      </w:r>
    </w:p>
    <w:p>
      <w:r>
        <w:t>Shared claim-specific concepts: smart, grid, increasingly, energy, meters; EU scope visible. This is a provisional connection, not an outcome finding.</w:t>
      </w:r>
    </w:p>
    <w:p>
      <w:r>
        <w:t>Available abstract (not full text): With the new active distribution network where distributed energy resources are increasingly present and where Smart meters will become the most ubiquitous equipment in low voltage (LV) networks, the paper presents a new Smart Meter solution and a corresponding MV/LV dispatch center to contribute to both new energy market challenges as well as to Smart Grid services and evolving requirements. We are addressing some specific aspects of observability in LV network, based on wide-spread IP communication solutions, such as Synchro-SCADA and data anonymization, and presenting network services to assist dispatch, using also background network programs in LV such as power flow and state estimator. Moreover, the paper is analyzing and proposing a unifying approach for both Smart Meters and Smart Grid architectures, to allow a complex Smart Grid functionality and with Internet if Things features. The concepts are in progress to be implemented in the European R&amp;D project NOBEL GRID and developed also in the project Storage4Grid, showing the potential for generality.</w:t>
      </w:r>
    </w:p>
    <w:p>
      <w:r>
        <w:t>POSSIBLE 2017: Power Quality aspects of Smart Grids — https://doi.org/10.24084/repqj08.583</w:t>
      </w:r>
    </w:p>
    <w:p>
      <w:r>
        <w:t>Shared claim-specific concepts: smart, grid, energy, introduction, seen; EU scope not established. This is a provisional connection, not an outcome finding.</w:t>
      </w:r>
    </w:p>
    <w:p>
      <w:r>
        <w:t>Available abstract (not full text): This paper gives an overview of the smart grids developments, seen from a power-quality viewpoint; describes the main relations between smart grids and power quality, and goes into some detail for some of the aspects. Different types of real and virtual energy storage are distinguished. Power-quality monitoring in the smart grid is discussed in detail. Further aspects discussed in the paper are: emission by new devices; interference between devices and power-line communication; allocation of emission limits; improving voltage quality; immunity of devices; and weakening of the transmission grid. Although the smart grid brings many new power-quality challenges, these should not result in the introduction of unnecessary barriers against the introduction of new technology.</w:t>
      </w:r>
    </w:p>
    <w:p>
      <w:r>
        <w:t>POSSIBLE 2016: From Smart Metering to Smart Grid — https://doi.org/10.1515/msr-2016-0017</w:t>
      </w:r>
    </w:p>
    <w:p>
      <w:r>
        <w:t>Shared claim-specific concepts: smart, grid, electricity; EU scope not established. This is a provisional connection, not an outcome finding.</w:t>
      </w:r>
    </w:p>
    <w:p>
      <w:r>
        <w:t>Available abstract (not full text): Abstract The paper deals with evaluation of measurements in electrical distribution systems aimed at better use of data provided by Smart Metering systems. The influence of individual components of apparent power on the power loss is calculated and results of measurements under real conditions are presented. The significance of difference between the traditional and the complex evaluation of the electricity consumption efficiency by means of different definitions of the power factor is illustrated.</w:t>
      </w:r>
    </w:p>
    <w:p>
      <w:r>
        <w:t>POSSIBLE 2016: Overview of power quality analysis and control technology for the smart grid — https://doi.org/10.1007/s40565-016-0185-8</w:t>
      </w:r>
    </w:p>
    <w:p>
      <w:r>
        <w:t>Shared claim-specific concepts: smart, grid, increasingly, energy; EU scope not established. This is a provisional connection, not an outcome finding.</w:t>
      </w:r>
    </w:p>
    <w:p>
      <w:r>
        <w:t>Available abstract (not full text): With the wide application of non-linear loads and the large-scale access of distributed energy generations based on power electronics equipments, power quality problems in the distribution network are increasingly serious with new characteristics. Further in-depth research is of great significance in theory and practice. This paper provides an overview of power quality analysis, compensators, and control technologies under the new situation of smart grid. It focuses on the topologies and control methods for power quality conditioners, especially new characteristics of power quality and applicable control technologies in microgrids and distributed power plants. Finally, trends and prospects of power quality control technology are introduced, which is important to achieve security and efficient operation of the smart grid.</w:t>
      </w:r>
    </w:p>
    <w:p>
      <w:pPr>
        <w:pStyle w:val="Heading2"/>
      </w:pPr>
      <w:r>
        <w:t>Investigating scenario planning – a European tourism perspective</w:t>
      </w:r>
    </w:p>
    <w:p>
      <w:r>
        <w:t>Original source (2015): https://doi.org/10.1108/jtf-12-2014-0020</w:t>
      </w:r>
    </w:p>
    <w:p>
      <w:r>
        <w:t>Original wording (abstract; indexed_source_text_not_full_document_verified): Purpose The purpose of this paper is to discuss the scenario planning approach developed and used by the European Tourism Futures Institute (ETFI). Design/methodology/approach This paper contains the following sections: mission and aims of the research group; epistemological and methodological positioning, conceptual framework and research lines for an applied scenario planning approach.</w:t>
      </w:r>
    </w:p>
    <w:p>
      <w:r>
        <w:t>POSSIBLE 2024: Launching a European Employee Stock Ownership Plan (European ESOP) — https://doi.org/10.1108/jpeo-06-2024-0010</w:t>
      </w:r>
    </w:p>
    <w:p>
      <w:r>
        <w:t>Shared claim-specific concepts: purpose, approach, developed, used, design, methodology; EU scope visible. This is a provisional connection, not an outcome finding.</w:t>
      </w:r>
    </w:p>
    <w:p>
      <w:r>
        <w:t>Available abstract (not full text): Purpose With a third of business successions failing, the EU is still confronted with a haemorrhage of around 150,000 enterprises and 600,000 jobs every year. Although 30 years of research have confirmed the positive effects of employee share ownership (ESO) for European enterprises and its important function for business succession, best practice, such as the US ESOP, is thinly spread across the EU. Nevertheless, Member States (MS) have developed a broad variety of ESO schemes involving intermediary entities to acquire and administer employee shares in the employer firm in particular for the transfer of businesses to employees. However, for small and medium enterprise (SME) owners the main barrier is still a lack of clearcut and transparent options to sell their enterprise to their employees and corresponding incentives to do so. In this light, this paper proposes a European approach, that is, a European Employee Stock Ownership Plan (European ESOP). Design/methodology/approach A “Common European ESOP Regime”, as a first step towards a “Common European Regime on EFP” would complement existing national laws aiming primarily at their harmonisation. As the name suggests, this would be a second contract law regime parallel to national legislation on ESO. Its objective is to eliminate obstacles to the single market that mainly, though not exclusively, stem from heterogeneous regula</w:t>
      </w:r>
    </w:p>
    <w:p>
      <w:r>
        <w:t>POSSIBLE 2024: An assessment of the state of conservation planning in Europe — https://doi.org/10.1098/rstb.2023.0015</w:t>
      </w:r>
    </w:p>
    <w:p>
      <w:r>
        <w:t>Shared claim-specific concepts: planning, approach, conceptual; EU scope visible. This is a provisional connection, not an outcome finding.</w:t>
      </w:r>
    </w:p>
    <w:p>
      <w:r>
        <w:t xml:space="preserve">Available abstract (not full text): Expanding and managing current habitat and species protection measures is at the heart of the European biodiversity strategy. A structured approach is needed to gain insights into such issues is systematic conservation planning, which uses techniques from decision theory to identify places and actions that contribute most effectively to policy objectives given a set of constraints. Yet culturally and historically determined European landscapes make the implementation of any conservation plans challenging, requiring an analysis of synergies and trade-offs before implementation. In this work, we review the scientific literature for evidence of previous conservation planning approaches, highlighting recent advances and success stories. We find that the conceptual characteristics of European conservation planning studies likely reduced their potential in contributing to better-informed decisions. We outline pathways towards improving the uptake of decision theory and multi-criteria conservation planning at various scales, particularly highlighting the need for (a) open data and intuitive tools, (b) the integration of biodiversity-focused conservation planning with multiple objectives, (c) accounting of dynamic ecological processes and functions, and (d) better facilitation of entry-points and co-design practices of conservation planning scenarios with stakeholders. By adopting and </w:t>
      </w:r>
    </w:p>
    <w:p>
      <w:r>
        <w:t>POSSIBLE 2023: Determining Urban Indicators in Local Plans—As One of the Sustainable Assumptions of the New European Bauhaus? — https://doi.org/10.3390/buildings14010100</w:t>
      </w:r>
    </w:p>
    <w:p>
      <w:r>
        <w:t>Shared claim-specific concepts: purpose, planning, used, following; EU scope visible. This is a provisional connection, not an outcome finding.</w:t>
      </w:r>
    </w:p>
    <w:p>
      <w:r>
        <w:t>Available abstract (not full text): The purpose of local spatial development plans in Poland is to shape spatial policy at the local level by establishing local law. On this basis, the intended use of land is determined, as well as the manner of its development. Some of the planning tools used are urban planning parameters and indicators, which are defined in planning documents at the local (commune) level. This article discusses the analyses of two selected urban indicators: the maximum built-up area and the minimum share of biologically active area, which are obligatorily determined in local plans. The issue here is a certain discrepancy between the planning provisions used in theory and their practical application. This paper uses a descriptive, computational, and comparative analytical research method to interpret the planning provisions used in selected Local Spatial Development Plans. This research will allow for answering of the following questions: Are the urban indicators defined by architects adapted to spatial needs? Do they allow for optimal shaping of this space, taking into account the provisions of Polish law? And is their skillful designation likely to be one of the sustainable assumptions of the New European Bauhaus?</w:t>
      </w:r>
    </w:p>
    <w:p>
      <w:r>
        <w:t>POSSIBLE 2019: Autonomous Road Vehicles: Challenges for Urban Planning in European Cities — https://doi.org/10.3390/urbansci3020061</w:t>
      </w:r>
    </w:p>
    <w:p>
      <w:r>
        <w:t>Shared claim-specific concepts: planning, used, design; EU scope visible. This is a provisional connection, not an outcome finding.</w:t>
      </w:r>
    </w:p>
    <w:p>
      <w:r>
        <w:t>Available abstract (not full text): Autonomous vehicles will significantly affect mobility conditions in the future. The changes in mobility conditions are expected to have an impact on urban development and, more specifically, on location choices, land use organisation and infrastructure design. Nowadays, there is not enough data for a real-life assessment of this impact. Experts estimate that autonomous vehicles will be available for uptake in the next decade. Therefore, urban planners should consider the possible impacts from autonomous vehicles on cities and the future challenges for urban planning. In this context, the present paper focuses on the challenges from the implementation of autonomous road vehicles for passenger transport in European cities. The analysis is based on a systematic review of research and policy. The main outcome of the analysis is a set of challenges for urban planning regarding the features of urban development, the local and European policy priorities, the current lack of data for planning and the potential for autonomous vehicles to be used by planners as data sources. The paper concludes that tackling these challenges is essential for the full exploitation of the autonomous vehicles’ potential to promote sustainable urban development.</w:t>
      </w:r>
    </w:p>
    <w:p>
      <w:r>
        <w:t>POSSIBLE 2018: Prevalence and incidence of myalgic encephalomyelitis/chronic fatigue syndrome in Europe—the Euro-epiME study from the European network EUROMENE: a protocol for a systematic review — https://doi.org/10.1136/bmjopen-2017-020817</w:t>
      </w:r>
    </w:p>
    <w:p>
      <w:r>
        <w:t>Shared claim-specific concepts: discuss, sections, methodological, applied; EU scope visible. This is a provisional connection, not an outcome finding.</w:t>
      </w:r>
    </w:p>
    <w:p>
      <w:r>
        <w:t xml:space="preserve">Available abstract (not full text): INTRODUCTION: Myalgic encephalomyelitis/chronic fatigue syndrome (ME/CFS) is a chronic disease involving central nervous system and immune system disorders, as well as cardiovascular abnormalities. ME/CFS is characterised by severe chronic fatigue lasting for at least 6 months, including clinical symptoms such as tender cervical or axillary lymph nodes, muscle pain, joint pain without swelling or redness, post-exertional malaise for more than 24 hours and unrefreshing sleep. Studies on the epidemiology of ME/CFS in Europe only include single countries and, therefore, the prevalence and incidence of ME/CFS in Europe (as a whole) is unknown. One of the purposes of the European Network on ME/CFS (EUROMENE; European Union-funded COST Action; Reference number: 15111) is to address this gap in knowledge. We will systematically review the literature reporting figures from European countries to provide a robust summary and identify new challenges. METHODS AND ANALYSIS: We will systematically search the literature databases Scopus, PubMed and Web of Science for studies published in the last 10 years (ie, after 2007). No language restriction will be applied. Two independent reviewers will search, screen and select studies as well as extract data about their main characteristics and evaluate their methodological and reporting quality. When disagreements emerge, the reviewers will discuss </w:t>
      </w:r>
    </w:p>
    <w:p>
      <w:r>
        <w:t>POSSIBLE 2017: Recovery, reintegration, abstinence, harm reduction: the role of different goals within the drug treatment in the European context. — https://openalex.org/W2766289510</w:t>
      </w:r>
    </w:p>
    <w:p>
      <w:r>
        <w:t>Shared claim-specific concepts: purpose, discuss, planning; EU scope visible. This is a provisional connection, not an outcome finding.</w:t>
      </w:r>
    </w:p>
    <w:p>
      <w:r>
        <w:t>Available abstract (not full text): The purpose of this paper is to discuss the different goals of ‘drug treatment’ within a European context and the key implications for those planning or delivering health and social responses. The heterogeneity of people who use drugs and the diversity in severity and complexity of drug taking and drug problems in Europe mean that a single goal or paradigm such as ‘harm reduction’, ‘recovery’ or ‘abstinence’ is no longer adequate to meet the diverse needs we face.</w:t>
      </w:r>
    </w:p>
    <w:p>
      <w:pPr>
        <w:pStyle w:val="Heading2"/>
      </w:pPr>
      <w:r>
        <w:t>La aplicación estratégica por escenarios en el medio natural. El caso del Nature Outlook 2050 del PBL.</w:t>
      </w:r>
    </w:p>
    <w:p>
      <w:r>
        <w:t>Original source (2015): https://doi.org/10.5209/rev_obmd.2015.v18.51291</w:t>
      </w:r>
    </w:p>
    <w:p>
      <w:r>
        <w:t>Original wording (abstract; indexed_source_text_not_full_document_verified): This paper shows how to implement the tool, mixing theoretical explanation and the practical performance done in project called: Nature Outlook 2050.</w:t>
      </w:r>
    </w:p>
    <w:p>
      <w:r>
        <w:t>POSSIBLE 2025: GAD-7 Screening Tool Implementation — https://openalex.org/W7112211183</w:t>
      </w:r>
    </w:p>
    <w:p>
      <w:r>
        <w:t>Shared claim-specific concepts: implement, tool, project; EU scope not established. This is a provisional connection, not an outcome finding.</w:t>
      </w:r>
    </w:p>
    <w:p>
      <w:r>
        <w:t>Available abstract (not full text): The purpose of this doctor of nursing practice (DNP) project was to provide a staff education program to improve staff knowledge about the use of the GAD-7 screening tool. Generalized anxiety disorder (GAD) remains an underdiagnosed condition, often due to inadequate use of standardized tools in clinical settings, leading to delayed treatments and suboptimal outcomes for patients experiencing anxiety disorders. The identified gap in practice necessitated an educational intervention to equip healthcare providers with the skills to effectively use the GAD-7 screening tool. To address this gap, a 2-hour staff education program was delivered via in-person sessions and online modules. The practice-focused question guiding this project was: What is the effect of implementing a staff education program to improve staff knowledge to effectively implement changes that affect the use of the GAD-7 screening tool to identify, measure, and track treatment progress and outcomes for patients with GAD? A pretest/posttest design was used for this project. Findings were analyzed using descriptive statistics and a Wilcoxon signed-rank test, which showed a significant difference (p &lt; .05) between the pretest and posttest evaluation of knowledge scores. These findings show that educating staff could improve their knowledge of the use of the GAD-7 screening tool to improve outcomes. Implementation of</w:t>
      </w:r>
    </w:p>
    <w:p>
      <w:r>
        <w:t>POSSIBLE 2022: Implementation and use of remote work tools — https://doi.org/10.29119/1641-3466.2022.159.39</w:t>
      </w:r>
    </w:p>
    <w:p>
      <w:r>
        <w:t>Shared claim-specific concepts: shows, tool, practical; EU scope not established. This is a provisional connection, not an outcome finding.</w:t>
      </w:r>
    </w:p>
    <w:p>
      <w:r>
        <w:t>Available abstract (not full text): Purpose: The aim of this article is to describe employees' expectations and managers' practices in the implementation and use of tools supporting remote work.Design/methodology/approach: To this end, employee opinion surveys were conducted using the Computer-Assisted Web Interview (CAWI) method (n = 500) and structured interviews were performed with managers (n = 14).Cross tabulation was employed to quantitatively verify statistically significant relationships and coding of the interview contents was applied in the qualitative analysis.Findings: Based on the results, the impact of personal skills, IT support and tool selection on the use of remote work tools (and employee satisfaction) are assessed. Research limitations/implications:In view of the newly emerging employee challenges it seems critical to refer to the latest research and constantly update the knowledge of all those involved.Hybrid work can change employees' opinions and attitudes and further diversify teams' expectations towards managers as well as the tools they use.Practical implications: Good practices are identified and recommendations are formulated regarding the application of the tools by managers in practice.Originality/value: The article organizes the issues of using technical tools for management during forced remote work.It shows employees expectations and best practices, which could be valuable for man</w:t>
      </w:r>
    </w:p>
    <w:p>
      <w:r>
        <w:t>POSSIBLE 2020: Role and implementation of sustainability management control tools: critical aspects in the Italian context — https://doi.org/10.1108/aaaj-02-2019-3887</w:t>
      </w:r>
    </w:p>
    <w:p>
      <w:r>
        <w:t>Shared claim-specific concepts: shows, implement, theoretical, practical; EU scope not established. This is a provisional connection, not an outcome finding.</w:t>
      </w:r>
    </w:p>
    <w:p>
      <w:r>
        <w:t>Available abstract (not full text): Purpose The purpose of this paper is to show the relevance attributed to sustainability management control tools (SMCTs) and their real use. Mainly, this study aims to shed light on the approaches, motivations and difficulties encountered in SMCTs adoption by the most sustainable Italian companies, as well as their effectiveness. Design/methodology/approach Using a pre-structured qualitative survey method, the authors grasped information about external and internal dimensions of sustainability management in light of institutional and resource-based view theories. Data are elaborated with two methods: a regime analysis to assess the relevance of SMCTs and a descriptive analysis to investigate the “aim”, “which” and “how” of the SMCTs' use by companies listed in sustainability indices. Findings Informal SMCTs prevailed over formal ones. There is a discrepancy between attention paid to some tools praised in the literature and their knowledge and use. In addition, a significant gap exists between what is desired and what is achieved in terms of effectiveness. Further, although sustainability management is primarily oriented towards the external perspective, SMCTs can be key to improving both the disclosure and management of sustainability. Research limitations/implications The criteria for the selection of the sample resulted in a small number of analysed companies, which allowed u</w:t>
      </w:r>
    </w:p>
    <w:p>
      <w:pPr>
        <w:pStyle w:val="Heading2"/>
      </w:pPr>
      <w:r>
        <w:t>Land use implications of future energy system trajectories—The case of the UK 2050 Carbon Plan</w:t>
      </w:r>
    </w:p>
    <w:p>
      <w:r>
        <w:t>Original source (2015): https://doi.org/10.1016/j.enpol.2015.07.008</w:t>
      </w:r>
    </w:p>
    <w:p>
      <w:r>
        <w:t>Original wording (abstract; indexed_source_text_not_full_document_verified): Four pathways to achieve this target have been developed by the Department of Energy and Climate Change, with all pathways requiring increased us of bioenergy. A significant amount of this could be indigenously sourced from crops, but will increased domestic production of energy crops conflict with other agricultural priorities?</w:t>
      </w:r>
    </w:p>
    <w:p>
      <w:r>
        <w:t>POSSIBLE 2025: Diversified Pathways to Achieve Tax Fairness and Justice in the Digital Age — https://doi.org/10.62517/jel.202514523</w:t>
      </w:r>
    </w:p>
    <w:p>
      <w:r>
        <w:t>Shared claim-specific concepts: four, pathways, achieve, all, domestic; EU scope not established. This is a provisional connection, not an outcome finding.</w:t>
      </w:r>
    </w:p>
    <w:p>
      <w:r>
        <w:t>Available abstract (not full text): In the context of digital globalization, while digital technologies have improved tax collection efficiency and optimized taxpayer services, they have also exacerbated international and domestic tax inequalities, creating a "digital divide" and impacting traditional tax rules. The concept of digital tax fairness and justice has emerged in response, its core being to ensure that all members of society can effectively access, use, and benefit from digital technologies to achieve equitable tax rights. Adam Smith's view of tax justice provides a legitimate basis for digital tax justice. By analyzing its inheritance from the natural law tradition and its utilitarian aspects, as well as its relevance and development potential in the digital age, we can clarify the political foundation and institutional requirements for achieving digital tax fairness and justice. Then, we construct diversified pathways to achieve digital tax fairness and justice, encompassing four pillars: institutional design, technology governance, capacity building, and social collaboration. This involves a coordinated approach from theoretical understanding, institutional construction, and data element innovation to achieve a leap from "technology empowerment" to "value reshaping," providing fiscal and ethical support for digital tax justice.</w:t>
      </w:r>
    </w:p>
    <w:p>
      <w:r>
        <w:t>POSSIBLE 2024: Pathway for Four Central and Eastern European Countries to Achieve Low Carbon Development Based on the STIRPAT Model — https://doi.org/10.5539/jsd.v17n4p63</w:t>
      </w:r>
    </w:p>
    <w:p>
      <w:r>
        <w:t>Shared claim-specific concepts: four, achieve, energy, climate, conflict; EU scope visible. This is a provisional connection, not an outcome finding.</w:t>
      </w:r>
    </w:p>
    <w:p>
      <w:r>
        <w:t>Available abstract (not full text): Poland, Hungary, the Czech Republic, Slovakia, as the Visegrad Group members in Central and Eastern Europe (CEE), play important roles in the green economy transition of Europe. The four CEE countries issued low carbon development strategies so as to realize climate change mitigation. However, the four countries faced various political and economic difficulties when transiting to a low carbon economy, including the energy consumption structure, the development of clean energy and the geopolitical conflict between Russia and Ukraine. The paper analyzed the factors influencing carbon emissions in the four CEE countries by using the STIRPAT model. Based on the empirical results, the paper put forward countermeasures and suggestions to promote low carbon development for the four CEE countries.</w:t>
      </w:r>
    </w:p>
    <w:p>
      <w:r>
        <w:t>POSSIBLE 2023: Pathways for regions to achieve carbon emission peak: New insights from the four economic growth poles in China — https://doi.org/10.1016/j.scitotenv.2023.167979</w:t>
      </w:r>
    </w:p>
    <w:p>
      <w:r>
        <w:t>Shared claim-specific concepts: four, pathways, achieve; EU scope not established. This is a provisional connection, not an outcome finding.</w:t>
      </w:r>
    </w:p>
    <w:p>
      <w:r>
        <w:t>Available abstract (not full text): Unavailable</w:t>
      </w:r>
    </w:p>
    <w:p>
      <w:r>
        <w:t>POSSIBLE 2023: The UAE’s energy system and GHG emissions: pathways to achieving national goals by 2050 — https://doi.org/10.1093/ce/zkad040</w:t>
      </w:r>
    </w:p>
    <w:p>
      <w:r>
        <w:t>Shared claim-specific concepts: four, pathways, developed, energy, all, production; EU scope not established. This is a provisional connection, not an outcome finding.</w:t>
      </w:r>
    </w:p>
    <w:p>
      <w:r>
        <w:t xml:space="preserve">Available abstract (not full text): Abstract In recent years, the United Arab Emirates (UAE) has developed strategies to increase renewable power generation and reduce emissions to net zero by 2050. Electricity generation and energy-intensive industries (EII) have the largest potentials for emission reduction. Therefore, an up-to-date inventory of greenhouse gas emissions and a study of the pathways to achieving the 2050 targets are essential. This study focuses on power production and EII (aluminium, steel and cement). The structure of these sectors is modelled and simulated up to 2050 using a system dynamics (SD) methodology. The SD model is validated to reflect the real-world state of the system using the emissions inventory projections as reference modes. Nineteen mitigation policies are considered in the selected sectors and four policy scenarios were simulated. The results show that implementing the Energy Strategy 2050 in the power sector can result in a reduction of 63.5% in emissions in that sector, which translates into a reduction of 33.5% overall by 2050. Additionally, implementing all identified mitigation strategies to full utilization in EII yields a 94% reduction in that sector, which translates into a 78% reduction overall. Decarbonizing the aluminium industry yields the highest emissions reductions, followed by power production, then cement and finally steel. In the best-case scenario, 22.1% of </w:t>
      </w:r>
    </w:p>
    <w:p>
      <w:r>
        <w:t>POSSIBLE 2022: PaLM: Scaling Language Modeling with Pathways — https://doi.org/10.48550/arxiv.2204.02311</w:t>
      </w:r>
    </w:p>
    <w:p>
      <w:r>
        <w:t>Shared claim-specific concepts: pathways, achieve, increased, significant; EU scope not established. This is a provisional connection, not an outcome finding.</w:t>
      </w:r>
    </w:p>
    <w:p>
      <w:r>
        <w:t xml:space="preserve">Available abstract (not full text): Large language models have been shown to achieve remarkable performance across a variety of natural language tasks using few-shot learning, which drastically reduces the number of task-specific training examples needed to adapt the model to a particular application. To further our understanding of the impact of scale on few-shot learning, we trained a 540-billion parameter, densely activated, Transformer language model, which we call Pathways Language Model PaLM. We trained PaLM on 6144 TPU v4 chips using Pathways, a new ML system which enables highly efficient training across multiple TPU Pods. We demonstrate continued benefits of scaling by achieving state-of-the-art few-shot learning results on hundreds of language understanding and generation benchmarks. On a number of these tasks, PaLM 540B achieves breakthrough performance, outperforming the finetuned state-of-the-art on a suite of multi-step reasoning tasks, and outperforming average human performance on the recently released BIG-bench benchmark. A significant number of BIG-bench tasks showed discontinuous improvements from model scale, meaning that performance steeply increased as we scaled to our largest model. PaLM also has strong capabilities in multilingual tasks and source code generation, which we demonstrate on a wide array of benchmarks. We additionally provide a comprehensive analysis on bias and toxicity, and </w:t>
      </w:r>
    </w:p>
    <w:p>
      <w:r>
        <w:t>POSSIBLE 2021: Co-productive agility and four collaborative pathways to sustainability transformations — https://doi.org/10.1016/j.gloenvcha.2021.102422</w:t>
      </w:r>
    </w:p>
    <w:p>
      <w:r>
        <w:t>Shared claim-specific concepts: four, pathways, production; EU scope not established. This is a provisional connection, not an outcome finding.</w:t>
      </w:r>
    </w:p>
    <w:p>
      <w:r>
        <w:t>Available abstract (not full text): Co-production, the collaborative weaving of research and practice by diverse societal actors, is argued to play an important role in sustainability transformations. Yet, there is still poor understanding of how to navigate the tensions that emerge in these processes. Through analyzing 32 initiatives worldwide that co-produced knowledge and action to foster sustainable social-ecological relations, we conceptualize ‘co-productive agility’ as an emergent feature vital for turning tensions into transformations. Co-productive agility refers to the willingness and ability of diverse actors to iteratively engage in reflexive dialogues to grow shared ideas and actions that would not have been possible from the outset. It relies on embedding knowledge production within processes of change to constantly recognize, reposition, and navigate tensions and opportunities. Co-productive agility opens up multiple pathways to transformation through: (1) elevating marginalized agendas in ways that maintain their integrity and broaden struggles for justice; (2) questioning dominant agendas by engaging with power in ways that challenge assumptions, (3) navigating conflicting agendas to actively transform interlinked paradigms, practices, and structures; (4) exploring diverse agendas to foster learning and mutual respect for a plurality of perspectives. We explore six process considerations that vary</w:t>
      </w:r>
    </w:p>
    <w:p>
      <w:r>
        <w:t>POSSIBLE 2021: It Is Still Possible to Achieve the Paris Climate Agreement: Regional, Sectoral, and Land-Use Pathways — https://doi.org/10.3390/en14082103</w:t>
      </w:r>
    </w:p>
    <w:p>
      <w:r>
        <w:t>Shared claim-specific concepts: four, pathways, achieve, energy, climate, increased; EU scope not established. This is a provisional connection, not an outcome finding.</w:t>
      </w:r>
    </w:p>
    <w:p>
      <w:r>
        <w:t>Available abstract (not full text): It is still possible to comply with the Paris Climate Agreement to maintain a global temperature ‘well below +2.0 °C’ above pre-industrial levels. We present two global non-overshoot pathways (+2.0 °C and +1.5 °C) with regional decarbonization targets for the four primary energy sectors—power, heating, transportation, and industry—in 5-year steps to 2050. We use normative scenarios to illustrate the effects of efficiency measures and renewable energy use, describe the roles of increased electrification of the final energy demand and synthetic fuels, and quantify the resulting electricity load increases for 72 sub-regions. Non-energy scenarios include a phase-out of net emissions from agriculture, forestry, and other land uses, reductions in non-carbon greenhouse gases, and land restoration to scale up atmospheric CO2 removal, estimated at −377 Gt CO2 to 2100. An estimate of the COVID-19 effects on the global energy demand is included and a sensitivity analysis describes the impacts if implementation is delayed by 5, 7, or 10 years, which would significantly reduce the likelihood of achieving the 1.5 °C goal. The analysis applies a model network consisting of energy system, power system, transport, land-use, and climate models.</w:t>
      </w:r>
    </w:p>
    <w:p>
      <w:r>
        <w:t>POSSIBLE 2021: Carbon‐Neutral Pathways for the United States — https://doi.org/10.1029/2020av000284</w:t>
      </w:r>
    </w:p>
    <w:p>
      <w:r>
        <w:t>Shared claim-specific concepts: four, pathways, target, energy, climate, all; EU scope not established. This is a provisional connection, not an outcome finding.</w:t>
      </w:r>
    </w:p>
    <w:p>
      <w:r>
        <w:t>Available abstract (not full text): Abstract The Intergovernmental Panel on Climate Change (IPCC) Special Report on Global Warming of 1.5°C points to the need for carbon neutrality by mid‐century. Achieving this in the United States in only 30 years will be challenging, and practical pathways detailing the technologies, infrastructure, costs, and tradeoffs involved are needed. Modeling the entire U.S. energy and industrial system with new analysis tools that capture synergies not represented in sector‐specific or integrated assessment models, we created multiple pathways to net zero and net negative CO 2 emissions by 2050. They met all forecast U.S. energy needs at a net cost of 0.2–1.2% of GDP in 2050, using only commercial or near‐commercial technologies, and requiring no early retirement of existing infrastructure. Pathways with constraints on consumer behavior, land use, biomass use, and technology choices (e.g., no nuclear) met the target but at higher cost. All pathways employed four basic strategies: energy efficiency, decarbonized electricity, electrification, and carbon capture. Least‐cost pathways were based on &gt;80% wind and solar electricity plus thermal generation for reliability. A 100% renewable primary energy system was feasible but had higher cost and land use. We found multiple feasible options for supplying low‐carbon fuels for non‐electrifiable end uses in industry, freight, and aviation, which</w:t>
      </w:r>
    </w:p>
    <w:p>
      <w:r>
        <w:t>POSSIBLE 2019: Outcome-based commissioning: four pathways to achieving public value — https://doi.org/10.4337/9781788978583.00021</w:t>
      </w:r>
    </w:p>
    <w:p>
      <w:r>
        <w:t>Shared claim-specific concepts: four, pathways, all, but; EU scope not established. This is a provisional connection, not an outcome finding.</w:t>
      </w:r>
    </w:p>
    <w:p>
      <w:r>
        <w:t>Available abstract (not full text): This chapter explores recent experience with commissioning of public services, mainly in the UK since the 1980s, where this has become the dominant approach to securing public services. By outcome-based commissioning we mean not simply the externalisation of public services - the letting of contracts for public services to private sector firms, third sector organisations and cross-sector partnerships - but also the overall consideration of all options for public sector interventions which might serve to improve publicly-desired outcomes, including transformation of internal service delivery and moving to ‘co-production’ of public service tasks with communities and service users. The chapter suggests that the role of outcome-based commissioning needs to be understood within a fuller model of public value and highlights four pathways to achieving public value. Finally, the chapter suggests some lessons which can be drawn from these recent experiences.</w:t>
      </w:r>
    </w:p>
    <w:p>
      <w:r>
        <w:t>POSSIBLE 2017: Reactome pathway analysis: a high-performance in-memory approach — https://doi.org/10.1186/s12859-017-1559-2</w:t>
      </w:r>
    </w:p>
    <w:p>
      <w:r>
        <w:t>Shared claim-specific concepts: four, achieve, target, all, production, other; EU scope not established. This is a provisional connection, not an outcome finding.</w:t>
      </w:r>
    </w:p>
    <w:p>
      <w:r>
        <w:t>Available abstract (not full text): BACKGROUND: Reactome aims to provide bioinformatics tools for visualisation, interpretation and analysis of pathway knowledge to support basic research, genome analysis, modelling, systems biology and education. Pathway analysis methods have a broad range of applications in physiological and biomedical research; one of the main problems, from the analysis methods performance point of view, is the constantly increasing size of the data samples. RESULTS: Here, we present a new high-performance in-memory implementation of the well-established over-representation analysis method. To achieve the target, the over-representation analysis method is divided in four different steps and, for each of them, specific data structures are used to improve performance and minimise the memory footprint. The first step, finding out whether an identifier in the user's sample corresponds to an entity in Reactome, is addressed using a radix tree as a lookup table. The second step, modelling the proteins, chemicals, their orthologous in other species and their composition in complexes and sets, is addressed with a graph. The third and fourth steps, that aggregate the results and calculate the statistics, are solved with a double-linked tree. CONCLUSION: Through the use of highly optimised, in-memory data structures and algorithms, Reactome has achieved a stable, high performance pathway analysis servi</w:t>
      </w:r>
    </w:p>
    <w:p>
      <w:r>
        <w:t>POSSIBLE 2017: Pathways for scaling up public health interventions — https://doi.org/10.1186/s12889-017-4572-5</w:t>
      </w:r>
    </w:p>
    <w:p>
      <w:r>
        <w:t>Shared claim-specific concepts: four, pathways, achieve, developed, all, but; EU scope not established. This is a provisional connection, not an outcome finding.</w:t>
      </w:r>
    </w:p>
    <w:p>
      <w:r>
        <w:t>Available abstract (not full text): BACKGROUND: To achieve population-wide health improvement, public health interventions found effective in selected samples need to be 'scaled up' and implemented more widely. The pathways through which interventions are scaled up are not well characterised. The aim of this paper is to identify examples of public health interventions which have been scaled up and to develop a conceptual framework which quantifies and describes this process. METHODS: A multi-stage international literature search was undertaken to identify examples of public health interventions in high income countries that have been scaled up or implemented at scale. Initial abstract review identified articles which met all the criteria of being a: 1) public health intervention; 2) chronic disease prevention focus; 3) program delivered at a wide geographical scale (state, national or international). Interventions were reviewed and coded into a conceptual framework pathway to document their scaling up process. For each program, an in-depth review of the identified articles was undertaken along with a broad internet based search to determine the outcomes of the dissemination process. A conceptual framework of scaling up pathways was developed that involved four stages (development, efficacy testing, real world trial and dissemination) to which the 40 programs were mapped. RESULTS: The search identified 40 public h</w:t>
      </w:r>
    </w:p>
    <w:p>
      <w:pPr>
        <w:pStyle w:val="Heading2"/>
      </w:pPr>
      <w:r>
        <w:t>Long-term scenarios for reaching climate targets and energy security in UK</w:t>
      </w:r>
    </w:p>
    <w:p>
      <w:r>
        <w:t>Original source (2015): https://doi.org/10.1016/j.scs.2015.03.010</w:t>
      </w:r>
    </w:p>
    <w:p>
      <w:r>
        <w:t>Original wording (abstract; indexed_source_text_not_full_document_verified): The two scenarios, K_Scenario and Z_Scenario, were modelled with the use of the Department of Energy and Climate Change (DECC) 2050 Pathways Calculator. Both scenarios seek to achieve the UK's legally binding target of an 80% reduction in GHG emissions from 1990 levels by 2050.</w:t>
      </w:r>
    </w:p>
    <w:p>
      <w:r>
        <w:t>POSSIBLE 2019: Subgrid modelling for two-dimensional turbulence using neural networks — https://openalex.org/W3105245152</w:t>
      </w:r>
    </w:p>
    <w:p>
      <w:r>
        <w:t>Shared claim-specific concepts: two, energy, both; EU scope not established. This is a provisional connection, not an outcome finding.</w:t>
      </w:r>
    </w:p>
    <w:p>
      <w:r>
        <w:t>Available abstract (not full text): In this investigation, a data-driven turbulence closure framework is introduced and deployed for the subgrid modelling of Kraichnan turbulence. The novelty of the proposed method lies in the fact that snapshots from high-fidelity numerical data are used to inform artificial neural networks for predicting the turbulence source term through localized grid-resolved information. In particular, our proposed methodology successfully establishes a map between inputs given by stencils of the vorticity and the streamfunction along with information from two well-known eddy-viscosity kernels. Through this we predict the subgrid vorticity forcing in a temporally and spatially dynamic fashion. Our study is both a priori and a posteriori in nature. In the former, we present an extensive hyper-parameter optimization analysis in addition to learning quantification through probability-density-function-based validation of subgrid predictions. In the latter, we analyse the performance of our framework for flow evolution in a classical decaying two-dimensional turbulence test case in the presence of errors related to temporal and spatial discretization. Statistical assessments in the form of angle-averaged kinetic energy spectra demonstrate the promise of the proposed methodology for subgrid quantity inference. In addition, it is also observed that some measure of a posteriori error must be consid</w:t>
      </w:r>
    </w:p>
    <w:p>
      <w:r>
        <w:t>POSSIBLE 2018: Subgrid modelling for two-dimensional turbulence using neural networks — https://doi.org/10.1017/jfm.2018.770</w:t>
      </w:r>
    </w:p>
    <w:p>
      <w:r>
        <w:t>Shared claim-specific concepts: two, energy, both; EU scope not established. This is a provisional connection, not an outcome finding.</w:t>
      </w:r>
    </w:p>
    <w:p>
      <w:r>
        <w:t>Available abstract (not full text): In this investigation, a data-driven turbulence closure framework is introduced and deployed for the subgrid modelling of Kraichnan turbulence. The novelty of the proposed method lies in the fact that snapshots from high-fidelity numerical data are used to inform artificial neural networks for predicting the turbulence source term through localized grid-resolved information. In particular, our proposed methodology successfully establishes a map between inputs given by stencils of the vorticity and the streamfunction along with information from two well-known eddy-viscosity kernels. Through this we predict the subgrid vorticity forcing in a temporally and spatially dynamic fashion. Our study is both a priori and a posteriori in nature. In the former, we present an extensive hyper-parameter optimization analysis in addition to learning quantification through probability-density-function-based validation of subgrid predictions. In the latter, we analyse the performance of our framework for flow evolution in a classical decaying two-dimensional turbulence test case in the presence of errors related to temporal and spatial discretization. Statistical assessments in the form of angle-averaged kinetic energy spectra demonstrate the promise of the proposed methodology for subgrid quantity inference. In addition, it is also observed that some measure of a posteriori error must be consid</w:t>
      </w:r>
    </w:p>
    <w:p>
      <w:r>
        <w:t>POSSIBLE 2017: Comparison of two models used for forecasting of codling moth (Cydia pomonella) in Norway — https://openalex.org/W2768969912</w:t>
      </w:r>
    </w:p>
    <w:p>
      <w:r>
        <w:t>Shared claim-specific concepts: two, both, target; EU scope visible. This is a provisional connection, not an outcome finding.</w:t>
      </w:r>
    </w:p>
    <w:p>
      <w:r>
        <w:t>Available abstract (not full text): The codling moth (Cydia pomonella L.) is a problematic pest across the world, as well as in the eastern parts of Norway. The adult emerges in mid to late spring, after having overwintered as a fifth instar larvae, and the females begin to lay eggs a few days after. The larva damages crops in apple orchards by digging into the fruit and eating the seeds. In pest management it is critical to target the larvae before it can enter the fruit. Two forecasting models are used to find the oviposition and hatching timing in Norway: the traditional model and RIMpro-Cydia. The plum fruit moth (C. funebrana) is a smaller relative of the codling moth, and has been reported to have a similar phenology, but has no warning system in place for alerting growers. The aim of this study was to test how good these two models are for forecasting attacks of Cydia pomonella in Norwegian apple orchards, in order to improve pest management for growers.\nFieldwork was conducted in apple orchards in eastern Norway. The flight period was monitored using sex pheromone baited delta traps, placed in each of the orchards. Larvae feeding inside of apples were collected, and measurements of the width of their head capsules were used to estimate the time of oviposition and hatching, and compared with the output from the traditional model and RIMpro. Damage from codling moth larvae was recorded at harvest to examin</w:t>
      </w:r>
    </w:p>
    <w:p>
      <w:r>
        <w:t>POSSIBLE 2017: Development of a global aerosol model using a two‐dimensional sectional method: 1. Model design — https://doi.org/10.1002/2017ms000936</w:t>
      </w:r>
    </w:p>
    <w:p>
      <w:r>
        <w:t>Shared claim-specific concepts: two, climate; EU scope not established. This is a provisional connection, not an outcome finding.</w:t>
      </w:r>
    </w:p>
    <w:p>
      <w:r>
        <w:t>Available abstract (not full text): Abstract This study develops an aerosol module, the Aerosol Two‐dimensional bin module for foRmation and Aging Simulation version 2 (ATRAS2), and implements the module into a global climate model, Community Atmosphere Model. The ATRAS2 module uses a two‐dimensional (2‐D) sectional representation with 12 size bins for particles from 1 nm to 10 μm in dry diameter and 8 black carbon (BC) mixing state bins. The module can explicitly calculate the enhancement of absorption and cloud condensation nuclei activity of BC‐containing particles by aging processes. The ATRAS2 module is an extension of a 2‐D sectional aerosol module ATRAS used in our previous studies within a framework of a regional three‐dimensional model. Compared with ATRAS, the computational cost of the aerosol module is reduced by more than a factor of 10 by simplifying the treatment of aerosol processes and 2‐D sectional representation, while maintaining good accuracy of aerosol parameters in the simulations. Aerosol processes are simplified for condensation of sulfate, ammonium, and nitrate, organic aerosol formation, coagulation, and new particle formation processes, and box model simulations show that these simplifications do not substantially change the predicted aerosol number and mass concentrations and their mixing states. The 2‐D sectional representation is simplified (the number of advected species is reduced)</w:t>
      </w:r>
    </w:p>
    <w:p>
      <w:r>
        <w:t>POSSIBLE 2017: Modeling Temporal Dynamics and Spatial Configurations of Actions Using Two-Stream Recurrent Neural Networks — https://doi.org/10.1109/cvpr.2017.387</w:t>
      </w:r>
    </w:p>
    <w:p>
      <w:r>
        <w:t>Shared claim-specific concepts: two, use, both; EU scope not established. This is a provisional connection, not an outcome finding.</w:t>
      </w:r>
    </w:p>
    <w:p>
      <w:r>
        <w:t>Available abstract (not full text): Recently, skeleton based action recognition gains more popularity due to cost-effective depth sensors coupled with real-time skeleton estimation algorithms. Traditional approaches based on handcrafted features are limited to represent the complexity of motion patterns. Recent methods that use Recurrent Neural Networks (RNN) to handle raw skeletons only focus on the contextual dependency in the temporal domain and neglect the spatial configurations of articulated skeletons. In this paper, we propose a novel two-stream RNN architecture to model both temporal dynamics and spatial configurations for skeleton based action recognition. We explore two different structures for the temporal stream: stacked RNN and hierarchical RNN. Hierarchical RNN is designed according to human body kinematics. We also propose two effective methods to model the spatial structure by converting the spatial graph into a sequence of joints. To improve generalization of our model, we further exploit 3D transformation based data augmentation techniques including rotation and scaling transformation to transform the 3D coordinates of skeletons during training. Experiments on 3D action recognition benchmark datasets show that our method brings a considerable improvement for a variety of actions, i.e., generic actions, interaction activities and gestures.</w:t>
      </w:r>
    </w:p>
    <w:p>
      <w:pPr>
        <w:pStyle w:val="Heading2"/>
      </w:pPr>
      <w:r>
        <w:t>Losses of Ammonia and Nitrate from Agriculture and Their Effect on Nitrogen Recovery in the European Union and the United States between 1900 and 2050</w:t>
      </w:r>
    </w:p>
    <w:p>
      <w:r>
        <w:t>Original source (2015): https://doi.org/10.2134/jeq2014.03.0102</w:t>
      </w:r>
    </w:p>
    <w:p>
      <w:r>
        <w:t>Original wording (abstract; indexed_source_text_not_full_document_verified): In the United States, environmental N loads will remain substantially smaller than in the European Union, whereas agricultural production in 2050 in the United States will increase by 30% relative to 2005, as compared with an increase of 8% in the European Union. IMAGE projections for the IAASTD-baseline scenario indicate that N loading to the environment in 2050 will be similar to current levels.</w:t>
      </w:r>
    </w:p>
    <w:p>
      <w:r>
        <w:t>POSSIBLE 2026: Environmental consequences of replacing polyethylene packaging in the United States and Europe — https://doi.org/10.1016/j.resenv.2026.100390</w:t>
      </w:r>
    </w:p>
    <w:p>
      <w:r>
        <w:t>Shared claim-specific concepts: united, states, environmental, remain, increase, indicate; EU scope visible. This is a provisional connection, not an outcome finding.</w:t>
      </w:r>
    </w:p>
    <w:p>
      <w:r>
        <w:t xml:space="preserve">Available abstract (not full text):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r>
        <w:t>POSSIBLE 2026: Environmental Permitting and Environmental Impact Assessment in the United States and the European Union: A Comparative Legal Study — https://doi.org/10.2139/ssrn.7275567</w:t>
      </w:r>
    </w:p>
    <w:p>
      <w:r>
        <w:t>Shared claim-specific concepts: united, states, environmental, union; EU scope visible. This is a provisional connection, not an outcome finding.</w:t>
      </w:r>
    </w:p>
    <w:p>
      <w:r>
        <w:t>Available abstract (not full text): Unavailable</w:t>
      </w:r>
    </w:p>
    <w:p>
      <w:r>
        <w:t>POSSIBLE 2025: A Comparative Study of the Impact of Technological Policymaking on Environmental Security in the United States and the European Union — https://doi.org/10.18415/ijmmu.v12i10.7190</w:t>
      </w:r>
    </w:p>
    <w:p>
      <w:r>
        <w:t>Shared claim-specific concepts: united, states, environmental, union, indicate, environment; EU scope visible. This is a provisional connection, not an outcome finding.</w:t>
      </w:r>
    </w:p>
    <w:p>
      <w:r>
        <w:t>Available abstract (not full text): In the era of the Fourth Industrial Revolution, new technologies have developed with unprecedented speed, efficiency, and convergence, bridging the digital, physical, and biological boundaries. At the same time, environmental crises have become a serious threat to global security. The United States and the European Union have been designing and implementing policies to protect the environment since the 1960s. Using a documentary study method and a descriptive-analytical approach, this article seeks to find out what impact the technological policies of the European Union and the United States have had on environmental security. The results of the research indicate that alignment between technological policies and environmental goals is a prerequisite for achieving sustainable development and ensuring environmental security. The European Union has been able to create effective synergies between technology and environmental goals by developing comprehensive policies such as the Lisbon Strategy, Europe 2020, and Horizon Europe, as well as implementing programs such as the Green Deal, the circular economy, and the clean energy transition. In contrast, the United States, despite political fluctuations in the environmental field, has been developing clean technologies and optimizing energy consumption through technological innovations in the private sector. However, recent geopolitica</w:t>
      </w:r>
    </w:p>
    <w:p>
      <w:r>
        <w:t>POSSIBLE 2023: Analysis of Environmental and Energy Policies in Turkey, the European Union and the United States — https://doi.org/10.9734/ijecc/2023/v13i123685</w:t>
      </w:r>
    </w:p>
    <w:p>
      <w:r>
        <w:t>Shared claim-specific concepts: united, states, environmental, union, production; EU scope visible. This is a provisional connection, not an outcome finding.</w:t>
      </w:r>
    </w:p>
    <w:p>
      <w:r>
        <w:t>Available abstract (not full text): Energy consumption plays a pivotal role in the development of societies. Sustainable Energy Resources are vital inputs for daily life, and energy and industrial products are essential for economic growth (Ministry of Energy and Natural Resources, 2022). Consequently, those responsible for managing a country's energy sector must ensure the uninterrupted, reliable, timely, clean, and affordable supply of energy, as well as diversify energy sources to enhance energy security. The concept of "sustainable development" has emerged in response to the need to prevent irreversible environmental damage caused by conventional energy sources and outdated technologies while ensuring access to energy as a fundamental human right under optimal conditions (Pamir, N 2005). Developed societies have transitioned from planning based solely on energy source acquisition and production to a planning approach that carefully considers the energy-economy-ecology balance (3E) while taking into account resource diversity and geopolitical realities (Energy Policies and Global Developments, emo.org.tr). Turkey remains heavily dependent on energy imports, accounting for approximately 74% of its energy needs (Ministry of Energy and Natural Resources, 2023). The multifaceted nature of Turkey's energy strategy and its energy dependence emphasize the importance of international relations in this field. U.S. ener</w:t>
      </w:r>
    </w:p>
    <w:p>
      <w:r>
        <w:t>POSSIBLE 2022: Criminal Enforcement of Environmental Law in the European Union and the United States — https://doi.org/10.1016/b978-0-12-824315-2.00051-8</w:t>
      </w:r>
    </w:p>
    <w:p>
      <w:r>
        <w:t>Shared claim-specific concepts: united, states, environmental, union; EU scope visible. This is a provisional connection, not an outcome finding.</w:t>
      </w:r>
    </w:p>
    <w:p>
      <w:r>
        <w:t>Available abstract (not full text): Unavailable</w:t>
      </w:r>
    </w:p>
    <w:p>
      <w:r>
        <w:t>POSSIBLE 2022: Energy Transition and Environmental Sustainability: Evaluation of Europe, Canada and United States of America — https://doi.org/10.2139/ssrn.4138109</w:t>
      </w:r>
    </w:p>
    <w:p>
      <w:r>
        <w:t>Shared claim-specific concepts: united, states, environmental; EU scope visible. This is a provisional connection, not an outcome finding.</w:t>
      </w:r>
    </w:p>
    <w:p>
      <w:r>
        <w:t>Available abstract (not full text): Unavailable</w:t>
      </w:r>
    </w:p>
    <w:p>
      <w:r>
        <w:t>POSSIBLE 2021: The environmental impacts of clothing: Evidence from United States and three European countries — https://doi.org/10.1016/j.spc.2021.05.013</w:t>
      </w:r>
    </w:p>
    <w:p>
      <w:r>
        <w:t>Shared claim-specific concepts: united, states, environmental; EU scope visible. This is a provisional connection, not an outcome finding.</w:t>
      </w:r>
    </w:p>
    <w:p>
      <w:r>
        <w:t>Available abstract (not full text): Unavailable</w:t>
      </w:r>
    </w:p>
    <w:p>
      <w:r>
        <w:t>POSSIBLE 2019: Multilevel Environmental Governance in the European Union and United States — https://doi.org/10.1093/acrefore/9780199389407.013.163</w:t>
      </w:r>
    </w:p>
    <w:p>
      <w:r>
        <w:t>Shared claim-specific concepts: united, states, environmental, union, whereas, levels; EU scope visible. This is a provisional connection, not an outcome finding.</w:t>
      </w:r>
    </w:p>
    <w:p>
      <w:r>
        <w:t>Available abstract (not full text): Abstract Managing the risks of climate change partly involves setting and implementing regulatory standards that help to diminish the causes of climate change. This means setting regulatory standards that require businesses to emit fewer pollutants, most notably carbon dioxide. In large federalist systems like the United States and the European Union, this regulation is produced by a variety of institutional structures and policy instruments as well. In the United States, federal regulations often encompass stricter standards with less flexibility; these standards have direct impacts on the relevant regulated interests, but they also influence the content and structure of non-governmental regulations, such as those promulgated by NGOs or industry trade associations. This influential “shadow of hierarchy” can be witnessed in both the U.S. and E.U. However, at a more local level, businesses and governments do not solely operate within the confines of strict, hierarchical regulation. Both sets of organizations join together horizontally to form compacts and regulatory networks that are often characterized more by guidance, soft law and collaborative efforts. While such institutions can be a welcome and effective complement to stricter, hierarchical regulation, such networks require high levels of trust and goal congruence to overcome the potential collective action problems that a</w:t>
      </w:r>
    </w:p>
    <w:p>
      <w:r>
        <w:t>POSSIBLE 2019: Green Public Procurement: Legal Instruments for Promoting Environmental Interests in the United States and European Union — https://doi.org/10.2139/ssrn.3504676</w:t>
      </w:r>
    </w:p>
    <w:p>
      <w:r>
        <w:t>Shared claim-specific concepts: united, states, environmental, union; EU scope visible. This is a provisional connection, not an outcome finding.</w:t>
      </w:r>
    </w:p>
    <w:p>
      <w:r>
        <w:t>Available abstract (not full text): Unavailable</w:t>
      </w:r>
    </w:p>
    <w:p>
      <w:r>
        <w:t>POSSIBLE 2019: INDOOR ENVIRONMENTAL QUALITY DESIGN OF HOTELS IN THE UNITED STATES AND EUROPE — https://openalex.org/W3185290772</w:t>
      </w:r>
    </w:p>
    <w:p>
      <w:r>
        <w:t>Shared claim-specific concepts: united, states, environmental; EU scope visible. This is a provisional connection, not an outcome finding.</w:t>
      </w:r>
    </w:p>
    <w:p>
      <w:r>
        <w:t>Available abstract (not full text): The last 50 years marked a deep change in the way people travel. The great development of tourism created the necessity of building more and more hotels and accommodations, polluting and wasting much energy. The aim of this research is to understand how the accommodations face the environmental impact of the structure using LEED parameters. The starting point is the analysis based on a survey made on a sample of hotels located in places with opposite climate conditions; the purpose is to understand which strategies the structures adopted in order to adapt to extremely different climate conditions</w:t>
      </w:r>
    </w:p>
    <w:p>
      <w:r>
        <w:t>POSSIBLE 2017: European and United States perspectives on forest operations in environmentally sensitive areas — https://doi.org/10.1080/02827581.2017.1338355</w:t>
      </w:r>
    </w:p>
    <w:p>
      <w:r>
        <w:t>Shared claim-specific concepts: united, states, environmental, environment; EU scope visible. This is a provisional connection, not an outcome finding.</w:t>
      </w:r>
    </w:p>
    <w:p>
      <w:r>
        <w:t>Available abstract (not full text): This paper offers a forest operations perspective in environmentally sensitive areas in Europe and the United States. The objective is to help inform key sustainability knowledge gaps in forest operations to reduce impacts on the environment and the equipment operators in these increasingly targeted and difficult to operate in areas. Under existing guidelines and best management practices, the protection of ecosystem services linked to soil, water, wildlife and biodiversity have rightly received the highest considerations. However, the connection between protecting these ecological values, safe operational practices and technological advancements is rarely well articulated. One means to address the operational and technological gap is the selection of equipment and tailor the work conditions to terrain type, forest features and management objectives. To that effect, this paper discusses the environmental, planning, equipment selection and operator considerations and proposes possible solutions and guidelines to contain both the operators’ safety and environmental risks in forest operations.</w:t>
      </w:r>
    </w:p>
    <w:p>
      <w:r>
        <w:t>POSSIBLE 2017: Environmental Assessment and Management of Phosphogypsum According to European and United States of America Regulations — https://doi.org/10.1016/j.proeps.2016.12.178</w:t>
      </w:r>
    </w:p>
    <w:p>
      <w:r>
        <w:t>Shared claim-specific concepts: united, states, environmental, production; EU scope visible. This is a provisional connection, not an outcome finding.</w:t>
      </w:r>
    </w:p>
    <w:p>
      <w:r>
        <w:t>Available abstract (not full text): Waste derived from fertilizer production has been accumulated worldwide for decades, especially during the last century. This waste is mainly formed by phosphogypsum; a mixture of gypsum along with phosphates, fluorides, and organic matter, which are generated from phosphoric acid production. Phosphogypsum deposits are usually associated with an important load of radionuclides and metals. The present study aims to evaluate and compare the hazard derived from the metals leaching with phosphogypsum deposits located in areas under US and European environmental regulations. Archived samples from Mulberry (USA) and field samples from Huelva (Spain) deposits have been characterized by leaching tests, as outlined in the aforementioned regulations. The obtained results have been collated with EN 12457-2 from the European regulation and TCLP from the US EPA. As a result, Mulberry phosphogypsum was classified as non-hazardous by both regulations. Since the regulations differ on their strictness, only the European regulation classifies the Huelva deposit as hazardous for As and Cd, urging to have monitoring measurements; while the US regulation classifies the deposit as non-hazardous, even though a pre-treatment before depositing is recommended.</w:t>
      </w:r>
    </w:p>
    <w:p>
      <w:pPr>
        <w:pStyle w:val="Heading2"/>
      </w:pPr>
      <w:r>
        <w:t>Microgrids: Enhancing the Resilience of the European Megagrid</w:t>
      </w:r>
    </w:p>
    <w:p>
      <w:r>
        <w:t>Original source (2015): https://doi.org/10.1109/mpe.2015.2397336</w:t>
      </w:r>
    </w:p>
    <w:p>
      <w:r>
        <w:t>Original wording (abstract; indexed_source_text_not_full_document_verified): By 2020, 20% of the European electricity demand will be met by renewable generation while, by 2030, a substantial proportion of the electricity generation would become largely decarbonized. Furthermore, beyond 2030, it is expected that significant segments of the heat and transport sectors will be electrified to meet the targets proposed by the EU governments for greenhouse gas emission reductions of at least 80% in 2050.</w:t>
      </w:r>
    </w:p>
    <w:p>
      <w:r>
        <w:t>POSSIBLE 2024: Future electricity demand for Europe: Unraveling the dynamics of the Temperature Response Function — https://doi.org/10.1016/j.apenergy.2024.123387</w:t>
      </w:r>
    </w:p>
    <w:p>
      <w:r>
        <w:t>Shared claim-specific concepts: electricity, substantial, expected; EU scope visible. This is a provisional connection, not an outcome finding.</w:t>
      </w:r>
    </w:p>
    <w:p>
      <w:r>
        <w:t xml:space="preserve">Available abstract (not full text): Electricity demand is a crucial factor in energy system planning. Understanding future electricity demand is vital for developing effective energy and climate policies, as well as establishing a resilient and sustainable energy system. In light of these considerations, the escalating challenges posed by climate change are anticipated to have a substantial impact on electricity demand. This study, therefore, provides a comprehensive analysis delving into the dynamic nature of Temperature Response Functions (TRFs) of electricity demand across Europe. By examining various factors influencing electricity demand in residential buildings, such as thermal insulation, heating electrification, space cooling, and passive cooling, we aim to understand their collective impact on shaping future TRFs. To project electricity demand, our study incorporates these factors into our scenario assumptions. Through a comprehensive investigation of these scenarios, our findings reveal distinctive regional influences of these factors. In regions where heating demand prevails, an initial increase in electricity demand is anticipated due to increased electrification rates. However, improved building thermal insulation is expected to substantially reduce winter electricity demand in the long run. Conversely, in regions with pronounced cooling demand, a notable escalation in electricity demand is foreseen </w:t>
      </w:r>
    </w:p>
    <w:p>
      <w:r>
        <w:t>POSSIBLE 2023: SECURES-Met - A European wide meteorological data set suitable for electricity modelling (supply and demand) for historical climate and climate change projections — https://doi.org/10.5281/zenodo.7907882</w:t>
      </w:r>
    </w:p>
    <w:p>
      <w:r>
        <w:t>Shared claim-specific concepts: electricity, renewable; EU scope visible. This is a provisional connection, not an outcome finding.</w:t>
      </w:r>
    </w:p>
    <w:p>
      <w:r>
        <w:t>Available abstract (not full text): For the modelling of electricity production and demand, meteorological conditions are becoming more relevant due to the increasing contribution from renewable electricity production. But the requirements on meteorological data sets for electricity modelling are quite high. One challenge is the high temporal resolution, since a typical time step for modelling electricity production and demand is one hour. On the other side the European electricity market is highly connected, so that a pure country based modelling does not make sense and at least the whole European Union area has to be considered. Additionally, the spatial resolution of the data set must be able to represent the thermal conditions, which requires high spatial resolution at least in mountainous regions. All these requirements lead to huge data amounts for historic observations and even more for climate change projections for the whole 21st century. Thus, we have developed an aggregated European wide data set that has a temporal resolution of one hour, covers the whole EU area, has a reasonable size but is considering the high spatial variability. This meteorological data set for Europe for the historical period and climate change projections fulfills all relevant criteria for energy modelling. It has a hourly temporal resolution, considers local effects up to a spatial resolution of 1 km and has a suitable size, a</w:t>
      </w:r>
    </w:p>
    <w:p>
      <w:r>
        <w:t>POSSIBLE 2023: Balancing Electricity Supply and Demand in a Carbon-Neutral Northern Europe — https://doi.org/10.3390/en16083548</w:t>
      </w:r>
    </w:p>
    <w:p>
      <w:r>
        <w:t>Shared claim-specific concepts: electricity, heat; EU scope visible. This is a provisional connection, not an outcome finding.</w:t>
      </w:r>
    </w:p>
    <w:p>
      <w:r>
        <w:t>Available abstract (not full text): This work investigates how to balance the electricity supply and demand in a carbon-neutral northern Europe. Applying a cost-minimizing electricity system model including options to invest in eleven different flexibility measures, cost-efficient combinations of strategies to manage varia-tions are identified. The results of the model are post-processed using a novel method to map the net load before and after flexibility measures are applied to reveal the contribution of each flexi-bility measure. The net load is mapped in the space spanned by the amplitude, duration, and number of occur-rences. The mapping shows that, depending on cost structure, flexibility measures contribute to reduce the net load in three different ways; 1) by reducing variations of long duration but low amplitude, 2) by reducing variations of high amplitude but short duration and low occurrence or 3) by reducing variations of high amplitude, short duration and high occurrence. It is found that cost-efficient variation management is achieved by combining wind and solar power and by combining strategies (1-3) to manage variations. The cost-efficient combination of strategies de-pends on electricity system context where electricity trade, flexible hydrogen and heat production (1) manage the majority of variations in regions with good conditions for wind power while sta-tionary batteries (3) are the main cont</w:t>
      </w:r>
    </w:p>
    <w:p>
      <w:r>
        <w:t>POSSIBLE 2022: Interaction between electrified steel production and the north European electricity system — https://doi.org/10.1016/j.apenergy.2022.118584</w:t>
      </w:r>
    </w:p>
    <w:p>
      <w:r>
        <w:t>Shared claim-specific concepts: electricity, met, furthermore, transport, sectors, electrified; EU scope visible. This is a provisional connection, not an outcome finding.</w:t>
      </w:r>
    </w:p>
    <w:p>
      <w:r>
        <w:t xml:space="preserve">Available abstract (not full text): This study investigates the interactions between a steel industry that applies hydrogen direct reduction (H-DR) and the electricity system of northern Europe. We apply a techno-economic optimization model with the aim of achieving net-zero emissions from the electricity and steel sectors in Year 2050. The model minimizes the investment and running costs of electricity and steel production units, while meeting the demands for electricity and steel. The modeling is carried out for a number of scenarios, which differ in the following parameters: (i) cost of using new sites for steel production; (ii) transport costs; (iii) commodities export; (iv) flexibility in operation of a direct reduction (DR) shaft furnace; and (v) location of steel demand. The results reveal that a cost-efficient spatial allocation of the electrified steel production capacity is impacted by the availability of low-cost electricity and can differ from the present - day allocation of steel plants. The modeling results show that the additional electricity demand from an electrified steel industry is met mainly by increased investments in wind and solar power while natural gas - based production of electricity is reduced. Furthermore, it is found to be cost-efficient to invest in overcapacity for steel production units (electrolyzers, DR shaft furnaces and electric arc furnaces) and to invest in storage systems </w:t>
      </w:r>
    </w:p>
    <w:p>
      <w:r>
        <w:t>POSSIBLE 2021: Assessment of Demand Side Flexibility in European Electricity Markets: A Country Level Review — https://doi.org/10.3390/en14082324</w:t>
      </w:r>
    </w:p>
    <w:p>
      <w:r>
        <w:t>Shared claim-specific concepts: electricity, renewable, generation, significant; EU scope visible. This is a provisional connection, not an outcome finding.</w:t>
      </w:r>
    </w:p>
    <w:p>
      <w:r>
        <w:t>Available abstract (not full text): Power systems in many countries have recently undergone a significant transition towards renewable and carbon-free generation sources. Those sources pose new challenges to the grid operation due to their intermittency and uncertainty. Consequently, advanced policy strategies and technologies offering new flexibility solutions on the inelastic demand side are required to maintain the reliability of power systems. Given the diversity of situations, legislation and needs across European countries and the varying nature of distribution system operators, this article reviews the deployment of demand side flexibility at national level to identify best practices and main barriers. The analysis concerns European countries of different progress in solutions that leverage flexibility towards offering electricity grid services. The scope is to explore the operation principles of European electricity markets, to assess the participation of emerging flexible resources, and to propose new approaches that facilitate the integration of flexible assets in the distribution grid. The countries reviewed are the United Kingdom, Belgium, Italy and Greece. These countries were selected owing to their diversity in terms of generation mix and market design. Barriers for market access of flexibility resources are also identified in order to form relevant country-specific recommendations.</w:t>
      </w:r>
    </w:p>
    <w:p>
      <w:r>
        <w:t>POSSIBLE 2021: C3S Energy: an operational service to deliver power demand and supply for different electricity sources, time and spatial scales over Europe — https://doi.org/10.31223/x5mm06</w:t>
      </w:r>
    </w:p>
    <w:p>
      <w:r>
        <w:t>Shared claim-specific concepts: electricity, generation; EU scope visible. This is a provisional connection, not an outcome finding.</w:t>
      </w:r>
    </w:p>
    <w:p>
      <w:r>
        <w:t>Available abstract (not full text): The EU Copernicus Climate Change Service (C3S) has produced an operational climate service, called C3S Energy, designed to enable the energy industry and policy makers to assess the impacts of climate variability and climate change on the energy sector in Europe. The C3S Energy service covers different time horizons, for the past forty years and the future. It provides time series of electricity demand and supply from wind, solar photovoltaic and hydro power, and can be used for recent trends analysis, seasonal outlooks or the assessment of climate change impacts on energy mixes in the long-term.This paper introduces this dataset, with a focus on the design and validation of the energy conversion models, based on ENTSO-E energy data and the ERA5 climate reanalysis. Flexibility and coherence across all countries have been privileged upon models’ accuracy. However, the comparison with ENTSO-E data shows that the models provide plausible energy indicators and, in particular, allow to compare climate variability effects on power demand and generation in an homogenous approach all over Europe.</w:t>
      </w:r>
    </w:p>
    <w:p>
      <w:r>
        <w:t>POSSIBLE 2020: Demand for Electricity on the Global Electrification Frontier — https://openalex.org/W3009130449</w:t>
      </w:r>
    </w:p>
    <w:p>
      <w:r>
        <w:t>Shared claim-specific concepts: electricity; EU scope not established. This is a provisional connection, not an outcome finding.</w:t>
      </w:r>
    </w:p>
    <w:p>
      <w:r>
        <w:t>Available abstract (not full text): Falling off-grid solar prices and an expanding grid are revolutionizing choices for nearly a billion people without electricity. Using experimental price variation, we estimate demand for all electricity sources in Bihar, India, during a four-year period when electrification leapt from 27% to 64%. We find that: (i) household surplus from electrification increased five-fold; (ii) both solar and the grid boost electrification but households gain more surplus from the grid; (iii) grid investments and subsidies strongly reduce demand for off-grid solar. When we extend the model to eight African countries where grid infrastructure is weaker and subsidies lower we find that off-grid solar often provides higher surplus than the grid. JEL Codes: O13 ; Q41 ; Q21 ; C93</w:t>
      </w:r>
    </w:p>
    <w:p>
      <w:r>
        <w:t>POSSIBLE 2020: Exploring Wind and Solar PV Generation Complementarity to Meet Electricity Demand — https://doi.org/10.3390/en13164132</w:t>
      </w:r>
    </w:p>
    <w:p>
      <w:r>
        <w:t>Shared claim-specific concepts: electricity, renewable, generation, meet; EU scope not established. This is a provisional connection, not an outcome finding.</w:t>
      </w:r>
    </w:p>
    <w:p>
      <w:r>
        <w:t xml:space="preserve">Available abstract (not full text): Understanding the spatiotemporal complementarity of wind and solar power generation and their combined capability to meet the demand of electricity is a crucial step towards increasing their share in power systems without neglecting neither the security of supply nor the overall cost efficiency of the power system operation. This work proposes a methodology to exploit the complementarity of the wind and solar primary resources and electricity demand in planning the expansion of electric power systems. Scenarios that exploit the strategic combined deployment of wind and solar power against scenarios based only on the development of an individual renewable power source are compared and analysed. For each scenario of the power system development, the characterization of the additional power capacity, typical daily profile, extreme values, and energy deficit are assessed. The method is applied to a Portuguese case study and results show that coupled scenarios based on the strategic combined development of wind and solar generation provide a more sustainable way to increase the share of variable renewables into the power system (up to 68% for an annual energy exceedance of 10% for the renewable generation) when compared to scenarios based on an individual renewable power source. Combined development also enables to reduce the overall variability and extreme values of a power system </w:t>
      </w:r>
    </w:p>
    <w:p>
      <w:r>
        <w:t>POSSIBLE 2018: The impact of social and weather drivers on the historical electricity demand in Europe — https://doi.org/10.1016/j.apenergy.2018.07.108</w:t>
      </w:r>
    </w:p>
    <w:p>
      <w:r>
        <w:t>Shared claim-specific concepts: electricity, renewable, generation, significant, meet, targets; EU scope visible. This is a provisional connection, not an outcome finding.</w:t>
      </w:r>
    </w:p>
    <w:p>
      <w:r>
        <w:t>Available abstract (not full text): Climate change, technological innovation, as well as electrification of energy services to meet carbon targets, have a significant impact on electricity demand magnitude and patterns. Increasing generation from renewable energy sources is already changing supply variability at the hourly and seasonal timescales. Our aim is to conduct a rigorous study of European historical demand, to understand its relationship with social and weather drivers and, therefore, to gain insights into appropriate storage needs. Daily activity profiles exhibit notable differences across European countries, with some of them reporting a consistent demand reduction, up to 25%, during school closures and Christmas festivities. In addition, temperature sensitivity differentiates demand by countries’ latitude (north vs. south), and by technologies (electric heating vs. other fuel based heating). Assuming a 100% renewables scenario, European countries would display quite distinct periodicities and amplitudes of their residual electricity demands. Annual load curves and temperature sensitivities of nations with high electric heating or cooling demand can assist in the prediction of future electricity and other fuel consumption under increased electrification and climate change scenarios. Fourier periodicity and residual demand analysis suggest that, in addition to grid storage, European countries with mutua</w:t>
      </w:r>
    </w:p>
    <w:p>
      <w:r>
        <w:t>POSSIBLE 2017: The increasing impact of weather on electricity supply and demand — https://doi.org/10.1016/j.energy.2017.12.051</w:t>
      </w:r>
    </w:p>
    <w:p>
      <w:r>
        <w:t>Shared claim-specific concepts: electricity, renewable, sectors, electrified; EU scope not established. This is a provisional connection, not an outcome finding.</w:t>
      </w:r>
    </w:p>
    <w:p>
      <w:r>
        <w:t>Available abstract (not full text): Wind and solar power have experienced rapid cost declines and are being deployed at scale. However, their output variability remains a key problem for managing electricity systems, and the implications of multi-day to multi-year variability are still poorly understood. As other energy-using sectors are electrified, the shape and variability of electricity demand will also change. We develop an open framework for quantifying the impacts of weather on electricity supply and demand using the Renewables.ninja and DESSTINEE models. We demonstrate this using a case study of Britain using National Grid's Two Degrees scenario forwards to 2030. We find the British electricity system is rapidly moving into unprecedented territory, with peak demand rising above 70 GW due to electric heating, and intermittent renewable output exceeding demand as early as 2021. Hourly ramp-rates widen by 50% and year-to-year variability increases by 80%, showing why future power system studies must consider multiple years of data, and the influence of weather on both supply and demand. Our framework is globally applicable, and allows detailed scenarios of hourly electricity supply and demand to be explored using only limited input data such as annual quantities from government scenarios or broader energy systems models.</w:t>
      </w:r>
    </w:p>
    <w:p>
      <w:r>
        <w:t>POSSIBLE 2017: The Risk of Residential Peak Electricity Demand: A Comparison of Five European Countries — https://doi.org/10.3390/en10030385</w:t>
      </w:r>
    </w:p>
    <w:p>
      <w:r>
        <w:t>Shared claim-specific concepts: electricity, renewable; EU scope visible. This is a provisional connection, not an outcome finding.</w:t>
      </w:r>
    </w:p>
    <w:p>
      <w:r>
        <w:t>Available abstract (not full text): The creation of a Europe-wide electricity market combined with the increased intermittency of supply from renewable sources calls for an investigation into the risk of aggregate peak demand. This paper makes use of a risk model to assess differences in time-use data from residential end-users in five different European electricity markets. Drawing on the Multinational Time-Use Survey database, it assesses risk in relation to the probability of electrical appliance use within households for five European countries. Findings highlight in which countries and for which activities the risk of aggregate peak demand is higher and link smart home solutions (automated load control, dynamic pricing and smart appliances) to different levels of peak demand risk.</w:t>
      </w:r>
    </w:p>
    <w:p>
      <w:r>
        <w:t>POSSIBLE 2017: RE-Europe, a large-scale dataset for modeling a highly renewable European electricity system — https://doi.org/10.1038/sdata.2017.175</w:t>
      </w:r>
    </w:p>
    <w:p>
      <w:r>
        <w:t>Shared claim-specific concepts: electricity, renewable, generation; EU scope visible. This is a provisional connection, not an outcome finding.</w:t>
      </w:r>
    </w:p>
    <w:p>
      <w:r>
        <w:t>Available abstract (not full text): Future highly renewable energy systems will couple to complex weather and climate dynamics. This coupling is generally not captured in detail by the open models developed in the power and energy system communities, where such open models exist. To enable modeling such a future energy system, we describe a dedicated large-scale dataset for a renewable electric power system. The dataset combines a transmission network model, as well as information for generation and demand. Generation includes conventional generators with their technical and economic characteristics, as well as weather-driven forecasts and corresponding realizations for renewable energy generation for a period of 3 years. These may be scaled according to the envisioned degrees of renewable penetration in a future European energy system. The spatial coverage, completeness and resolution of this dataset, open the door to the evaluation, scaling analysis and replicability check of a wealth of proposals in, e.g., market design, network actor coordination and forecasting of renewable power generation.</w:t>
      </w:r>
    </w:p>
    <w:p>
      <w:pPr>
        <w:pStyle w:val="Heading2"/>
      </w:pPr>
      <w:r>
        <w:t>Modelling street level PM 10 concentrations across Europe: source apportionment and possible futures</w:t>
      </w:r>
    </w:p>
    <w:p>
      <w:r>
        <w:t>Original source (2015): https://doi.org/10.5194/acp-15-1539-2015</w:t>
      </w:r>
    </w:p>
    <w:p>
      <w:r>
        <w:t>Original wording (abstract; indexed_source_text_not_full_document_verified): Furthermore, we analyse the predicted evolution of PM10 concentrations in the European Union until 2030 under different policy scenarios. Remaining issues are largely eliminated in a scenario applying the best available emission control technologies to the maximal technically feasible extent.</w:t>
      </w:r>
    </w:p>
    <w:p>
      <w:r>
        <w:t>POSSIBLE 2025: Understanding and predicting the geographic distributions of phlebotomine sand flies in and around Europe — https://doi.org/10.1007/s10584-025-04009-z</w:t>
      </w:r>
    </w:p>
    <w:p>
      <w:r>
        <w:t>Shared claim-specific concepts: predicted, largely, available; EU scope visible. This is a provisional connection, not an outcome finding.</w:t>
      </w:r>
    </w:p>
    <w:p>
      <w:r>
        <w:t xml:space="preserve">Available abstract (not full text): Climate and land-use changes influence the transmission of vector-borne diseases by affecting the distribution and survival of disease vectors. Numerous diseases are transmitted by phlebotomine sand flies (Diptera: Psychodidae: Phlebotominae), including leishmaniasis. Several major sand fly-borne diseases are responsible for high global disease burdens and high socio-economic costs. In Europe, over 20 known sand fly vector species are largely confined to the Mediterranean Basin, yet records of sand fly presence further north increase. Global warming is predicted to drive the spread of sand flies to large areas of Europe in the 21th century, an effect likely to be exacerbated by anthropogenic factors. However, the constraints to the geographic distributions of sand flies are not well understood. This study aims to increase the understanding of the drivers of the geographic distributions of sand flies, using species distribution modelling to systematically test links between sand fly occurrences and climatic, land-use, lithological, biodiversity and human population variables in Europe and adjacent Mediterranean regions. We found that moisture is the most important environmental variable both in explaining and in predicting sand fly occurrences. The projected suitable habitats are larger than the current known sand fly distributions, and these habitats are expected to expand due </w:t>
      </w:r>
    </w:p>
    <w:p>
      <w:r>
        <w:t>POSSIBLE 2019: Distribution trends of European dragonflies under climate change — https://doi.org/10.1111/ddi.12913</w:t>
      </w:r>
    </w:p>
    <w:p>
      <w:r>
        <w:t>Shared claim-specific concepts: furthermore, predicted, different; EU scope visible. This is a provisional connection, not an outcome finding.</w:t>
      </w:r>
    </w:p>
    <w:p>
      <w:r>
        <w:t>Available abstract (not full text):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pPr>
        <w:pStyle w:val="Heading2"/>
      </w:pPr>
      <w:r>
        <w:t>Ocean energy development in Europe: Current status and future perspectives</w:t>
      </w:r>
    </w:p>
    <w:p>
      <w:r>
        <w:t>Original source (2015): https://doi.org/10.1016/j.ijome.2015.05.001</w:t>
      </w:r>
    </w:p>
    <w:p>
      <w:r>
        <w:t>Original wording (abstract; indexed_source_text_not_full_document_verified): In the EU, the aim is to reach 100 GW of combined wave and tidal capacity installed by 2050. Ocean energy has the potential to play a significant role in the future energy system, whilst contributing to the reduction of carbon emissions and stimulating economic growth in coastal and remote areas.</w:t>
      </w:r>
    </w:p>
    <w:p>
      <w:r>
        <w:t>POSSIBLE 2023: Combined gastric and colorectal cancer endoscopic screening may be cost-effective in Europe with the implementation of artificial intelligence: an economic evaluation — https://doi.org/10.1097/meg.0000000000002680</w:t>
      </w:r>
    </w:p>
    <w:p>
      <w:r>
        <w:t>Shared claim-specific concepts: combined, system; EU scope visible. This is a provisional connection, not an outcome finding.</w:t>
      </w:r>
    </w:p>
    <w:p>
      <w:r>
        <w:t>Available abstract (not full text): BACKGROUND/AIMS: Endoscopic screening for gastric cancer (GC) is not recommended in low-intermediate incidence countries. Artificial intelligence (AI) has high accuracy in GC detection and might increase the cost-effectiveness of screening strategies. We aimed to assess the cost-effectiveness of AI for GC detection in settings with different GC incidence and different accuracies of AI systems. METHODS: Cost-effectiveness analysis (using Markov model) comparing different screening strategies (no screening versus single esophagogastroduodenoscopy (EGD) at 50 years versus stand-alone EGD every 5/10 years versus combined EGD and screening colonoscopy once or twice per decade in Netherlands, Italy and Portugal) with variable AI accuracy settings. The primary outcome was the incremental cost-effectiveness ratio of the different strategies versus no screening. Deterministic and probabilistic sensitivity analyses were conducted. RESULTS: Without AI, one single EGD at 50 years (Netherlands, Italy, Portugal), EGD combined with screening colonoscopy once per decade (Italy and Portugal) and EGD combined with screening colonoscopy twice per decade (Portugal) are cost-effective when compared with no screening. If AI increases the accuracy of EGD by at least 1% in comparison to the accuracy of white-light endoscopy accuracy (89%), combined screening twice per decade also becomes cost-effectiv</w:t>
      </w:r>
    </w:p>
    <w:p>
      <w:r>
        <w:t>POSSIBLE 2022: Perspective on the hydrogen economy as a pathway to reach net-zero CO 2 emissions in Europe — https://doi.org/10.1039/d1ee02118d</w:t>
      </w:r>
    </w:p>
    <w:p>
      <w:r>
        <w:t>Shared claim-specific concepts: reach, energy, role, emissions; EU scope visible. This is a provisional connection, not an outcome finding.</w:t>
      </w:r>
    </w:p>
    <w:p>
      <w:r>
        <w:t>Available abstract (not full text): The envisioned role of hydrogen in the energy transition – or the concept of a hydrogen economy – has varied through the years.</w:t>
      </w:r>
    </w:p>
    <w:p>
      <w:r>
        <w:t>POSSIBLE 2021: Review of Works Combining GNSS and InSAR in Europe — https://doi.org/10.3390/rs13091684</w:t>
      </w:r>
    </w:p>
    <w:p>
      <w:r>
        <w:t>Shared claim-specific concepts: combined, system, remote; EU scope visible. This is a provisional connection, not an outcome finding.</w:t>
      </w:r>
    </w:p>
    <w:p>
      <w:r>
        <w:t xml:space="preserve">Available abstract (not full text): The Global Navigation Satellite System (GNSS) and Synthetic Aperture Radar Interferometry (InSAR) can be combined to achieve different goals, owing to their main principles. Both enable the collection of information about ground deformation due to the differences of two consequent acquisitions. Their variable applications, even if strictly related to ground deformation and water vapor determination, have encouraged the scientific community to combine GNSS and InSAR data and their derivable products. In this work, more than 190 scientific contributions were collected spanning the whole European continent. The spatial and temporal distribution of such studies, as well as the distinction in different fields of application, were analyzed. Research in Italy, as the most represented nation, with 47 scientific contributions, has been dedicated to the spatial and temporal distribution of its studied phenomena. The state-of-the-art of the various applications of these two combined techniques can improve the knowledge of the scientific community and help in the further development of new approaches or additional applications in different fields. The demonstrated usefulness and versability of the combination of GNSS and InSAR remote sensing techniques for different purposes, as well as the availability of free data, EUREF and GMS (Ground Motion Service), and the possibility of overcoming </w:t>
      </w:r>
    </w:p>
    <w:p>
      <w:r>
        <w:t>POSSIBLE 2020: Make the European Green Deal real: Combining climate neutrality and economic recovery — https://openalex.org/W3095040650</w:t>
      </w:r>
    </w:p>
    <w:p>
      <w:r>
        <w:t>Shared claim-specific concepts: reach, energy, significant, role, system, reduction; EU scope visible. This is a provisional connection, not an outcome finding.</w:t>
      </w:r>
    </w:p>
    <w:p>
      <w:r>
        <w:t>Available abstract (not full text): The European Green Deal (EGD), a package of measures "to put Europe on a pathway to a sustainable future, while leaving no one behind", can combine climate neutrality with a sustainable economic recovery of Europe coming out of the Corona pandemic crisis. However, this requires a tightening of climate targets for 2030 already, and the development of an ambitious climate policy pathway, replacing the current "business as usual". In particular, the recovery programs must target energy efficiency and innovations for sustainable technologies, such as renewable energies, storage, and other flexibility options. This study analyzes selected areas of the European Green Deal critically, focusing on the core objective of achieving climate neutrality. The study uses energy system modeling to describe an ambitious approach to achieve climate neutrality in the spirit of the Paris climate agreement (called "Paris"- scenario) aiming for carbon neutrality by 2040. Particular focus is placed on justice and solidarity between stakeholders that are affected differently. The reference benchmark of the EGD must be climate neutrality, and coherence with the 2015 Paris climate agreement for a pathway limiting the increase of the global mean temperature to far below 2°, and if possible to 1.5°. Significant increases in energy efficiency and energy savings through behavioral change can lead to a reduct</w:t>
      </w:r>
    </w:p>
    <w:p>
      <w:r>
        <w:t>POSSIBLE 2019: Future changes, or lack thereof, in the temporal variability of the combined wind-plus-solar power production in Europe — https://doi.org/10.1016/j.renene.2019.02.060</w:t>
      </w:r>
    </w:p>
    <w:p>
      <w:r>
        <w:t>Shared claim-specific concepts: combined, potential, significant; EU scope visible. This is a provisional connection, not an outcome finding.</w:t>
      </w:r>
    </w:p>
    <w:p>
      <w:r>
        <w:t>Available abstract (not full text): Here we present the first assessment of climate change impacts on the temporal variability of the joint production of wind and solar photovoltaic (PV) power across Europe. For that we adopted regional and continental perspectives (assuming a single European electricity grid), considered several temporal frequencies (from daily to annual), used state-of-the-art regional climate projections together with a climate-production model, and assumed a future massive deployment of wind and PV power installations. Results support that the spatio-temporal complementarity between the wind and solar resources helps to minimize the temporal variability of the combined production under both present (1971–2000) and future (2070–2099) climate conditions similarly. Thus the projected changes are overall negligible (well below ±5%). However, an additional assessment of theoretical upper/bottom bounds for these changes indicated significant potential increases in the stability of the joint production ranging from 5 to 25% across regions, 15% at the continental scale. This would be subordinated to the feasibility of reaching, with the future deployment strategies, individual wind and PV power production series with a perfect temporal anticorrelation. These results may encourage stakeholders to take holistically optimized decisions.</w:t>
      </w:r>
    </w:p>
    <w:p>
      <w:r>
        <w:t>POSSIBLE 2016: Land and climate effects of bioenergy - Brazilian sugarcane ethanol and combined biofuel-district heating in Europe — https://openalex.org/W2286452073</w:t>
      </w:r>
    </w:p>
    <w:p>
      <w:r>
        <w:t>Shared claim-specific concepts: aim, reach, combined, capacity, energy, carbon; EU scope visible. This is a provisional connection, not an outcome finding.</w:t>
      </w:r>
    </w:p>
    <w:p>
      <w:r>
        <w:t xml:space="preserve">Available abstract (not full text): According to the Intergovernmental Panel on Climate Change, use of fossil fuels is the largest source of\nthe increase in atmospheric CO2. The second largest is land use change. To reach stringent climate targets,\nemissions from fossil fuel combustion and land use change will need to be reduced to near zero\nwithin a few decades. Biomass is a renewable energy source that can be used to replace fossil fuels.\nHowever, it is a limited resource, expected to become scarce relative to future demand, prompting interest\nin optimizing efficiency. Further, when biomass for biofuels expands into new land areas, the total\nbiospheric carbon stock (the sum of soil and above-ground carbon) may increase or decrease, influencing\nthe net effect on greenhouse gas balances. This thesis, which consists of five separate papers, analyzes\nseveral key aspects associated with two bioenergy systems: (i) combined biofuels and district heat production\nin the EU and (ii) sugarcane for ethanol production in Brazil, with special attention to integration\nwith existing food and energy systems. The overall aim is to investigate specific options for improving\nmanagement of land use and land use change, efficient use of resources, and greenhouse gas balances for\nspecific bioenergy systems.\nIn Paper I, we study biomass gasification for the production of biofuels and heat for district heating systems\nin </w:t>
      </w:r>
    </w:p>
    <w:p>
      <w:pPr>
        <w:pStyle w:val="Heading2"/>
      </w:pPr>
      <w:r>
        <w:t>On European metropolisation scenarios and the future course of metropolitan development in Poland</w:t>
      </w:r>
    </w:p>
    <w:p>
      <w:r>
        <w:t>Original source (2015): https://doi.org/10.7163/gpol.0008</w:t>
      </w:r>
    </w:p>
    <w:p>
      <w:r>
        <w:t>Original wording (abstract; indexed_source_text_not_full_document_verified): The questions posed in this context involve the sustainability of policy assumptions concerning the role of cities of various size categories, as well as factors that could lead to a discontinuity in the trends observed in metropolisation For this purpose two alternative reference scenarios are outlined and examined in the light of some specific characteristics of Poland’s metropolitan development.</w:t>
      </w:r>
    </w:p>
    <w:p>
      <w:r>
        <w:t>POSSIBLE 2025: No Questions are Stupid, but some are Poorly Posed: Understanding Poorly-Posed Information-Seeking Questions — https://doi.org/10.18653/v1/2025.acl-long.160</w:t>
      </w:r>
    </w:p>
    <w:p>
      <w:r>
        <w:t>Shared claim-specific concepts: questions, posed, well; EU scope not established. This is a provisional connection, not an outcome finding.</w:t>
      </w:r>
    </w:p>
    <w:p>
      <w:r>
        <w:t>Available abstract (not full text): Questions help unlock information to satisfy users' information needs.However, when the question is poorly posed, answerers (whether human or computer) may struggle to answer the question in a way that satisfies the asker, despite possibly knowing everything necessary to address the asker's latent information need.Using Reddit question-answer interactions from r/NoStupidQuestions, we develop a computational framework grounded in linguistic theory to study poorly-posedness of questions by generating spaces of potential interpretations of questions and computing distributions over these spaces based on interpretations chosen by both human answerers in the Reddit question thread, as well as by a suite of large language models.Both humans and models struggle to converge on dominant interpretations when faced with poorly posed questions, but employ different strategies: humans focus on specific interpretations through question negotiation, while models attempt comprehensive coverage by addressing many interpretations simultaneously.</w:t>
      </w:r>
    </w:p>
    <w:p>
      <w:r>
        <w:t>POSSIBLE 2024: Tracing the Feminist Maternal in a European Context: A Review — https://doi.org/10.1017/hyp.2024.26</w:t>
      </w:r>
    </w:p>
    <w:p>
      <w:r>
        <w:t>Shared claim-specific concepts: posed, context, various, well; EU scope visible. This is a provisional connection, not an outcome finding.</w:t>
      </w:r>
    </w:p>
    <w:p>
      <w:r>
        <w:t>Available abstract (not full text): “What might motherhood and Europe have to do with one another?” is a question posed by Lisa Baraitser in the Foreword to the collection, Motherhood in Literature and Culture: Interdisciplinary Perspectives from Europe. The question is certainly pertinent at a time when the very concept of Europe as a geopolitical space and an imaginary construct is being interrogated and critiqued from both within and without the carefully policed borders of the European Union project. It is also pertinent given the increased amount of scholarship on the maternal produced by scholars occupying various transnational locations and positionalities, working to deconstruct unitary and essentialist ideas about mothers and motherhood. The possibility of identifying a specifically European maternal theoretical and lived space thus invites us to carefully theorize the diversity of European contexts, a diversity that is often occluded or elided by easy references to Eurocentric bias in feminist research, as well as the dis/continuities between European-based and Anglo-American feminist scholarship on the maternal. And yet, precisely because the work of mothering always unfolds within specific micro and macro geographic, social, cultural, and ideological spaces, the question merits closer attention. In this essay I consider the cluster of three books delineating the contours of an Italian, as well as a mo</w:t>
      </w:r>
    </w:p>
    <w:p>
      <w:r>
        <w:t>POSSIBLE 2021: LEGAL BASES OF PUBLIC ADMINISTRATION IN THE CONTEXT OF EUROPEAN INTEGRATION OF UKRAINE: QUESTIONS OF FORMATION OF A PERSONNEL RESERVE — https://openalex.org/W3210655204</w:t>
      </w:r>
    </w:p>
    <w:p>
      <w:r>
        <w:t>Shared claim-specific concepts: questions, context, role, purpose; EU scope visible. This is a provisional connection, not an outcome finding.</w:t>
      </w:r>
    </w:p>
    <w:p>
      <w:r>
        <w:t>Available abstract (not full text): Taking into account the realities of the context of Ukraine's European integration, the article emphasizes that the world practice of reforming the public administration system is based on the concept of New Public Management (NPM). It is based on the conditions for maintaining transparency in the activities of public services, restructuring their work to increase efficiency and reduce costs. The purpose of this study is to show the features of the formation of human resources, knowledge, and competence management in the public service of Ukraine. Among the tasks of the study, the following were identified and solved: to analyze the current situation in managing the development of the competence potential of civil service employees in the legal and social aspect, to identify existing problems and shortcomings in this area, to substantiate the role of the competence-based approach as an integral part of the civil service (public administration) personnel management system.</w:t>
      </w:r>
    </w:p>
    <w:p>
      <w:r>
        <w:t>POSSIBLE 2021: Food Production Harms in the European Context: The EU as an Enabler or a Solution? — https://doi.org/10.46692/9781529212358.008</w:t>
      </w:r>
    </w:p>
    <w:p>
      <w:r>
        <w:t>Shared claim-specific concepts: context, involve, observed; EU scope visible. This is a provisional connection, not an outcome finding.</w:t>
      </w:r>
    </w:p>
    <w:p>
      <w:r>
        <w:t>Available abstract (not full text): Introduction Food is vitally important for human subsistence. Moreover, the nature of socio-environmental and politico-economic conditions is particularly intricate in the process of food production. This intricacy begs the question, ‘who is producing what kind of food, for whose benefit, and to whose disadvantage?’ (Moragues-Faus and Marsden, 2017: 281). This chapter poses the question of whether food production-focused research can also become the lens that helps to open up new lines of inquiry about what is ‘European’ about European white-collar crime. Even though both isolated deviancy and systemic harm feature in the fabric of modern food systems, criminological engagement with intersections of food, crime and harm has not been prolific (see Walters, 2007; Cheng, 2011; Croall, 2012). Once the concept of food crime was introduced by Croall in 2007, avenues for research included food fraud, food poisoning (Tombs and Whyte, 2010), food mislabelling (Croall, 2012), trade practices and environmental law (Walters, 2006), food pricing, exploitation in food production (Tombs and Whyte, 2007) and cruelty to animals (Agnew, 1998; Yates, 2007). The intersection of food and criminological research in the European context can be observed in The Routledge Handbook of White-Collar and Corporate Crime in Europe (2015), which invokes the topic of food crime in relation to food adulteration</w:t>
      </w:r>
    </w:p>
    <w:p>
      <w:r>
        <w:t>POSSIBLE 2020: The Latest Stage of the German Question: Pax Germanica in the New Europe — https://doi.org/10.4324/9781003100737-7</w:t>
      </w:r>
    </w:p>
    <w:p>
      <w:r>
        <w:t>Shared claim-specific concepts: posed, context, concerning, well; EU scope visible. This is a provisional connection, not an outcome finding.</w:t>
      </w:r>
    </w:p>
    <w:p>
      <w:r>
        <w:t>Available abstract (not full text): This chapter argues that the problem posed concerning the ‘German question’ in its latest form is novel, not only in the context in which it has developed but in the form that it takes. Germany’s unification engendered the emergence of a new stage of the ‘German question’ that has dominated modern European political, economic and military relations for over a century. The traditional formulation of this problematique has always started from the working assumption that Germany’s elites have sought to expand their economic and territorial base beyond their universally-defined geographic borders. Arguments stressing benign effect of German unification for European security and economic development reflect one of three critical elements. Although they might combine aspects of more than one form, this intellectual approach is preponderantly functional, institutional or sociological. The debate between optimists and pessimists therefore really focuses on degree of German centrality in new European order, as well as implications for Germany’s position in Europe and for global stability.</w:t>
      </w:r>
    </w:p>
    <w:p>
      <w:r>
        <w:t>POSSIBLE 2020: Forty questions of importance to the policy and practice of native oyster reef restoration in Europe — https://doi.org/10.1002/aqc.3462</w:t>
      </w:r>
    </w:p>
    <w:p>
      <w:r>
        <w:t>Shared claim-specific concepts: questions, well, two; EU scope visible. This is a provisional connection, not an outcome finding.</w:t>
      </w:r>
    </w:p>
    <w:p>
      <w:r>
        <w:t>Available abstract (not full text): Abstract Oyster reefs are among the most threatened marine habitats globally. In Europe, oyster reefs have been extirpated from most locations within their historical range. Active restoration of the native oyster (Ostrea edulis) in Europe has grown substantially in recent years. In sharing experiences between oyster restoration projects in Europe at the Native Oyster Restoration Alliance conference, NORA2, in Edinburgh in May 2019, it became apparent that a number of similar barriers are experienced. This study identified the top 40 questions, which, if answered, would have the greatest influence on the policy and practice of oyster restoration in Europe. Initially 71 people were consulted across 28 institutions and 11 European countries to generate 194 questions. An established process of one round of pre‐workshop voting followed by a one‐day online workshop and two post‐workshop rounds of voting resulted in the final 40 questions. Questions were broadly grouped into the following 10 themes: baselines, site selection, restoration methods, quantifying benefits, disease management, biosecurity, genetic diversity and population differentiation, policy and management, novel technologies, and current and future threats. We anticipate that this list will provide a starting point for developing collaborative projects across the NORA network, as well as assisting policy makers and fu</w:t>
      </w:r>
    </w:p>
    <w:p>
      <w:r>
        <w:t>POSSIBLE 2019: Non-kin ties as a source of support in Europe: On the role of context — https://doi.org/10.13140/rg.2.2.35004.90249</w:t>
      </w:r>
    </w:p>
    <w:p>
      <w:r>
        <w:t>Shared claim-specific concepts: questions, context, role, two; EU scope visible. This is a provisional connection, not an outcome finding.</w:t>
      </w:r>
    </w:p>
    <w:p>
      <w:r>
        <w:t>Available abstract (not full text): The process of modernisation brought about new contexts, such as ageing, individualism, and migration – to just name a few – posing questions about the organisation of support and the role of different providers in individuals’ support networks. A key premise across Europe has been the idea that kin and non-kin ties should take more responsibility in the future, but little is known about the circumstances under which they are willing and able to do so. This holds particularly true for non-kin ties – ties which are not related by blood or legal arrangements, e.g. friends, neighbours and colleagues. Non-kin ties have been largely neglected in European research on support. A link between generous social spending and non-kin support has been established, but questions such as how do non-relatives situate in individuals’ support networks remain open. Our knowledge remains equally scarce when it comes to the mechanics underlying non-kin help. This dissertation addresses this knowledge lacuna and poses two key questions: (1) To what extent do non-kin ties form part of individuals’ support networks across Europe? and (2) How are contemporary cultural, social, and demographic contexts, at both the individual and the country level, linked with potential and actual non-kin support in Europe?</w:t>
      </w:r>
    </w:p>
    <w:p>
      <w:r>
        <w:t>POSSIBLE 2019: Extremism and toxic masculinity: the man question re-posed — https://doi.org/10.1093/ia/iiz177</w:t>
      </w:r>
    </w:p>
    <w:p>
      <w:r>
        <w:t>Shared claim-specific concepts: posed, role, two; EU scope not established. This is a provisional connection, not an outcome finding.</w:t>
      </w:r>
    </w:p>
    <w:p>
      <w:r>
        <w:t>Available abstract (not full text): Abstract It is more than 20 years since Marysia Zalewski and feminist scholars posed ‘the man question’ in International Relations, repositioning the gaze from female subjectivities to a problematization of the subjecthood of man. The field of masculinity studies has developed this initial question to a deep interrogation of the relationship between maleness and violence. Yet public and policy discourse often reduce the complexity of masculinities within extremism to issues of crisis and toxicity. Governments have prioritized the prevention of extremism, particularly violent Islamism, and in so doing have produced as ‘risk’ particular racialized and marginalized men. This article asks, what are the effects of the toxic masculinity discourse in understanding the British radical right? It argues that current understandings of extremism neglect the central aim of Zalewski's ‘man’ question to destabilize the field and deconstruct patriarchy. They instead position Islamophobia—which is institutionalized in state discourse—as the responsibility of particular ‘extreme’ and ‘toxic’ groups. In particular, the article outlines two ways in which ‘toxic masculinity’ is an inadequate concept to describe activism in the anti-Islam(ist) movement the English Defence League (EDL). First, the term ‘toxic masculinity’ occludes the continuities of EDL masculinities with wider patriarchal norms; se</w:t>
      </w:r>
    </w:p>
    <w:p>
      <w:r>
        <w:t>POSSIBLE 2017: Southern Europe in a Migratory Context — https://doi.org/10.4324/9781315133096-3</w:t>
      </w:r>
    </w:p>
    <w:p>
      <w:r>
        <w:t>Shared claim-specific concepts: context, role, two; EU scope visible. This is a provisional connection, not an outcome finding.</w:t>
      </w:r>
    </w:p>
    <w:p>
      <w:r>
        <w:t>Available abstract (not full text): International comparative research focuses on the study of a relation and it can be based, either on the similarities or differences existing between two or more social processes. The issue of linearity in comparative work has been one of the main problems when dealing with the evolutionary heritage of the social sciences. Firstly, the idea of linearity is based on the existence of a fundamental industrializing trend, which itself is built into the main sociological theories. Then, the idea of linearity can also be applied to the assumed role of the welfare state in the later capitalist era. This chapter poses the question of convergence in terms of the interdisciplinary context located in the labor market, civil society, and the state. Changes in the market and in the family are the basis for the reproductive effect on the situation of foreign immigrants.</w:t>
      </w:r>
    </w:p>
    <w:p>
      <w:r>
        <w:t>POSSIBLE 2016: Historicity and citizenship as conditions for national minority rights in Central Europe: old principles in a new migration context — https://doi.org/10.1080/1369183x.2015.1132158</w:t>
      </w:r>
    </w:p>
    <w:p>
      <w:r>
        <w:t>Shared claim-specific concepts: context, role, two; EU scope visible. This is a provisional connection, not an outcome finding.</w:t>
      </w:r>
    </w:p>
    <w:p>
      <w:r>
        <w:t>Available abstract (not full text): Having a historical presence in a country and citizenship of that country are two basic conditions under which national minority rights are granted in many countries, but increasing international migration has started to pose a challenge to this conception. Like other countries of Central Europe, the Czech Republic has adopted the two conditions for granting rights to traditional ‘national minorities’ and has developed a separate policy for the ‘integration of foreigners’; however, the emergence of the second generation of Vietnamese has presented a special challenge to this two-tier policy system. Recent renegotiation of the historicity of this immigrant group has resulted in its ‘official recognition’ as a national minority. This paper discusses this case in its wider Central European context, and addresses the question of whether we are observing an erosion of the two-tier policy system or a reconsideration of the distinction between ‘old’ and ‘new’ minorities. Finally, the paper touches upon the question of the role and usability of ‘old’ minority language rights, considering the lack of interest among the traditional minorities vs. the linguistic situation of the migrants’ second generation.</w:t>
      </w:r>
    </w:p>
    <w:p>
      <w:r>
        <w:t>POSSIBLE 2016: A review of canine babesiosis: the European perspective — https://doi.org/10.1186/s13071-016-1596-0</w:t>
      </w:r>
    </w:p>
    <w:p>
      <w:r>
        <w:t>Shared claim-specific concepts: questions, posed, various; EU scope visible. This is a provisional connection, not an outcome finding.</w:t>
      </w:r>
    </w:p>
    <w:p>
      <w:r>
        <w:t>Available abstract (not full text): Canine babesiosis is a significant tick-borne disease caused by various species of the protozoan genus Babesia. Although it occurs worldwide, data relating to European infections have now been collected for many years. These data have boosted the publication record and increased our working knowledge of these protozoan parasites. Both the large and small forms of Babesia species (B. canis, B. vogeli, B. gibsoni, and B. microti-like isolates also referred to as "B. vulpes" and "Theileria annae") infect dogs in Europe, and their geographical distribution, transmission, clinical signs, treatment, and prognosis vary widely for each species. The goal of this review is to provide veterinary practitioners with practical guidelines for the diagnosis, treatment and prevention of babesiosis in European dogs. Our hope is that these guidelines will answer the most frequently asked questions posed by veterinary practitioners.</w:t>
      </w:r>
    </w:p>
    <w:p>
      <w:pPr>
        <w:pStyle w:val="Heading2"/>
      </w:pPr>
      <w:r>
        <w:t>PROGNOZY WYDAJNOŚCI MLECZNEJ KRÓW W POLSCE I W UNII EUROPEJSKIEJ NA LATA 2030 I 2050</w:t>
      </w:r>
    </w:p>
    <w:p>
      <w:r>
        <w:t>Original source (2015): https://doi.org/10.22004/ag.econ.233003</w:t>
      </w:r>
    </w:p>
    <w:p>
      <w:r>
        <w:t>Original wording (abstract; indexed_source_text_not_full_document_verified): According to the CAPRI model in 2030 and 2050, the average milk yield in Poland will increase by 22 and 28% compared to 2010. On the basis of trend analysis, in 2030 for the average data from the CSO index of growth is 41%, and 46 and 60%, respectively for PFHBiPM and FADN.</w:t>
      </w:r>
    </w:p>
    <w:p>
      <w:r>
        <w:t>POSSIBLE 2026: EU Wide Disaggregated CAPRI Model Data: Crops, Livestock, Nitrogen In- and Outputs (Timeseries 2000-2018) — https://doi.org/10.1038/s41597-026-06919-8</w:t>
      </w:r>
    </w:p>
    <w:p>
      <w:r>
        <w:t>Shared claim-specific concepts: capri, yield, data; EU scope visible. This is a provisional connection, not an outcome finding.</w:t>
      </w:r>
    </w:p>
    <w:p>
      <w:r>
        <w:t>Available abstract (not full text):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r>
        <w:t>POSSIBLE 2023: Impact of AlphaFold on structure prediction of protein complexes: The CASP15‐CAPRI experiment — https://doi.org/10.1002/prot.26609</w:t>
      </w:r>
    </w:p>
    <w:p>
      <w:r>
        <w:t>Shared claim-specific concepts: capri, average, compared; EU scope not established. This is a provisional connection, not an outcome finding.</w:t>
      </w:r>
    </w:p>
    <w:p>
      <w:r>
        <w:t xml:space="preserve">Available abstract (not full text):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r>
        <w:t>POSSIBLE 2019: Blind prediction of homo‐ and hetero‐protein complexes: The CASP13‐CAPRI experiment — https://doi.org/10.1002/prot.25838</w:t>
      </w:r>
    </w:p>
    <w:p>
      <w:r>
        <w:t>Shared claim-specific concepts: capri, average, data; EU scope not established. This is a provisional connection, not an outcome finding.</w:t>
      </w:r>
    </w:p>
    <w:p>
      <w:r>
        <w:t>Available abstract (not full text):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r>
        <w:t>POSSIBLE 2017: Lignocellulosic Crops in Europe: Integrating Crop Yield Potentials with Land Potentials — https://doi.org/10.6092/unibo/amsdottorato/7854</w:t>
      </w:r>
    </w:p>
    <w:p>
      <w:r>
        <w:t>Shared claim-specific concepts: according, capri, yield, data; EU scope visible. This is a provisional connection, not an outcome finding.</w:t>
      </w:r>
    </w:p>
    <w:p>
      <w:r>
        <w:t>Available abstract (not full text): Given the ambitious EU targets to further decarbonise the economy, it can be expected that the demand for lignocellulosic biomass will continue to grow. Provisioning of part of this biomass by dedicated biomass crops becomes an option. This study presents integrated approach for crop allocation based on land availability and crop requirements. The model analysis to investigate the potential extension of unused land and its suitability for lignocellulosic crops was carried out in 37 European countries at the NUTS3 level. The CAPRI model predicts future land use changes and was used as a basic input to assess the agricultural biomass potentials in Europe. It was then identified the total land resource with a post-modeling assessment for three different potentials to the year 2020 and 2030, according to sustainability criteria formulated in the Renewable Energy directive (RED). Furthermore, crop-specific suitability maps were generated for each crop based on the variability of biophysical factors such as climate, soil properties and topographical aspects. The yields and cost levels that can be reached in Europe with different perennial crops in different climatic, soil and management situations. The AquaCrop model developed by FAO was used and fed with phenological parameters per crop and detailed weather data to simulate the crop growth in all European Nuts 3 regions. Yield level</w:t>
      </w:r>
    </w:p>
    <w:p>
      <w:r>
        <w:t>POSSIBLE 2016: Prediction of homoprotein and heteroprotein complexes by protein docking and template‐based modeling: A CASP‐CAPRI experiment — https://doi.org/10.1002/prot.25007</w:t>
      </w:r>
    </w:p>
    <w:p>
      <w:r>
        <w:t>Shared claim-specific concepts: capri, average, data; EU scope not established. This is a provisional connection, not an outcome finding.</w:t>
      </w:r>
    </w:p>
    <w:p>
      <w:r>
        <w:t>Available abstract (not full text): We present the results for CAPRI Round 30, the first joint CASP-CAPRI experiment, which brought together experts from the protein structure prediction and protein-protein docking communities. The Round comprised 25 targets from amongst those submitted for the CASP11 prediction experiment of 2014. The targets included mostly homodimers, a few homotetramers, and two heterodimers, and comprised protein chains that could readily be modeled using templates from the Protein Data Bank. On average 24 CAPRI groups and 7 CASP groups submitted docking predictions for each target, and 12 CAPRI groups per target participated in the CAPRI scoring experiment. In total more than 9500 models were assessed against the 3D structures of the corresponding target complexes. Results show that the prediction of homodimer assemblies by homology modeling techniques and docking calculations is quite successful for targets featuring large enough subunit interfaces to represent stable associations. Targets with ambiguous or inaccurate oligomeric state assignments, often featuring crystal contact-sized interfaces, represented a confounding factor. For those, a much poorer prediction performance was achieved, while nonetheless often providing helpful clues on the correct oligomeric state of the protein. The prediction performance was very poor for genuine tetrameric targets, where the inaccuracy of the homol</w:t>
      </w:r>
    </w:p>
    <w:p>
      <w:pPr>
        <w:pStyle w:val="Heading2"/>
      </w:pPr>
      <w:r>
        <w:t>PROJEKCJA ZMIAN WIELKOŚCI PLONÓW PSZENICY W POLSCE I UNII EUROPEJSKIEJ W LATACH 2030 I 2050 NA PODSTAWIE MODELU CAPRI</w:t>
      </w:r>
    </w:p>
    <w:p>
      <w:r>
        <w:t>Original source (2015): https://doi.org/10.22004/ag.econ.233132</w:t>
      </w:r>
    </w:p>
    <w:p>
      <w:r>
        <w:t>Original wording (abstract; indexed_source_text_not_full_document_verified): Based on the CAPRI model in 2030 , an average increase of 24% in wheat yield is projected in the 27 European Union countries compared to 2010. The aim of the study was to determine the dynamics of changes in wheat yield in Poland and the European Union in 2030 and 2050.</w:t>
      </w:r>
    </w:p>
    <w:p>
      <w:r>
        <w:t>POSSIBLE 2026: EU Wide Disaggregated CAPRI Model Data: Crops, Livestock, Nitrogen In- and Outputs (Timeseries 2000-2018) — https://doi.org/10.1038/s41597-026-06919-8</w:t>
      </w:r>
    </w:p>
    <w:p>
      <w:r>
        <w:t>Shared claim-specific concepts: capri, yield; EU scope visible. This is a provisional connection, not an outcome finding.</w:t>
      </w:r>
    </w:p>
    <w:p>
      <w:r>
        <w:t>Available abstract (not full text): The impacts of agricultural, environmental and climate change policies in Europe are investigated using the CAPRI (Common Agricultural Policy Regionalised Impact) model. Although the model runs at a regional level, primarily NUTS2, the underlying data have been spatially disaggregated to finer scale units called 'Farm Structure Units'. In this study we present these spatially disaggregated layers of agri-environmental variables for a time series from 2000 to 2018. This harmonized and spatially consistent data set includes crop types (area, yield), livestock types (totals and densities) and various parameters associated with nitrogen application and losses. These data can be used to calculate nitrogen budgets as well as providing inputs to biogeochemical or land management models.</w:t>
      </w:r>
    </w:p>
    <w:p>
      <w:r>
        <w:t>POSSIBLE 2025: EU-level CAPRI impact assessment for the organic sector — https://openalex.org/W7154541293</w:t>
      </w:r>
    </w:p>
    <w:p>
      <w:r>
        <w:t>Shared claim-specific concepts: capri, union; EU scope visible. This is a provisional connection, not an outcome finding.</w:t>
      </w:r>
    </w:p>
    <w:p>
      <w:r>
        <w:t>Available abstract (not full text): Achieving the European Union’s target of 25% organic farmland by 2030 is a cornerstone of the Farm-to-Fork and Biodiversity Strategies under the European Green Deal. Meeting this objective requires a profound transformation of European agriculture within a very short timeframe and across highly diverse national and regional contexts. Policymakers face two central challenges: understanding how organic expansion may unfold spatially under different drivers and assessing the economic and environmental implications of such a transition. This report addresses both challenges by combining a novel projection framework for organic area expansion with a comprehensive modelling of sectoral impacts using the CAPRI model.</w:t>
      </w:r>
    </w:p>
    <w:p>
      <w:r>
        <w:t>POSSIBLE 2024: European maps of crop / livestock categories and N budget parameters (timeseries 2000 – 2018) based on disaggregated CAPRI model data — https://doi.org/10.5194/egusphere-egu24-18505</w:t>
      </w:r>
    </w:p>
    <w:p>
      <w:r>
        <w:t>Shared claim-specific concepts: based, capri; EU scope visible. This is a provisional connection, not an outcome finding.</w:t>
      </w:r>
    </w:p>
    <w:p>
      <w:r>
        <w:t xml:space="preserve">Available abstract (not full text): The agricultural sector holds the greatest reduction potential to limit adverse effects of reactive nitrogen in the environment. Assessing the negative impacts of excessive release of reactive nitrogen into the biosphere requires spatially explicit information to capture e.g. hot spots of nitrogen surplus, nitrogen use efficiency, the impact on sensitive ecosystems or on ground/drinking water quality.The agricultural economic model CAPRI is one of the main tools applied by the European Commission for the ex-ante analysis of the impact of agricultural policies and agro-environmental legislation at regional level (NUTS2) in Europe. CAPRI builds on long-term time series of regional, national and international agricultural statistics (e.g. crop and livestock production, fertilizer use), market and trade data. Inputs (e.g. inorganic fertilizer) in CAPRI are explicitly linked to production which delivers the basis for connecting environmental indicators (e.g. nitrogen surplus) directly to individual activities.To provide the link between the agro-economic model CAPRI and the impact assessment of nitrogen use in agriculture on the environment at higher spatial resolution, we developed a procedure to disaggregate CAPRI regional data and provide maps of nitrogen input/output, crop and livestock production for the time series 2000 – 2018 at the level of Farm Structure Units (FSU) for 26 </w:t>
      </w:r>
    </w:p>
    <w:p>
      <w:r>
        <w:t>POSSIBLE 2023: Impact of AlphaFold on structure prediction of protein complexes: The CASP15‐CAPRI experiment — https://doi.org/10.1002/prot.26609</w:t>
      </w:r>
    </w:p>
    <w:p>
      <w:r>
        <w:t>Shared claim-specific concepts: based, capri, average, compared; EU scope not established. This is a provisional connection, not an outcome finding.</w:t>
      </w:r>
    </w:p>
    <w:p>
      <w:r>
        <w:t xml:space="preserve">Available abstract (not full text): We present the results for CAPRI Round 54, the 5th joint CASP-CAPRI protein assembly prediction challenge. The Round offered 37 targets, including 14 homodimers, 3 homo-trimers, 13 heterodimers including 3 antibody-antigen complexes, and 7 large assemblies. On average ~70 CASP and CAPRI predictor groups, including more than 20 automatics servers, submitted models for each target. A total of 21 941 models submitted by these groups and by 15 CAPRI scorer groups were evaluated using the CAPRI model quality measures and the DockQ score consolidating these measures. The prediction performance was quantified by a weighted score based on the number of models of acceptable quality or higher submitted by each group among their five best models. Results show substantial progress achieved across a significant fraction of the 60+ participating groups. High-quality models were produced for about 40% of the targets compared to 8% two years earlier. This remarkable improvement is due to the wide use of the AlphaFold2 and AlphaFold2-Multimer software and the confidence metrics they provide. Notably, expanded sampling of candidate solutions by manipulating these deep learning inference engines, enriching multiple sequence alignments, or integration of advanced modeling tools, enabled top performing groups to exceed the performance of a standard AlphaFold2-Multimer version used as a yard stick. </w:t>
      </w:r>
    </w:p>
    <w:p>
      <w:r>
        <w:t>POSSIBLE 2021: Improved modelling framework for assessing the interactions between the energy, agriculture, forestry and land use change sectors: Integrating the CAPRI, LUISA-BEES, CBM and POTEnCIA models — https://doi.org/10.2760/900305</w:t>
      </w:r>
    </w:p>
    <w:p>
      <w:r>
        <w:t>Shared claim-specific concepts: based, capri, dynamics; EU scope visible. This is a provisional connection, not an outcome finding.</w:t>
      </w:r>
    </w:p>
    <w:p>
      <w:r>
        <w:t>Available abstract (not full text): This report is an attempt to develop a modelling framework integrating different sectoral stand-alone models used at the JRC for policy impact assessment in the fields of agriculture, forestry, land use change and energy. The proposed quantitative framework should improve the capability of assessing greenhouse gas emissions and removals resulting from complex interactions between the agriculture, forestry, and other land use (AFOLU) sectors, and facilitate the analysis of policy scenarios relevant for a sustainable and carbon-neutral European economy. Four models are considered, for which a revised model specification and harmonization of relevant databases and model parameters is needed. The Common Agricultural Policy Regionalized Impact (CAPRI) Modelling System is a widely used large-scale multi-commodity agricultural economic model. The Land Use-based Integrated Sustainability Assessment modelling platform for BioEconomy and Ecosystem Services (LUISA-BEES) is primarily used for the ex-ante evaluation of European policies that have a direct or indirect territorial impact on the agricultural and forestry sectors. The Carbon Budget Model (CBM) is a stand-alone forestry model that simulates forest carbon dynamics. The Policy Oriented Tool for Energy and Climate Change Impact Assessment (POTEnCIA) model depicts a detailed EU energy system combining both techno-economic modules. A</w:t>
      </w:r>
    </w:p>
    <w:p>
      <w:r>
        <w:t>POSSIBLE 2021: Co-benefits of a flexitarian diet for air quality and human health in Europe — https://doi.org/10.1016/j.ecolecon.2021.107232</w:t>
      </w:r>
    </w:p>
    <w:p>
      <w:r>
        <w:t>Shared claim-specific concepts: capri, union; EU scope visible. This is a provisional connection, not an outcome finding.</w:t>
      </w:r>
    </w:p>
    <w:p>
      <w:r>
        <w:t>Available abstract (not full text): Agriculture is a major source of air pollution in Europe, with adverse impacts on human health. Having recognized the serious health outcomes, and in direct response to public demand for a cleaner environment, European public policies are aiming to reduce air pollution. This study proposes a shift to more plant-based human diets to help achieve bold reduction targets for air pollution from agriculture. To assess the potential reduction in agricultural air pollution, we combine a large-scale partial equilibrium model for agriculture (CAPRI) with an atmospheric chemistry model (WRF-Chem). The health impacts from improved air quality are summarized as premature mortality rates, which are estimated from simulated changes in annual mean PM2.5 concentrations. We find that a shift to plant-based (flexitarian) diets would reduce ammonia emissions by 33% in the European Union (EU), generating significant co-benefits for air quality and human health. The economic benefits from improved human health would also largely mitigate the economic losses in the agricultural sector (39% in the EU and 49% in Europe as a whole). Our results suggest that, by shifting to plant-based human diets, European agriculture could significantly contribute to the targets in the EU Zero Pollution Action Plan.</w:t>
      </w:r>
    </w:p>
    <w:p>
      <w:r>
        <w:t>POSSIBLE 2019: Blind prediction of homo‐ and hetero‐protein complexes: The CASP13‐CAPRI experiment — https://doi.org/10.1002/prot.25838</w:t>
      </w:r>
    </w:p>
    <w:p>
      <w:r>
        <w:t>Shared claim-specific concepts: capri, average; EU scope not established. This is a provisional connection, not an outcome finding.</w:t>
      </w:r>
    </w:p>
    <w:p>
      <w:r>
        <w:t>Available abstract (not full text): We present the results for CAPRI Round 46, the third joint CASP-CAPRI protein assembly prediction challenge. The Round comprised a total of 20 targets including 14 homo-oligomers and 6 heterocomplexes. Eight of the homo-oligomer targets and one heterodimer comprised proteins that could be readily modeled using templates from the Protein Data Bank, often available for the full assembly. The remaining 11 targets comprised 5 homodimers, 3 heterodimers, and two higher-order assemblies. These were more difficult to model, as their prediction mainly involved "ab-initio" docking of subunit models derived from distantly related templates. A total of ~30 CAPRI groups, including 9 automatic servers, submitted on average ~2000 models per target. About 17 groups participated in the CAPRI scoring rounds, offered for most targets, submitting ~170 models per target. The prediction performance, measured by the fraction of models of acceptable quality or higher submitted across all predictors groups, was very good to excellent for the nine easy targets. Poorer performance was achieved by predictors for the 11 difficult targets, with medium and high quality models submitted for only 3 of these targets. A similar performance "gap" was displayed by scorer groups, highlighting yet again the unmet challenge of modeling the conformational changes of the protein components that occur upon binding or t</w:t>
      </w:r>
    </w:p>
    <w:p>
      <w:r>
        <w:t>POSSIBLE 2019: Significance of the CAPRI risk score to predict heart failure hospitalization post-TAVI: The CAPRI-HF study — https://doi.org/10.1016/j.ijcard.2019.08.033</w:t>
      </w:r>
    </w:p>
    <w:p>
      <w:r>
        <w:t>Shared claim-specific concepts: capri, increase, aim; EU scope not established. This is a provisional connection, not an outcome finding.</w:t>
      </w:r>
    </w:p>
    <w:p>
      <w:r>
        <w:t>Available abstract (not full text): BACKGROUND: Predictors of heart failure (HF) hospitalization after transcatheter aortic valve implantation (TAVI) are not well defined. CAPRI is a score for predicting 1-year post-TAVI cardiovascular and all-cause mortality. The aim of the present study is to assess the prognostic significance of the CAPRI score for HF hospitalization 1 year after TAVI. METHODS AND RESULTS: CAPRI-HF is an ancillary study of the C4CAPRI trial, analyzing 409 consecutive patients treated by TAVI. The primary outcome was hospitalization for HF during the first year post-intervention. The prognostic value of the CAPRI score was assessed by multivariable analysis adjusted for diabetes, atrial fibrillation, vascular route, pacemaker implantation, post-TAVI aortic regurgitation, transfusion and pulmonary artery systolic pressure. A subanalysis focused on patients with low-gradient aortic stenosis (LGAS). At 1 year, HF hospitalization occurred in 78 (19.9%) patients. Patients with HF were more prone to have diabetes, atrial fibrillation, renal dysfunction, lower mean aortic gradient, higher logistic EuroSCORE and higher CAPRI score (p &lt; .05 for all associations). In the multivariable analysis, CAPRI score was the sole predictor of HF: hazard ratio (HR) for each 0.1 CAPRI score increase was 1.065, 95% confidence interval (CI) 1.021-1.110. This was confirmed when adjusted for EuroSCORE: HR 1.066, 95% CI 1</w:t>
      </w:r>
    </w:p>
    <w:p>
      <w:r>
        <w:t>POSSIBLE 2016: Modeling protein–protein and protein–peptide complexes: CAPRI 6th edition — https://doi.org/10.1002/prot.25215</w:t>
      </w:r>
    </w:p>
    <w:p>
      <w:r>
        <w:t>Shared claim-specific concepts: based, capri; EU scope not established. This is a provisional connection, not an outcome finding.</w:t>
      </w:r>
    </w:p>
    <w:p>
      <w:r>
        <w:t>Available abstract (not full text): We present the sixth report evaluating the performance of methods for predicting the atomic resolution structures of protein complexes offered as targets to the community-wide initiative on the Critical Assessment of Predicted Interactions (CAPRI). The evaluation is based on a total of 20,670 predicted models for 8 protein-peptide complexes, a novel category of targets in CAPRI, and 12 protein-protein targets in CAPRI prediction Rounds held during the years 2013-2016. For two of the protein-protein targets, the focus was on the prediction of side-chain conformation and positions of interfacial water molecules. Seven of the protein-protein targets were particularly challenging owing to their multicomponent nature, to conformational changes at the binding site, or to a combination of both. Encouragingly, the very large multiprotein complex with the nucleosome was correctly predicted, and correct models were submitted for the protein-peptide targets, but not for some of the challenging protein-protein targets. Models of acceptable quality or better were obtained for 14 of the 20 targets, including medium quality models for 13 targets and high quality models for 8 targets, indicating tangible progress of present-day computational methods in modeling protein complexes with increased accuracy. Our evaluation suggests that the progress stems from better integration of different modeli</w:t>
      </w:r>
    </w:p>
    <w:p>
      <w:r>
        <w:t>POSSIBLE 2016: Prediction of homoprotein and heteroprotein complexes by protein docking and template‐based modeling: A CASP‐CAPRI experiment — https://doi.org/10.1002/prot.25007</w:t>
      </w:r>
    </w:p>
    <w:p>
      <w:r>
        <w:t>Shared claim-specific concepts: based, capri, average; EU scope not established. This is a provisional connection, not an outcome finding.</w:t>
      </w:r>
    </w:p>
    <w:p>
      <w:r>
        <w:t>Available abstract (not full text): We present the results for CAPRI Round 30, the first joint CASP-CAPRI experiment, which brought together experts from the protein structure prediction and protein-protein docking communities. The Round comprised 25 targets from amongst those submitted for the CASP11 prediction experiment of 2014. The targets included mostly homodimers, a few homotetramers, and two heterodimers, and comprised protein chains that could readily be modeled using templates from the Protein Data Bank. On average 24 CAPRI groups and 7 CASP groups submitted docking predictions for each target, and 12 CAPRI groups per target participated in the CAPRI scoring experiment. In total more than 9500 models were assessed against the 3D structures of the corresponding target complexes. Results show that the prediction of homodimer assemblies by homology modeling techniques and docking calculations is quite successful for targets featuring large enough subunit interfaces to represent stable associations. Targets with ambiguous or inaccurate oligomeric state assignments, often featuring crystal contact-sized interfaces, represented a confounding factor. For those, a much poorer prediction performance was achieved, while nonetheless often providing helpful clues on the correct oligomeric state of the protein. The prediction performance was very poor for genuine tetrameric targets, where the inaccuracy of the homol</w:t>
      </w:r>
    </w:p>
    <w:p>
      <w:pPr>
        <w:pStyle w:val="Heading2"/>
      </w:pPr>
      <w:r>
        <w:t>Population Projections and Demographic Knowledge in France and Great Britain in the Postwar Period</w:t>
      </w:r>
    </w:p>
    <w:p>
      <w:r>
        <w:t>Original source (2015): https://doi.org/10.1111/j.1728-4457.2015.00047.x</w:t>
      </w:r>
    </w:p>
    <w:p>
      <w:r>
        <w:t>Original wording (abstract; indexed_source_text_not_full_document_verified): In France, publication of multiple variants emphasized future contingency, with low variants illustrating future population decline due to prolonged below‐replacement fertility. National population projections thus created divergent representations of the two countries' demographic futures: an ever‐present threat of population decline in France, and a reassuring image of stability in Britain.</w:t>
      </w:r>
    </w:p>
    <w:p>
      <w:r>
        <w:t>POSSIBLE 2024: A unifying modelling of multiple land degradation pathways in Europe — https://doi.org/10.1038/s41467-024-48252-x</w:t>
      </w:r>
    </w:p>
    <w:p>
      <w:r>
        <w:t>Shared claim-specific concepts: multiple, national, two, countries; EU scope visible. This is a provisional connection, not an outcome finding.</w:t>
      </w:r>
    </w:p>
    <w:p>
      <w:r>
        <w:t>Available abstract (not full text): Abstract Land degradation is a complex socio-environmental threat, which generally occurs as multiple concurrent pathways that remain largely unexplored in Europe. Here we present an unprecedented analysis of land multi-degradation in 40 continental countries, using twelve dataset-based processes that were modelled as land degradation convergence and combination pathways in Europe’s agricultural (and arable) environments. Using a Land Multi-degradation Index, we find that up to 27%, 35% and 22% of continental agricultural (~2 million km 2 ) and arable (~1.1 million km 2 ) lands are currently threatened by one, two, and three drivers of degradation, while 10–11% of pan-European agricultural/arable landscapes are cumulatively affected by four and at least five concurrent processes. We also explore the complex pattern of spatially interacting processes, emphasizing the major combinations of land degradation pathways across continental and national boundaries. Our results will enable policymakers to develop knowledge-based strategies for land degradation mitigation and other critical European sustainable development goals.</w:t>
      </w:r>
    </w:p>
    <w:p>
      <w:r>
        <w:t>POSSIBLE 2022: Encountering Diversity in France and “Eurafrica” — https://doi.org/10.7591/cornell/9781501765605.003.0005</w:t>
      </w:r>
    </w:p>
    <w:p>
      <w:r>
        <w:t>Shared claim-specific concepts: france, multiple, population; EU scope visible. This is a provisional connection, not an outcome finding.</w:t>
      </w:r>
    </w:p>
    <w:p>
      <w:r>
        <w:t>Available abstract (not full text): This chapter focuses on African students in European France in the 1950s. It looks at the European institution building that reframed the urgency of educating Africans—whether in France or French Africa—as a crucial building block in the construction of the modernist, technocratic project of “Eurafrica.” The chapter begins by considering the process of brassage, a term that can mean either intermixing or incorporation. French and African leaders championed brassage as a way to overcome the legacies of racism and colonialism. Despite its modest size, the African student population in France in the 1950s has generated considerable scholarly interest. The extant literature focuses on how African students and youth leaders inserted themselves in the process of decolonization by founding their own networks of associations, publications, and syndicalist movements. African students grouped themselves along multiple axes, including territory and religion, but they also transcended those divisions in a federated Black African student union, the Fédération des étudiants d'Afrique noire en France (FEANF). The literature also details French responses to African student mobilizations, particularly the surveillance of African youth and censorship of their journals.</w:t>
      </w:r>
    </w:p>
    <w:p>
      <w:r>
        <w:t>POSSIBLE 2020: Discourse and Strategic Use of the Military in France and Europe in the COVID‐19 Crisis — https://doi.org/10.1111/tesg.12451</w:t>
      </w:r>
    </w:p>
    <w:p>
      <w:r>
        <w:t>Shared claim-specific concepts: france, population, national; EU scope visible. This is a provisional connection, not an outcome finding.</w:t>
      </w:r>
    </w:p>
    <w:p>
      <w:r>
        <w:t>Available abstract (not full text): In March 2020, the French President called to war against the COVID-19 which was followed by the launch of a military operation called Operation Resilience. This use of martial rhetoric initiated an effective mobilisation consisting in logistical assistance to the health sector. While armies are increasingly used to deal with environmental disasters, aside from their traditional role, this paper postulates that the geography of the French and international military engagement can be used to analyse both the institutional strategy of crisis management and the message governments send to their population. Military involvement differs in terms of missions given and of the amount of troops mobilised. It first questions the use of the military in the name of national resilience in the political discourse and the way it displays a symbolic message to the population, before analysing the role of armies in the crisis through the spatiality of their interventions.</w:t>
      </w:r>
    </w:p>
    <w:p>
      <w:r>
        <w:t>POSSIBLE 2020: Piercing Proverbial Crows’ Eyes: Theft and Publication in Renaissance France — https://doi.org/10.33137/rr.v43i3.35300</w:t>
      </w:r>
    </w:p>
    <w:p>
      <w:r>
        <w:t>Shared claim-specific concepts: france, publication, thus; EU scope visible. This is a provisional connection, not an outcome finding.</w:t>
      </w:r>
    </w:p>
    <w:p>
      <w:r>
        <w:t>Available abstract (not full text): The ironic Latin proverb “cornicum oculos configere” was classically illustrated by the example of Gnaeus Flavius, celebrated for his theft and valuable but unauthorized publication of Rome’s legal secrets. Erasmus’s discussion of the proverb in the Adages consequently focuses on the tension within the transfer of knowledge between openness and secrecy, and on the fragile status of intellectual authority within a scholarly domain made increasingly public by the printing press. This article uses the example of Flavius to trace the idea of theft within Renaissance attitudes to the possession and dissemination of knowledge. It compares the reception of Flavius in three contexts: Erasmus’s ambivalence towards publication as a form of theft in the Adages; ancient criticisms of theft as social presumption; and the more positive representation of epistemological theft in the works of four Renaissance French jurists. It thus argues that Erasmus represents a turning point both in the reception history of Flavius and in attitudes to intellectual theft—and thereby to intellectual property—in the Renaissance.</w:t>
      </w:r>
    </w:p>
    <w:p>
      <w:r>
        <w:t>POSSIBLE 2020: Negotiating French Wine and European Identities at the European Community — https://doi.org/10.1017/s0960777320000405</w:t>
      </w:r>
    </w:p>
    <w:p>
      <w:r>
        <w:t>Shared claim-specific concepts: due, national, created, countries; EU scope visible. This is a provisional connection, not an outcome finding.</w:t>
      </w:r>
    </w:p>
    <w:p>
      <w:r>
        <w:t>Available abstract (not full text): This article examines the French role in creating an integrated wine policy at the European level and demonstrates that political negotiations over the policy revealed competing European conceptions of agriculture and identity. Drawing on research in EEC and French historical archives, this article argues that in spite of the risks involved in relinquishing sovereignty over a key national industry with deep cultural resonance, the French government was determined to transfer responsibility for much of the sector to the European Community due to continued domestic pressure. Further, it suggests that common values around the centrality of agriculture in the European project meant that countries were persistent in realising a wine policy even though wine was not a natural fit in the pantheon of other goods for which common markets were created.</w:t>
      </w:r>
    </w:p>
    <w:p>
      <w:r>
        <w:t>POSSIBLE 2018: Evolution of the Population Structure of Staphylococcus pseudintermedius in France — https://doi.org/10.3389/fmicb.2018.03055</w:t>
      </w:r>
    </w:p>
    <w:p>
      <w:r>
        <w:t>Shared claim-specific concepts: france, multiple, population, decline, due, created; EU scope visible. This is a provisional connection, not an outcome finding.</w:t>
      </w:r>
    </w:p>
    <w:p>
      <w:r>
        <w:t>Available abstract (not full text): (MRSP) in the early 2000s, which were additionally resistant to most veterinary-licensed antibiotics, drew specific attention to these pathogens due to the limitations created in veterinary therapeutic options. Multiple studies showed that the sequence type (ST)71 was the most frequently identified clone in Europe. A few years ago, several publications have suggested a decline of the ST71 clone and the emergence of the ST258 lineage in Northern Europe. In this study, we show that ST71 is also decreasing over time in France and that the non-ST71 population is highly heterogeneous. Globally, the non-ST71 clones are more susceptible to antibiotics, which might be good news for veterinarians. Two other lineages, ST258 and ST496, seem to be successful in France. These isolates, as well as representatives of the ST71 clone, underwent whole-genome sequence. This study shows that the ST71 and ST496 clusters are highly homogenous while the ST258 cluster is more diverse. Each ST possesses a specific pattern of resistance and virulence genes. The reasons for the apparent and simultaneous success of the ST258 and ST496 clones remain unclear. But the emergence of the ST496 clone will require monitoring given its multi-resistant genotype and threat to canine health.</w:t>
      </w:r>
    </w:p>
    <w:p>
      <w:r>
        <w:t>POSSIBLE 2017: New insights into the burden and costs of multiple sclerosis in Europe — https://doi.org/10.1177/1352458517694432</w:t>
      </w:r>
    </w:p>
    <w:p>
      <w:r>
        <w:t>Shared claim-specific concepts: multiple, population, countries; EU scope visible. This is a provisional connection, not an outcome finding.</w:t>
      </w:r>
    </w:p>
    <w:p>
      <w:r>
        <w:t>Available abstract (not full text): BACKGROUND: The current focus in multiple sclerosis (MS) is on early diagnosis and drug intervention, with a view to modifying disease progression. Consequently, healthcare costs have shifted from inpatient care and rehabilitation to outpatient care. OBJECTIVES: This European burden of illness study provides data that can be combined with other evidence to assess whether management approaches provide value to society. METHODS: A cross-sectional study was conducted in 16 countries. Patients reported on their disease, health-related quality of life (HRQoL) and resource consumption. Descriptive analyses were performed by disease severity. Costs are reported from a societal perspective in 2015€ PPP (adjusted for purchasing power parity). RESULTS: The 16,808 participants had a mean age of 51.5 years, and 52% had relapsing-remitting multiple sclerosis (RRMS). Work capacity declined from 82% to 8%, and utility declined from normal population values to less than zero with advancing disease. Mean costs were 22,800€ PPP in mild, 37,100€ PPP in moderate and 57,500€ PPP in severe disease; healthcare accounted for 68%, 47% and 26%, respectively. Fatigue and cognitive difficulties were reported by 95% and 71% of participants, respectively; both had a significant independent effect on utility. CONCLUSION: Costs and utility were highly correlated with disease severity, but resource consumption</w:t>
      </w:r>
    </w:p>
    <w:p>
      <w:r>
        <w:t>POSSIBLE 2016: Raising European citizens: Constructing European identities in French and English textbooks — https://doi.org/10.5964/jspp.v4i1.350</w:t>
      </w:r>
    </w:p>
    <w:p>
      <w:r>
        <w:t>Shared claim-specific concepts: national, representations, two, countries; EU scope visible. This is a provisional connection, not an outcome finding.</w:t>
      </w:r>
    </w:p>
    <w:p>
      <w:r>
        <w:t xml:space="preserve">Available abstract (not full text): Schools play a pivotal role in the formation of identities and in the political socialization of youth. This study explores the social representations of European integration in French and English school textbooks and shows how the social representations are discursively used to construct national and European identities. By analysing the history and civics textbooks of major educational publishers, this study aims to demonstrate how European integration is understood, made familiar and concretized in the school textbooks of the two influential but different European countries. The findings suggest some shared and some diverse patterns in the way the two European countries portray and construct the political project of European integration. These representations, constructed around French Europe in French textbooks and ambivalent Europe in English textbooks, share the images of a strong European economy and a French-led political Europe. However, they position themselves differently with respect to the United States, motivation for the European unification process and the significance of common values and heritage. In both countries textbooks draw upon memories that are important for group identity. While the French textbooks make European integration meaningful in reference to a shared post-war collective memory and to a cultural memory based on a more ancient idea of Europe, </w:t>
      </w:r>
    </w:p>
    <w:p>
      <w:r>
        <w:t>POSSIBLE 2016: Geographical Heterogeneity of Multiple Sclerosis Prevalence in France — https://doi.org/10.1371/journal.pone.0167556</w:t>
      </w:r>
    </w:p>
    <w:p>
      <w:r>
        <w:t>Shared claim-specific concepts: france, multiple, population; EU scope visible. This is a provisional connection, not an outcome finding.</w:t>
      </w:r>
    </w:p>
    <w:p>
      <w:r>
        <w:t>Available abstract (not full text): INTRODUCTION: Geographical variation in the prevalence of multiple sclerosis (MS) is controversial. Heterogeneity is important to acknowledge to adapt the provision of care within the healthcare system. We aimed to investigate differences in prevalence of MS in departments in the French territory. METHODS: We estimated MS prevalence on October 31, 2004 in 21 administrative departments in France (22% of the metropolitan departments) by using multiple data sources: the main French health insurance systems, neurologist networks devoted to MS and the Technical Information Agency of Hospitalization. We used a spatial Bayesian approach based on estimating the number of MS cases from 2005 and 2008 capture-recapture studies to analyze differences in prevalence. RESULTS: The age- and sex-standardized prevalence of MS per 100,000 inhabitants ranged from 68.1 (95% credible interval 54.6, 84.4) in Hautes-Pyrénées (southwest France) to 296.5 (258.8, 338.9) in Moselle (northeast France). The greatest prevalence was in the northeast departments, and the other departments showed great variability. DISCUSSION: By combining multiple data sources into a spatial Bayesian model, we found heterogeneity in MS prevalence among the 21 departments of France, some with higher prevalence than anticipated from previous publications. No clear explanation related to health insurance coverage and hospital fac</w:t>
      </w:r>
    </w:p>
    <w:p>
      <w:r>
        <w:t>POSSIBLE 2016: Assisted reproductive technology in Europe, 2011: results generated from European registers by ESHRE — https://doi.org/10.1093/humrep/dev319</w:t>
      </w:r>
    </w:p>
    <w:p>
      <w:r>
        <w:t>Shared claim-specific concepts: multiple, population, replacement, national, countries, ever; EU scope visible. This is a provisional connection, not an outcome finding.</w:t>
      </w:r>
    </w:p>
    <w:p>
      <w:r>
        <w:t xml:space="preserve">Available abstract (not full text): STUDY QUESTION: The 15th European IVF-monitoring (EIM) report presents the results of treatments involving assisted reproductive technology (ART) initiated in Europe during 2011: are there any changes in the trends compared with previous years? SUMMARY ANSWER: Despite some fluctuations in the number of countries reporting data, while the overall number of ART cycles has continued to increase year by year, the pregnancy rates in 2011 decreased slightly to those reported in 2010, and the number of transfers with multiple embryos (3+) and the multiple delivery rates declined. WHAT IS KNOWN ALREADY: Since 1997, ART data in Europe have been collected and reported in 14 manuscripts, published in Human Reproduction. STUDY DESIGN, SIZE, DURATION: Retrospective data collection of European ART data by the EIM Consortium for the European Society of Human Reproduction and Embryology (ESHRE); cycles started between 1 January and 31 December 2011 are collected on a yearly basis. The data are collected by National Registers, when existing, or on a voluntary basis by personal information. PARTICIPANTS/MATERIALS SETTING, METHODS: From 33 countries (+2 compared with 2010), 1064 clinics reported 609 973 treatment cycles including: IVF 138 592, ICSI 298 918, frozen embryo replacement (FER) 129 693, egg donation (ED) 30 198, in vitro maturation 511, preimplantation genetic diagnosis/screening 6824 </w:t>
      </w:r>
    </w:p>
    <w:p>
      <w:pPr>
        <w:pStyle w:val="Heading2"/>
      </w:pPr>
      <w:r>
        <w:t>Potential of extensification of European agriculture for a more sustainable food system, focusing on nitrogen</w:t>
      </w:r>
    </w:p>
    <w:p>
      <w:r>
        <w:t>Original source (2015): https://doi.org/10.1088/1748-9326/10/2/025002</w:t>
      </w:r>
    </w:p>
    <w:p>
      <w:r>
        <w:t>Original wording (abstract; indexed_source_text_not_full_document_verified): A 2030 scenario for the EU27 reducing consumption and production of animal products by 50% (demitarean diet) reduces N pollution by 10% and benefits human health. This diet allows the EU27 to become a food exporter, while reducing land demand outside Europe in 2030 by more than 100 million hectares (2%), which more than compensates increased land demand when changing to organic farming.</w:t>
      </w:r>
    </w:p>
    <w:p>
      <w:r>
        <w:t>POSSIBLE 2025: Circularity and Climate Mitigation in the EU27: An Elasticity-Based Scenario Analysis to 2050 — https://doi.org/10.3390/su172411375</w:t>
      </w:r>
    </w:p>
    <w:p>
      <w:r>
        <w:t>Shared claim-specific concepts: eu27, consumption, increased; EU scope not established. This is a provisional connection, not an outcome finding.</w:t>
      </w:r>
    </w:p>
    <w:p>
      <w:r>
        <w:t>Available abstract (not full text): This study quantifies the decarbonisation potential of enhanced material circularity in the EU27 by integrating material flow data with elasticity-based emissions modelling. Using panel regression and logarithmic mean Divisia index (LMDI) decomposition, we evaluate the influence of recycling rate acceleration and material intensity decline on material-embedded emissions over the 2015–2022 period. The findings indicate that although recycling rates increased by 42% during this time, virgin materials remain re-sponsible for over 97% of emissions. Decomposition results reveal that intensity im-provements (−0.867 ln units) offset most of the upward pressure from growing materi-al demand and shifting composition. Scenario projections to 2050, based on empirically derived elasticities, show that aggressive circular economy pathways can reduce emis-sions by over 90%, while baseline policies fall short of net-zero targets. Sensitivity analysis confirms that policy ambition dominates parameter uncertainty in shaping future emissions trajectories. The study highlights the critical role of combined de-mand-side and supply-side measures in aligning material consumption with climate goals.</w:t>
      </w:r>
    </w:p>
    <w:p>
      <w:r>
        <w:t>POSSIBLE 2025: Trends within Sustainability in Food Loss and Waste in EU27 Countries — https://doi.org/10.2478/crdj-2025-0003</w:t>
      </w:r>
    </w:p>
    <w:p>
      <w:r>
        <w:t>Shared claim-specific concepts: eu27, reducing, consumption, production, food, land; EU scope visible. This is a provisional connection, not an outcome finding.</w:t>
      </w:r>
    </w:p>
    <w:p>
      <w:r>
        <w:t>Available abstract (not full text): Abstract One third of today’s global food production ends up uneaten. In the European Union, more than 100 kilograms of food waste per capita are generated annually across retail, food services, and households. In addition to being unethical, wasting food is environmentally harmful and economically irrational. Reducing food waste would significantly contribute to protecting and more rationally using rare natural resources (water, land, forests) in agricultural production, lowering waste and related greenhouse gas emissions, and supporting a successful transition to organic agriculture and the restoration of biodiversity. Better utilisation of produced food would lower production costs and stabilise food prices, while also strengthening the population’s food security and reducing nutrition costs. The purpose of the paper is to critically review the progress (or lack thereof) made by the European Union and its Member States, tracked for the period from 2020 to 2022, according to available relevant data and sources, such as food waste per capita, food waste sector of activities and consumption footprint per inhabitant. We provide recommendations on technological, organisational, managerial, and social value changes to achieve more sustainable food waste management.</w:t>
      </w:r>
    </w:p>
    <w:p>
      <w:r>
        <w:t>POSSIBLE 2025: Research Performance on the UN Sustainable Development Goals in the EU27 (2019–2023) — https://doi.org/10.3390/admsci15090361</w:t>
      </w:r>
    </w:p>
    <w:p>
      <w:r>
        <w:t>Shared claim-specific concepts: eu27, consumption, production, health; EU scope visible. This is a provisional connection, not an outcome finding.</w:t>
      </w:r>
    </w:p>
    <w:p>
      <w:r>
        <w:t>Available abstract (not full text): The increasing urgency of global sustainability challenges has elevated the role of the United Nations Sustainable Development Goals (SDGs) as benchmarks for both academic research and policy development. Within the European Union, measuring how national research systems contribute to SDG-related knowledge is critical for guiding evidence-based policymaking and evaluating progress toward the 2030 Agenda. Since the adoption of the UN 2030 Agenda, research related to the Sustainable Development Goals (SDGs) has expanded significantly, reflecting their central role in guiding both global and European science policy. Despite this growing attention, systematic comparative evidence on how EU27 countries contribute to SDG-related knowledge production remains limited. This study provides a bibliometric analysis of research related to the SDGs across EU27 countries between 2019 and 2023. Drawing on data from Elsevier’s Scopus and SciVal platforms, we examine publication volume, relative share (RS), citation impact (FWCI), growth dynamics (CAGR), and thematic distributions. The dataset includes all document types associated with SDG1–SDG16. Germany, Italy, and France lead in absolute publication output, while smaller member states such as Cyprus, Malta, and Luxembourg display disproportionately high RS values. Health-related research (SDG3) dominates, followed by SDG7 (Affordable and Cle</w:t>
      </w:r>
    </w:p>
    <w:p>
      <w:r>
        <w:t>POSSIBLE 2023: RETRACTED: Assessment of Building Materials in the European Residential Building Stock: An Analysis at EU27 Level — https://doi.org/10.3390/su15118840</w:t>
      </w:r>
    </w:p>
    <w:p>
      <w:r>
        <w:t>Shared claim-specific concepts: eu27, reducing, consumption; EU scope visible. This is a provisional connection, not an outcome finding.</w:t>
      </w:r>
    </w:p>
    <w:p>
      <w:r>
        <w:t>Available abstract (not full text): Reducing greenhouse gas (GHG) emissions and energy consumption in the building sector requires not only improving the energy efficiency of buildings but also minimising material requirements, embodied emissions, and waste generation. Circular Economy (CE) principles can be applied to minimize resource extraction and waste generation in the building industry. However, to implement effective CE strategies, quantification and evaluation of materials accumulated in buildings are required. This study aims to provide accurate data and a detailed analysis of the materials available in the EU27 residential building sector. By elaborating the data provided by the H2020 European projects Hotmaps and AmBIENCe, the different materials used for floors, roofs, walls, windows, and insulation layers in single-family houses, multifamily houses, and apartment blocks in the different construction periods were quantified for each EU27 country. Considering results at the EU27 level, concrete and brick characterize the largest part of the European residential building stock, whereas materials such as wood and different types of rock are used in much more limited amounts. These results form the basis for policymakers to monitor the status of the residential building sector, evaluate the potential of CE policies at a national level, and assess the environmental impact of building practices through lif</w:t>
      </w:r>
    </w:p>
    <w:p>
      <w:r>
        <w:t>POSSIBLE 2023: Supplementary material to "The consolidated European synthesis of CO2 emissions and removals for EU27 and UK: 1990–2020" — https://doi.org/10.5194/essd-2022-412-supplement</w:t>
      </w:r>
    </w:p>
    <w:p>
      <w:r>
        <w:t>Shared claim-specific concepts: eu27, products, land, increased; EU scope visible. This is a provisional connection, not an outcome finding.</w:t>
      </w:r>
    </w:p>
    <w:p>
      <w:r>
        <w:t>Available abstract (not full text): Quantification of land surface-atmosphere fluxes of carbon dioxide (CO2) fluxes and their trends and uncertainties is essential for monitoring progress of the EU27+UK bloc as it strives to meet ambitious targets determined by both international agreements and internal regulation.This study provides a consolidated synthesis of fossil sources (CO2 fossil) and natural sources and sinks over land (CO2 land) using bottom-up (BU) and top-down (TD) approaches for the European Union and United Kingdom (EU27+UK), updating earlier syntheses (Petrescu et al., 2020(Petrescu et al., , 2021b)).Given the wide scope of the work and the variety of approaches involved, this study aims to answer essential questions identified in the previous syntheses and understand the differences between datasets, particularly for poorly characterized fluxes from managed ecosystems.The work integrates updated emission inventory data, process-based model results, data-driven sectoral model results, and inverse modeling estimates, extending the previous period 1990-2018 to the year 2020 to the extent possible.BU and TD products are compared with European National Greenhouse Gas Inventories (NGHGIs) reported by Parties including the year 2019 under the United Nations Framework Convention on Climate Change (UNFCCC).The uncertainties of the EU27+UK NGHGI were evaluated using the standard deviation reported by the EU</w:t>
      </w:r>
    </w:p>
    <w:p>
      <w:r>
        <w:t>POSSIBLE 2022: EU27&amp;UK gas supply-storage-consumption and potential solutions to fill Russian gap with daily resolutions — https://doi.org/10.5281/zenodo.6833533</w:t>
      </w:r>
    </w:p>
    <w:p>
      <w:r>
        <w:t>Shared claim-specific concepts: eu27, consumption, production; EU scope visible. This is a provisional connection, not an outcome finding.</w:t>
      </w:r>
    </w:p>
    <w:p>
      <w:r>
        <w:t>Available abstract (not full text): Russia was the primary natural gas supplier to the EU before the 2022 invasion of Ukraine. The substantial reduction in Russian gas supplies to many EU countries precipitated a severe energy crisis across the EU27&amp;UK, leading to significant alterations in their natural gas supply, transmission, and consumption dynamics. To analyze these shifts, we updated our natural gas supply dataset, EUGasSC (originally described in version 1.0), incorporating daily country- and sector-specific supply sources. In version 2.0 of the dataset, we introduce EUGasNet, a newly constructed dataset detailing daily intra-EU natural gas transmission with specific supply sources, utilizing data from ENTSOG (European Network of Transmission System Operators for Gas) alongside EUGasSC data. Furthermore, we developed EUGasImpact, a daily dataset capturing sector-specific drivers of consumption changes based on change attribution models employing multiple open datasets. The EUGasSC and EUGasNet dataset was developed with a gas network flow simulation based on flow mass balance by combining data from multiple datasets including ENTSO-G, ENTSO-E, and Eurostat energy balance (annual and monthly). The EUGasSC dataset was validated with BP Statistical Review of World Energy and multiple Eurostat datasets. The EUGasSC shows the share of gas supplied by Russia in each country to analyze the ‘gap’ that would resul</w:t>
      </w:r>
    </w:p>
    <w:p>
      <w:r>
        <w:t>POSSIBLE 2022: The role of NOx emission reductions in Euro 7/VII vehicle emission standards to reduce adverse health impacts in the EU27 through 2050 — https://doi.org/10.1016/j.treng.2022.100133</w:t>
      </w:r>
    </w:p>
    <w:p>
      <w:r>
        <w:t>Shared claim-specific concepts: eu27, pollution, health, million, increased; EU scope visible. This is a provisional connection, not an outcome finding.</w:t>
      </w:r>
    </w:p>
    <w:p>
      <w:r>
        <w:t>Available abstract (not full text): Air pollution is the single greatest environmental health hazard in Europe, responsible for over 300,000 premature deaths in the EU27 in 2019. Transport is a significant contributor toward the emission of air pollutants which reduce life expectancy through increased likelihood of morbidity-associated diseases. The introduction of the Euro vehicle emission standards has been successful in driving down the overall level of transport related air pollutants. However, the current regulatory limits have not been updated in nearly a decade. Furthermore, deviations are still evident between the type-approval standards and real-world emissions recorded through remote sensing. Based on the technology potential of current emission control systems, a feasible reduction in new vehicle emissions of nitrogen oxides (NOx) of up to 80% applicable to light- and heavy-duty vehicles that could be realized through the upcoming revision of the Euro standards is modelled. A multi-model approach is employed, combining a stock simulation model and a health impact model which applies the latest methodology of the Global Burden of Disease to quantify the cumulative emissions reduction and corresponding health impacts in the EU27 through 2050. Mandating such a NOx reduction for new vehicles from 2027 would result in a 93-98% reduction in annual NOx emissions from transport by 2050, and reduce cumulative e</w:t>
      </w:r>
    </w:p>
    <w:p>
      <w:r>
        <w:t>POSSIBLE 2021: Fertility rates by metropolitan and non-metropolitan regions, EU27 — https://doi.org/10.1787/3dbbd509-en</w:t>
      </w:r>
    </w:p>
    <w:p>
      <w:r>
        <w:t>Shared claim-specific concepts: eu27, health, changing; EU scope visible. This is a provisional connection, not an outcome finding.</w:t>
      </w:r>
    </w:p>
    <w:p>
      <w:r>
        <w:t>Available abstract (not full text): We are delighted to introduce the joint study "Access and Cost of Education and Health Services", conducted by the OECD and the European Commission's Joint Research Centre.The estimates of the cost and access to education and health services in this report are the first of their kind and an essential evidence base to develop better policies in this area.This analysis can help policy makers identify at a very granular level present and future service supply shortages and respond accordingly.By illustrating the trade-offs between efficiency and equity faced by every community, the report can also support decision making at both the regional and local levels.Education and health are the two social services in which national and subnational governments typically spend the most resources to ensure provisions keep pace with widespread and changing demand.As the COVID-19 pandemic has demonstrated, without adequate access to services, vulnerable citizens are more exposed to exclusions.For this reason, it is essential for policy responses to ensure an effective, fair and just recovery across European and OECD countries to shape a sustainable future for all citizens, regardless of where they live and work.Particularly, governments are facing growing challenges in providing schooling and health services in regions and localities that are sparsely populated, scattered and difficult to acce</w:t>
      </w:r>
    </w:p>
    <w:p>
      <w:r>
        <w:t>POSSIBLE 2018: Reducing external costs of nitrogen pollution by relocation of pig production between regions in the European Union — https://doi.org/10.1007/s10113-018-1335-5</w:t>
      </w:r>
    </w:p>
    <w:p>
      <w:r>
        <w:t>Shared claim-specific concepts: eu27, reducing, production, pollution, health, million; EU scope visible. This is a provisional connection, not an outcome finding.</w:t>
      </w:r>
    </w:p>
    <w:p>
      <w:r>
        <w:t>Available abstract (not full text): Abstract This paper tests the hypothesis that relocation of pig production within the EU27 can reduce the external costs of nitrogen (N) pollution. The external cost of pollution by ammonia and nitrate from agriculture in the European Union (EU27) in 2008 was estimated at 61–215 billion € (0.5 to 1.8% of the GDP). Per capita it ranged from more than 1000 € in north-west EU27 to 50 € in Romania. The average contribution of pig production was 15%. Using provincial data (224 NUTS2 regions in EU27), the potential reduction of external N cost by relocation of pig production was estimated at 14 billion € (10% of the total). Regions most eligible for decreasing the pig stock were in western Germany, Flemish region, Denmark, the Netherlands and Bretagne, while Romania is most eligible for increasing pig production. Relocating 20 million pigs (13% of the total EU stock) decreased average external costs per capita from 900 to 785 € in the 13 NUTS2 regions where pigs were removed and increased from 69 to 107 € in 11 regions receiving pigs. A second alternative configuration of pig production was targeted at reducing exceedance of critical N deposition and closing regional nutrient cycles. This configuration relocates pigs within Germany and France, for example from Bretagne to Northern France and from Weser-Ems to Oberbayern. However, total external cost increases due to an increase of he</w:t>
      </w:r>
    </w:p>
    <w:p>
      <w:r>
        <w:t>POSSIBLE 2016: Virtual Water Flows in the EU27: A Consumption‐based Approach — https://doi.org/10.1111/jiec.12454</w:t>
      </w:r>
    </w:p>
    <w:p>
      <w:r>
        <w:t>Shared claim-specific concepts: eu27, consumption, products, become, food, changing; EU scope visible. This is a provisional connection, not an outcome finding.</w:t>
      </w:r>
    </w:p>
    <w:p>
      <w:r>
        <w:t xml:space="preserve">Available abstract (not full text): Summary The use of water resources has traditionally been studied by accounting for the volume of water removed from sources for specific uses. This approach focuses on surface and groundwater only and it ignores that international trade of products with substantial amounts of embodied water can have an impact on domestic water resources. Using current economic and environmental data, we conduct a consumption‐based assessment of virtual water flows in the European Union (EU27). We find that the total water footprint (WF) of 2,280 cubic meters (m 3 ) per capita for the EU27 mostly consists of green water use (precipitation stored as soil moisture), which is omitted in the conventional water accounting. Blue water (surface and groundwater.) and gray water use (the volume of freshwater needed to dilute pollutants to meet the applicable water quality standards), which are targeted by current EU water policies, only make up 32% of the total WF. We also find that Europeans imported 585 cubic kilometers (km 3 ) (10 9 m 3 ) of virtual water, or around 28% of global virtual water trade flows, in 2009. Within Europe, Germany is a key net importer of water through the trade of products in agriculture, the food industry, the chemical sector, and electricity generation. Countries in Southern and Eastern Europe have specialized in water‐intensive agriculture and are key exporters of virtual </w:t>
      </w:r>
    </w:p>
    <w:p>
      <w:pPr>
        <w:pStyle w:val="Heading2"/>
      </w:pPr>
      <w:r>
        <w:t>Predicting Future European Breeding Distributions of British Seabird Species under Climate Change and Unlimited/No Dispersal Scenarios</w:t>
      </w:r>
    </w:p>
    <w:p>
      <w:r>
        <w:t>Original source (2015): https://doi.org/10.3390/d7040342</w:t>
      </w:r>
    </w:p>
    <w:p>
      <w:r>
        <w:t>Original wording (abstract; indexed_source_text_not_full_document_verified): Here, we combine climate envelope models with predicted bioclimatic data from two emission scenarios leading up to 2100, to predict European breeding distributions of 23 seabird species that currently breed in the British Isles. More globally, the results indicate, based on foraging ecology, which seabird species are likely to be most affected by climatic change.</w:t>
      </w:r>
    </w:p>
    <w:p>
      <w:r>
        <w:t>POSSIBLE 2022: Trade‐Offs for Climate‐Smart Forestry in Europe Under Uncertain Future Climate — https://doi.org/10.1029/2022ef002796</w:t>
      </w:r>
    </w:p>
    <w:p>
      <w:r>
        <w:t>Shared claim-specific concepts: here, climate, emission; EU scope visible. This is a provisional connection, not an outcome finding.</w:t>
      </w:r>
    </w:p>
    <w:p>
      <w:r>
        <w:t>Available abstract (not full text): Abstract Forests mitigate climate change by storing carbon and reducing emissions via substitution effects of wood products. Additionally, they provide many other important ecosystem services (ESs), but are vulnerable to climate change; therefore, adaptation is necessary. Climate‐smart forestry combines mitigation with adaptation, whilst facilitating the provision of many ESs. This is particularly challenging due to large uncertainties about future climate. Here, we combined ecosystem modeling with robust multi‐criteria optimization to assess how the provision of various ESs (climate change mitigation, timber provision, local cooling, water availability, and biodiversity habitat) can be guaranteed under a broad range of climate futures across Europe. Our optimized portfolios contain 29% unmanaged forests, and implicate a successive conversion of 34% of coniferous to broad‐leaved forests (11% vice versa). Coppices practically vanish from Southern Europe, mainly due to their high water requirement. We find the high shares of unmanaged forests necessary to keep European forests a carbon sink while broad‐leaved and unmanaged forests contribute to local cooling through biogeophysical effects. Unmanaged forests also pose the largest benefit for biodiversity habitat. However, the increased shares of unmanaged and broad‐leaved forests lead to reductions in harvests. This raises the que</w:t>
      </w:r>
    </w:p>
    <w:p>
      <w:r>
        <w:t>POSSIBLE 2021: Climate and Society in Europe The Last Thousand Years — https://doi.org/10.2445/9783258482347</w:t>
      </w:r>
    </w:p>
    <w:p>
      <w:r>
        <w:t>Shared claim-specific concepts: here, climate, data, two, leading, based; EU scope visible. This is a provisional connection, not an outcome finding.</w:t>
      </w:r>
    </w:p>
    <w:p>
      <w:r>
        <w:t>Available abstract (not full text): A richly illustrated book on the history of climate change in Europe. Two perspectives, one unique book: two leading experts, a historian and a climatologist, co-author a new standard work on climate history. An overview of the connection between climatic and social developments over the last 1000 years. For the first time, a historian and a climatologist with knowledge of climate history have worked closely together to create a unique book, combining climate reconstructions based on documented data in their human-historical context with temporally highly resolved analyses of climate and glaciers. "Here we can clearly see how changes in climate affected the environment and people of Europe over many centuries, with important lessons for the future. A wonderfully engaging and well-documented account by two of Europe's leading climate scientists." Prof. Dr.</w:t>
      </w:r>
    </w:p>
    <w:p>
      <w:r>
        <w:t>POSSIBLE 2020: Climate and society in European history — https://doi.org/10.1002/wcc.691</w:t>
      </w:r>
    </w:p>
    <w:p>
      <w:r>
        <w:t>Shared claim-specific concepts: here, climate, data; EU scope visible. This is a provisional connection, not an outcome finding.</w:t>
      </w:r>
    </w:p>
    <w:p>
      <w:r>
        <w:t>Available abstract (not full text): Abstract This article evaluates 165 studies from various disciplines, published between 2000 and 2019, which in different ways link past climate variability and change to human history in medieval and early modern Europe (here, c . 700–1815 CE). Within this review, we focus on the identification and interpretation of causal links between changes in climate and in human societies. A revised climate–society impact order model of historical climate–society interactions is presented and applied to structure the findings of the past 20 years' scholarship. Despite considerable progress in research about past climate–society relations, partly expedited by new palaeoclimate data, we identify limitations to knowledge, including geographical biases, a disproportional attention to extremely cold periods, and a focus on crises. Furthermore, recent scholarship shows that the limitations with particular disciplinary approaches can be successfully overcome through interdisciplinary collaborations. We conclude the article by proposing recommendations for future directions of research in the climatic change–human history nexus. This article is categorized under: Climate, History, Society, Culture &gt; Ideas and Knowledge</w:t>
      </w:r>
    </w:p>
    <w:p>
      <w:r>
        <w:t>POSSIBLE 2019: Climate change, reforestation/afforestation, and urbanization impacts on evapotranspiration and streamflow in Europe — https://doi.org/10.5194/hess-23-3631-2019</w:t>
      </w:r>
    </w:p>
    <w:p>
      <w:r>
        <w:t>Shared claim-specific concepts: here, climate, leading; EU scope visible. This is a provisional connection, not an outcome finding.</w:t>
      </w:r>
    </w:p>
    <w:p>
      <w:r>
        <w:t>Available abstract (not full text): Abstract. Since the 1950s, Europe has seen large shifts in climate and land cover. Previous assessments of past and future changes in evapotranspiration or streamflow have either focussed on land use/cover or climate contributions, or have focussed on individual catchments under specific climate conditions. Here, we aim to understand how decadal changes in climate (e.g., precipitation, temperature) and land use (e.g., de-/afforestation, urbanization) have impacted the amount and distribution of water resources availability across Europe since the 1950s. To this end, we simulate the distribution of green and blue water fluxes at high-resolution (1 × 1 km) by combining (a) a steady-state Budyko model for water balance partitioning constrained by long-term (lysimeter) observations across different land-use types, (b) a novel decadal high-resolution historical land use reconstruction, and (c) gridded observations of key meteorological variables. The continental-scale patterns in the simulations agree well with coarser-scale observation-based estimates of evapotranspiration, and also with observed changes in streamflow from small basins across Europe. We find that strong shifts in the continental-scale patterns of evapotranspiration and streamflow have occured from 1950 to 2010. In Sweden, for example, increased precipitation dominates effects of large scale re- and afforestation le</w:t>
      </w:r>
    </w:p>
    <w:p>
      <w:r>
        <w:t>POSSIBLE 2019: A climate-sensitive forest model for assessing impacts of forest management in Europe — https://doi.org/10.1016/j.envsoft.2019.02.009</w:t>
      </w:r>
    </w:p>
    <w:p>
      <w:r>
        <w:t>Shared claim-specific concepts: here, climate, data; EU scope visible. This is a provisional connection, not an outcome finding.</w:t>
      </w:r>
    </w:p>
    <w:p>
      <w:r>
        <w:t>Available abstract (not full text):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r>
        <w:t>POSSIBLE 2019: Quantifying uncertainty in European climate projections using combined performance-independence weighting — https://doi.org/10.1088/1748-9326/ab492f</w:t>
      </w:r>
    </w:p>
    <w:p>
      <w:r>
        <w:t>Shared claim-specific concepts: here, climate, two, emission, based; EU scope visible. This is a provisional connection, not an outcome finding.</w:t>
      </w:r>
    </w:p>
    <w:p>
      <w:r>
        <w:t>Available abstract (not full text): Abstract Uncertainty in model projections of future climate change arises due to internal variability, multiple possible emission scenarios, and different model responses to anthropogenic forcing. To robustly quantify uncertainty in multi-model ensembles, inter-dependencies between models as well as a models ability to reproduce observations should be considered. Here, a model weighting approach, which accounts for both independence and performance, is applied to European temperature and precipitation projections from the CMIP5 archive. Two future periods representing mid- and end-of-century conditions driven by the high-emission scenario RCP8.5 are investigated. To inform the weighting, six diagnostics based on three observational estimates are used to also account for uncertainty in the observational record. Our findings show that weighting the ensemble can reduce the interquartile spread by more than 20% in some regions, increasing the reliability of projected changes. The mean temperature change is most notably impacted by the weighting in the Mediterranean, where it is found to be 0.35 °C higher than the unweighted mean in the end-of-century period. For precipitation the largest differences are found for Northern Europe, with a relative decrease in precipitation of 2.4% and 3.4% for the two future periods compared to the unweighted case. Based on a perfect model test, it i</w:t>
      </w:r>
    </w:p>
    <w:p>
      <w:r>
        <w:t>POSSIBLE 2019: Distribution trends of European dragonflies under climate change — https://doi.org/10.1111/ddi.12913</w:t>
      </w:r>
    </w:p>
    <w:p>
      <w:r>
        <w:t>Shared claim-specific concepts: combine, climate, predicted, data, species; EU scope visible. This is a provisional connection, not an outcome finding.</w:t>
      </w:r>
    </w:p>
    <w:p>
      <w:r>
        <w:t>Available abstract (not full text): Abstract Aim Poleward range shifts of species are among the most obvious effects of climate change on biodiversity. As a consequence of these range shifts, species communities are predicted to become increasingly composed of warm‐dwelling species, but this has only been studied for a limited number of taxa, mainly birds, butterflies and plants. As species groups may vary considerably in their adaptation to climate change, it is desirable to expand these studies to other groups, from different ecosystems. Freshwater macroinvertebrates, such as dragonflies (Odonata), have been ranked among the species groups with highest priority. In this paper, we investigate how the occurrence of dragonflies in Europe has changed in recent decades, and if these changes are in parallel with climate change. Location Europe. Methods We use data from 10 European geographical regions to calculate occupancy indices and trends for 99 (69%) of the European species. Next, we combine these regional indices to calculate European indices. To determine if changes in regional dragonfly communities in Europe reflect climatic warming, we calculate Species Temperature Indices (STI), Multi‐species Indicators (MSI) and Community Temperature Indices (CTI). Results 55 of 99 considered species increased in occupancy at European level, 32 species remained stable, and none declined. Trends for 12 species are uncertain</w:t>
      </w:r>
    </w:p>
    <w:p>
      <w:r>
        <w:t>POSSIBLE 2018: Enhanced climate instability in the North Atlantic and southern Europe during the Last Interglacial — https://doi.org/10.1038/s41467-018-06683-3</w:t>
      </w:r>
    </w:p>
    <w:p>
      <w:r>
        <w:t>Shared claim-specific concepts: here, combine, climate, indicate; EU scope visible. This is a provisional connection, not an outcome finding.</w:t>
      </w:r>
    </w:p>
    <w:p>
      <w:r>
        <w:t>Available abstract (not full text): Considerable ambiguity remains over the extent and nature of millennial/centennial-scale climate instability during the Last Interglacial (LIG). Here we analyse marine and terrestrial proxies from a deep-sea sediment sequence on the Portuguese Margin and combine results with an intensively dated Italian speleothem record and climate-model experiments. The strongest expression of climate variability occurred during the transitions into and out of the LIG. Our records also document a series of multi-centennial intra-interglacial arid events in southern Europe, coherent with cold water-mass expansions in the North Atlantic. The spatial and temporal fingerprints of these changes indicate a reorganization of ocean surface circulation, consistent with low-intensity disruptions of the Atlantic meridional overturning circulation (AMOC). The amplitude of this LIG variability is greater than that observed in Holocene records. Episodic Greenland ice melt and runoff as a result of excess warmth may have contributed to AMOC weakening and increased climate instability throughout the LIG.</w:t>
      </w:r>
    </w:p>
    <w:p>
      <w:r>
        <w:t>POSSIBLE 2018: Decline in climate resilience of European wheat — https://doi.org/10.1073/pnas.1804387115</w:t>
      </w:r>
    </w:p>
    <w:p>
      <w:r>
        <w:t>Shared claim-specific concepts: here, climate, breeding, based; EU scope visible. This is a provisional connection, not an outcome finding.</w:t>
      </w:r>
    </w:p>
    <w:p>
      <w:r>
        <w:t>Available abstract (not full text): Food security relies on the resilience of staple food crops to climatic variability and extremes, but the climate resilience of European wheat is unknown. A diversity of responses to disturbance is considered a key determinant of resilience. The capacity of a sole crop genotype to perform well under climatic variability is limited; therefore, a set of cultivars with diverse responses to weather conditions critical to crop yield is required. Here, we show a decline in the response diversity of wheat in farmers' fields in most European countries after 2002-2009 based on 101,000 cultivar yield observations. Similar responses to weather were identified in cultivar trials among central European countries and southern European countries. A response diversity hotspot appeared in the trials in Slovakia, while response diversity "deserts" were identified in Czechia and Germany and for durum wheat in southern Europe. Positive responses to abundant precipitation were lacking. This assessment suggests that current breeding programs and cultivar selection practices do not sufficiently prepare for climatic uncertainty and variability. Consequently, the demand for climate resilience of staple food crops such as wheat must be better articulated. Assessments and communication of response diversity enable collective learning across supply chains. Increased awareness could foster governance of re</w:t>
      </w:r>
    </w:p>
    <w:p>
      <w:r>
        <w:t>POSSIBLE 2018: Climate Impacts from Afforestation and Deforestation in Europe — https://doi.org/10.1175/ei-d-17-0033.1</w:t>
      </w:r>
    </w:p>
    <w:p>
      <w:r>
        <w:t>Shared claim-specific concepts: here, climate, two; EU scope visible. This is a provisional connection, not an outcome finding.</w:t>
      </w:r>
    </w:p>
    <w:p>
      <w:r>
        <w:t>Available abstract (not full text): Abstract Changes in vegetation are known to have an impact on climate via biogeophysical effects such as changes in albedo and heat fluxes. Here, the effects of maximum afforestation and deforestation are studied over Europe. This is done by comparing three regional climate model simulations—one with present-day vegetation, one with maximum afforestation, and one with maximum deforestation. In general, afforestation leads to more evapotranspiration (ET), which leads to decreased near-surface temperature, whereas deforestation leads to less ET, which leads to increased temperature. There are exceptions, mainly in regions with little water available for ET. In such regions, changes in albedo are relatively more important for temperature. The simulated biogeophysical effect on seasonal mean temperature varies between 0.5° and 3°C across Europe. The effect on minimum and maximum temperature is larger than that on mean temperature. Increased (decreased) mean temperature is associated with an even larger increase (decrease) in maximum summer (minimum winter) temperature. The effect on precipitation is found to be small. Two additional simulations in which vegetation is changed in only one-half of the domain were also performed. These simulations show that the climatic effects from changed vegetation in Europe are local. The results imply that vegetation changes have had, and will hav</w:t>
      </w:r>
    </w:p>
    <w:p>
      <w:r>
        <w:t>POSSIBLE 2017: Escalating impacts of climate extremes on critical infrastructures in Europe — https://doi.org/10.1016/j.gloenvcha.2017.11.007</w:t>
      </w:r>
    </w:p>
    <w:p>
      <w:r>
        <w:t>Shared claim-specific concepts: here, combine, climate; EU scope visible. This is a provisional connection, not an outcome finding.</w:t>
      </w:r>
    </w:p>
    <w:p>
      <w:r>
        <w:t>Available abstract (not full text):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r>
        <w:t>POSSIBLE 2017: Combined Impacts of PDO and Two Types of La Niña on Climate Anomalies in Europe — https://doi.org/10.1175/jcli-d-16-0376.1</w:t>
      </w:r>
    </w:p>
    <w:p>
      <w:r>
        <w:t>Shared claim-specific concepts: here, climate, two, indicate; EU scope visible. This is a provisional connection, not an outcome finding.</w:t>
      </w:r>
    </w:p>
    <w:p>
      <w:r>
        <w:t>Available abstract (not full text): Combined impacts of the Pacific decadal oscillation (PDO) and two types of La Niña on climate anomalies in Europe are studied. Particularly, the conjunction of the negative PDO phase and two different types of La Niña events favors strong and significant North Atlantic Oscillation (NAO) pattern anomalies with opposite polarity. For the central Pacific (CP) La Niña, a clear positive NAO signal can be detected, which is accompanied by positive surface air temperature (SAT) anomaly and a dipolar structure of precipitation anomalies in Europe. In addition, a typical negative Pacific–North America (PNA) teleconnection pattern forms, including a high pressure anomaly over the southeastern United States, which may contribute to the development and maintenance of the NAO anomaly by strengthening the baroclinicity and the local eddy–mean flow interaction. However, for the eastern Pacific (EP) La Niña, a zonal wave train in the high latitudes can be observed, which is quite different from the typical PNA structure. Here, an anomalous anticyclone over southern Greenland supports a negative NAO pattern through the local eddy–mean flow interaction and the associated vorticity advection. Hence, reversed SAT and precipitation anomalies occur over Europe. Further analyses indicate that the wave trains emanating from the North Pacific and the synoptic eddy–mean flow interaction play essential r</w:t>
      </w:r>
    </w:p>
    <w:p>
      <w:pPr>
        <w:pStyle w:val="Heading2"/>
      </w:pPr>
      <w:r>
        <w:t>Shifts, turning points and inertia exploring long-term industry trends in European transport</w:t>
      </w:r>
    </w:p>
    <w:p>
      <w:r>
        <w:t>Original source (2015): https://doi.org/10.1007/s40309-015-0070-0</w:t>
      </w:r>
    </w:p>
    <w:p>
      <w:r>
        <w:t>Original wording (abstract; indexed_source_text_not_full_document_verified): Such an analysis steps further into the technological realm, and targets social, industrial and political issues, which could affect the future of transport up until 2050, with a special focus on the post-ownership economy.</w:t>
      </w:r>
    </w:p>
    <w:p>
      <w:r>
        <w:t>POSSIBLE 2025: Economic, technological and environmental drivers of the circular economy in the European Union: a panel data analysis — https://doi.org/10.1186/s12302-025-01119-4</w:t>
      </w:r>
    </w:p>
    <w:p>
      <w:r>
        <w:t>Shared claim-specific concepts: technological, focus, economy; EU scope visible. This is a provisional connection, not an outcome finding.</w:t>
      </w:r>
    </w:p>
    <w:p>
      <w:r>
        <w:t>Available abstract (not full text):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r>
        <w:t>POSSIBLE 2023: EUROPEAN UNION AT THE DAWN OF TECHNOLOGICAL COLD WAR — https://doi.org/10.12775/tis.2023.015</w:t>
      </w:r>
    </w:p>
    <w:p>
      <w:r>
        <w:t>Shared claim-specific concepts: technological, political, focus; EU scope visible. This is a provisional connection, not an outcome finding.</w:t>
      </w:r>
    </w:p>
    <w:p>
      <w:r>
        <w:t xml:space="preserve">Available abstract (not full text): The purpose of the study was to construct a picture of the EU’s global position in a world defined by the US-Chinese technological Cold War. Morphological analysis has been used to enable a comprehensive analysis of the relationship between the technological and social domains. Structured interviews were also used to support the analytical process. The results of the exploration showed a picture of the EU’s multi-level technological weakness compared to competing powers. While the EU is not a weak entity, its future international position will depend on the creation of its own technological capabilities and on cooperation with the United States. Both lines of action are subject to multiple risks. Firstly, some aggressive technological developments (such as the plans to place microchips production in Europe) can generate more problems than diversification. Secondly, the EU must extend its work on high-tech (primarily AI) beyond the logic of market regulation and focus on their geopolitical and military dimension. It must also be ready for possible obstacles in cooperation with the United States. The alternative to this track, as the analysis shows, is the technological, and hence the political and economic peripheral status, where two technological superpowers – the United States and authoritarian China will compete. The most negative result for the EU is the status of “digital </w:t>
      </w:r>
    </w:p>
    <w:p>
      <w:r>
        <w:t>POSSIBLE 2023: Technological Challenges and Opportunities to Plastics Valorization in the Context of a Circular Economy in Europe — https://doi.org/10.3390/su15043741</w:t>
      </w:r>
    </w:p>
    <w:p>
      <w:r>
        <w:t>Shared claim-specific concepts: further, technological, issues, economy; EU scope visible. This is a provisional connection, not an outcome finding.</w:t>
      </w:r>
    </w:p>
    <w:p>
      <w:r>
        <w:t>Available abstract (not full text): The transition to a fully-fledged circular economy (CE) has proven to be challenging for many industries. Despite possible competitive advantages of moving industries towards CE activities, their practical implementation is still limited. This communication article delivers ad interim an identification of technological challenges and opportunities for the European plastics industries to facilitate circularity ambitions. In applying the qualitative-empirical Gioia-method utilizing the GABEK-WinRelan tool, specific technological challenges and opportunities for plastics industries were identified. Major findings indicate that technological challenges for plastics are predominantly seen in (C1) secondary material contamination; (C2) recycling processing issues; (C3) production processing issues; (C4) production material quality issues; and (C5) end-product quality issues, while the opportunities lie in (O1) effective secondary material management; (O2) innovation for chemical recycling; (O3) innovation for production and processability; (O4) innovative materials; and (O5) innovative end-products. This article contributes to the contemporary debate of CE challenges and opportunities to plastics valorization by highlighting the promising role of chemical recycling on a monomer-level as a key facilitator to a circular plastics economy. Further, it was found that technological transit</w:t>
      </w:r>
    </w:p>
    <w:p>
      <w:r>
        <w:t>POSSIBLE 2021: The state of innovative development and further steps towards the neo-economy of Ukraine in the first quarter of the XXI century — https://doi.org/10.33731/52020.233745</w:t>
      </w:r>
    </w:p>
    <w:p>
      <w:r>
        <w:t>Shared claim-specific concepts: steps, further, technological; EU scope visible. This is a provisional connection, not an outcome finding.</w:t>
      </w:r>
    </w:p>
    <w:p>
      <w:r>
        <w:t>Available abstract (not full text): Revutsky S. The state of innovative development and further steps towards the neo-economy of Ukraine in the first quarter of the XXI century. The article examines the state of innovative development in Ukraine in comparison with world leaders. Comparative analysis of goals, priorities and directions of development and modernization of public policy to achieve the level of neo-economy, which is formed under the influence of the new paradigm of scientific and technological development and technological revolution, which is now observed in many countries. From the above data we see that among the common shortcomings of our economic strategy and development program are: ambiguity and inconsistency of goals, mechanisms and objectives, sources of funding and general backwardness in approaches, which requires the use of European approaches to achieve the goal. Relying only on outdated methods of production and labor, the country loses competitiveness in the world market, lagging behind in technological development due to lack of innovation and research in the necessary areas, while the existing system is uncertain and has no financial or legal basis for efficient operation. When the whole world moves to new technological levels, raising its level to the fifth and sixth levels, our state, without a clear leadership and base, lags behind in innovation. That is why the article substantia</w:t>
      </w:r>
    </w:p>
    <w:p>
      <w:r>
        <w:t>POSSIBLE 2020: Technological readiness in Europe — https://doi.org/10.4324/9780429057984-12</w:t>
      </w:r>
    </w:p>
    <w:p>
      <w:r>
        <w:t>Shared claim-specific concepts: technological, industrial, issues; EU scope visible. This is a provisional connection, not an outcome finding.</w:t>
      </w:r>
    </w:p>
    <w:p>
      <w:r>
        <w:t>Available abstract (not full text): The technological and innovative developments promised by the next industrial revolution come with their corollaries of optimistic and pessimistic scenarios for our societies. Public policy is tackling digital transition issues; meanwhile, it is already acting on and anticipating the challenges and opportunities, and the risks and uncertainties, of the emerging Industry 4.0 paradigm. The qualitative analysis mainly relies upon official European Commission communications and European Union (EU) reports as well as thematic national and regional strategies. It brings together an updated and structured picture of some of the rationales and directions of I4.0-enabling policies in the EU. The initial efforts to develop key enabling technologies and advanced manufacturing as engines of the EU’s growth trajectory led to the identification of priority action lines for the EU’s industrial policy and investments into new technologies. The priority areas underlined in the previous communications also constituted important building blocks of the EU Regional and Cohesion Policy for the period 2014–2020.</w:t>
      </w:r>
    </w:p>
    <w:p>
      <w:r>
        <w:t>POSSIBLE 2020: The sustainability transition in Europe in an age of demographic and technological change — https://doi.org/10.2800/571570</w:t>
      </w:r>
    </w:p>
    <w:p>
      <w:r>
        <w:t>Shared claim-specific concepts: technological, industrial, economy; EU scope visible. This is a provisional connection, not an outcome finding.</w:t>
      </w:r>
    </w:p>
    <w:p>
      <w:r>
        <w:t>Available abstract (not full text): EU policy clearly recognises that achieving long-term sustainability will require fundamental transformation of the core socio-economic systems such as the food, energy and mobility systems. This understanding forms a key pillar of the new European Green Deal, as well as the growing body of complementary goals, strategies and tools, including the Energy Union, the New Industrial Strategy for Europe, the just transition mechanism and the proposal for a European Climate Law. In their different ways, these instruments all aim to enable society to meet its material and socio-economic needs while protecting and enhancing the environment in Europe and globally. Achieving this balance, as detailed in the European Environment Agency's recent five-yearly assessment, SOER 2020, represents a major governance challenge, characterised by widespread lock-ins, feedback loops, trade-offs and uncertainties. Achieving the sustainability transition will require that all areas and levels of government work together to enable the emergence and diffusion of new ways of living and working. Fiscal and financial policy tools have a critical role to play in each phase — from enabling experimentation and innovation, and correcting market incentives, to ensuring a fair sharing of the costs and benefits across society. Yet Europe's financial and fiscal systems themselves face significant disruption and cha</w:t>
      </w:r>
    </w:p>
    <w:p>
      <w:r>
        <w:t>POSSIBLE 2018: European Federation of Societies for Ultrasound in Medicine and Biology (EFSUMB) Policy Document Development Strategy – Clinical Practice Guidelines, Position Statements and Technological Reviews — https://doi.org/10.1055/a-0770-3965</w:t>
      </w:r>
    </w:p>
    <w:p>
      <w:r>
        <w:t>Shared claim-specific concepts: steps, further, technological, issues; EU scope visible. This is a provisional connection, not an outcome finding.</w:t>
      </w:r>
    </w:p>
    <w:p>
      <w:r>
        <w:t>Available abstract (not full text): This document summarizes principles and methodology to guide the creation of Clinical Practice Guidelines, Position Statements und Technological Reviews of the European Federation of Societies for Ultrasound in Medicine and Biology (EFSUMB). The purpose of EFSUMB Clinical Practice Guidelines is to provide physicians and sonographers performing or requesting diagnostic and interventional ultrasound examinations with evidence-based recommendations. Position Statements summarize EFSUMB opinions on important current issues in clinical applications, education and training of ultrasound techniques or health care policy related to ultrasound-based imaging and ultrasound-guided interventions. The third type of EFSUMB policy document is the Technological Review, which describes ultrasound techniques and technologies for physicians, medical technicians, engineers and physicists developing ultrasound technology. The whole process of development of EFSUMB policy documents is explained beginning with the decision regarding topics, selection of authors, funding, and planning of the developmental process. Further steps described in this document are the review of the evidence, creation of recommendations, statements and comments, grading of level of evidence and strength of recommendations, and consensus process. Finally, rules for the creation, review, approval, publication and update of EFS</w:t>
      </w:r>
    </w:p>
    <w:p>
      <w:r>
        <w:t>POSSIBLE 2017: A Technological Overview of Biogas Production from Biowaste — https://doi.org/10.1016/j.eng.2017.03.002</w:t>
      </w:r>
    </w:p>
    <w:p>
      <w:r>
        <w:t>Shared claim-specific concepts: further, technological, issues, economy; EU scope visible. This is a provisional connection, not an outcome finding.</w:t>
      </w:r>
    </w:p>
    <w:p>
      <w:r>
        <w:t>Available abstract (not full text): The current irrational use of fossil fuels and the impact of greenhouse gases on the environment are driving research into renewable energy production from organic resources and waste. The global energy demand is high, and most of this energy is produced from fossil resources. Recent studies report that anaerobic digestion (AD) is an efficient alternative technology that combines biofuel production with sustainable waste management, and various technological trends exist in the biogas industry that enhance the production and quality of biogas. Further investments in AD are expected to meet with increasing success due to the low cost of available feedstocks and the wide range of uses for biogas (i.e., for heating, electricity, and fuel). Biogas production is growing in the European energy market and offers an economical alternative for bioenergy production. The objective of this work is to provide an overview of biogas production from lignocellulosic waste, thus providing information toward crucial issues in the biogas economy.</w:t>
      </w:r>
    </w:p>
    <w:p>
      <w:r>
        <w:t>POSSIBLE 2016: Energy Technological Review — https://doi.org/10.5281/zenodo.3479264</w:t>
      </w:r>
    </w:p>
    <w:p>
      <w:r>
        <w:t>Shared claim-specific concepts: steps, further, technological; EU scope visible. This is a provisional connection, not an outcome finding.</w:t>
      </w:r>
    </w:p>
    <w:p>
      <w:r>
        <w:t>Available abstract (not full text): WP2 aims to undertake an extensive characterisation of the European energy system. Following the actors and actor-networks analysis realised during Task 2.1, the work performed during Task 2.2 represents a further step towards the complete energy system characterisation, as it provides a detailed overview on the technological forces currently driving it. D2.2 focuses on the technical /technological elements of the Energy Socio-Technical regime, to contribute significant and robust evidence on what constitutes a regime. In order to do this, a supply chain perspective was adopted. The rich literature on the topic was reviewed and synthesised, and on this basis it was deemed most appropriate to apply a Key Performance Indicators (KPIs) approach in order to assess and characterise the energy supply chain. A best practice methodology for defining and applying KPIs was pursued; for this reason, an extensive review of the academic literature in this area was conducted and is presented in this deliverable. From this review, a means of identifying KPIs to characterise the Energy Supply Chain was developed, synthesising insights from state of the art knowledge on this. Developed KPIs represent a comprehensive and innovative means of characterising the Energy Supply Chain according to a myriad of multi-dimensional criteria; typically supply chains are characterised only in narrow or singl</w:t>
      </w:r>
    </w:p>
    <w:p>
      <w:pPr>
        <w:pStyle w:val="Heading2"/>
      </w:pPr>
      <w:r>
        <w:t>TRANSPORT PROJECT EVALUATION: FEASIBILITY RISK ASSESSMENT AND SCENARIO FORECASTING</w:t>
      </w:r>
    </w:p>
    <w:p>
      <w:r>
        <w:t>Original source (2015): https://doi.org/10.3846/16484142.2015.1063003</w:t>
      </w:r>
    </w:p>
    <w:p>
      <w:r>
        <w:t>Original wording (abstract; indexed_source_text_not_full_document_verified): Finally, RSF makes use of scenario forecasting where trend scenarios such as economic growth and level of cross-border integration are investigated.</w:t>
      </w:r>
    </w:p>
    <w:p>
      <w:r>
        <w:t>POSSIBLE 2024: Sudan: Rethinking the Conflict Between Sudanese Armed Forces (SAF) and the Rapid Support Forces (RSF) — https://doi.org/10.1177/09749284241264073</w:t>
      </w:r>
    </w:p>
    <w:p>
      <w:r>
        <w:t>Shared claim-specific concepts: rsf, integration; EU scope not established. This is a provisional connection, not an outcome finding.</w:t>
      </w:r>
    </w:p>
    <w:p>
      <w:r>
        <w:t>Available abstract (not full text): Sudan, the third largest nation in Africa, faces severe poverty despite its abundant natural resources. Recent economic restructuring efforts offer hope for growth, but a power struggle between the military and paramilitary forces has plunged the country into a crisis. Intense violence in Khartoum and other regions has led to widespread damage to infrastructure and facilities, triggering a humanitarian crisis with millions displaced and urgent aid needs. The conflict, sparked by disputes over paramilitary integration and control of economic assets, threatens regional stability and the transition to democracy. This article analyses the conflict’s origins and proposes potential resolutions using the Protracted Social Conflict Theory.</w:t>
      </w:r>
    </w:p>
    <w:p>
      <w:r>
        <w:t>POSSIBLE 2024: Optimal eco‐emission scheduling of the reconfigurable solar farm‐based combined hydrogen, heat, and power (RSF‐CHHP) — https://doi.org/10.1049/gtd2.13223</w:t>
      </w:r>
    </w:p>
    <w:p>
      <w:r>
        <w:t>Shared claim-specific concepts: rsf, use; EU scope not established. This is a provisional connection, not an outcome finding.</w:t>
      </w:r>
    </w:p>
    <w:p>
      <w:r>
        <w:t>Available abstract (not full text): Abstract Combined hydrogen, heat, and power (CHHP) is the cogeneration unit simultaneously meeting hydrogen, heat, and power demands. Due to the low efficiency of the electrolyser, the main grid or other generation units supply its input power. Herein, the photovoltaic farm's (PV farm) output power is used as the input power of the electrolyser. Optimal economic and emission scheduling of CHHP‐based microgrid (CHHP_MG) is defined as an objective function. To improve system efficiency, the scheduling problem is done in two cases, reconfigured SP‐PV farm and conventional SP‐PV farm. To optimal management of both demand and generation sides, a time of use (TOU) based demand response program is employed in the proposed short‐term study. To have a comprehensive study, the optimum solar panel tilt angle is calculated, and its impacts on the main function are analysed. Multi‐objective genetic algorithm is used to solve optimization problems. By solving the objective function, the obtained values for profit and pollution amount are 620$ and 69,245.78 gr, respectively. By applying the load response program, the mentioned values are changed to 715.132$ and 6872.5 gr. Since the input power is supplied through solar panels, the placement angle of the panels is very important and with the optimal setting of the placement angle, the values change to 780$ and 6825.3 gr.</w:t>
      </w:r>
    </w:p>
    <w:p>
      <w:r>
        <w:t>POSSIBLE 2023: Exploring the Potential of Innovation on Rice Straw Fluff (RSF) in Roofing System — https://doi.org/10.32722/arcee.v4i02.5235</w:t>
      </w:r>
    </w:p>
    <w:p>
      <w:r>
        <w:t>Shared claim-specific concepts: finally, rsf, level; EU scope not established. This is a provisional connection, not an outcome finding.</w:t>
      </w:r>
    </w:p>
    <w:p>
      <w:r>
        <w:t>Available abstract (not full text): The metal deck is a building material used on the roof of the house for protection. While rice straw is a plant that forms after the rice is harvested. Rice straws will usually be burned by rice farmers to produce fertile soil; however, this will encourage open burning which can destroy the sustainability of the environment which needs to be avoided. However, there are also many types of metal decks, including metal decks with Polyurethane foam (PU Foam) which are considered good sound absorbers and contain a mixture of chemicals that may be harmful. The existence of Rice Straw Fluff is expected to help those who are less able to get metal decks that are as good as metal decks with Polyurethane foam (PU Foam). Several tests were conducted to detect whether the products produced exceed the effectiveness and can work well. The first test is the Impedance Tube Method which is a method to detect and evaluate the efficient sound frequency level. By using this method, Rice Straw Fluff is tested, and the results and data taken are good and effective if used by consumers. The next test is the Fourier Transform Infrared Spectroscopy Method (FTIR) which is a method to detect the chemicals contained in Rice Straw Fluff and existing products. The result of this finding clearly shows that rice straw mixed with silicone rubber is alkaline in nature which is influenced by silicone rubber. Whi</w:t>
      </w:r>
    </w:p>
    <w:p>
      <w:r>
        <w:t>POSSIBLE 2021: Identifying and correcting spatial bias in opportunistic citizen science data for wild ungulates in Norway — https://doi.org/10.1002/ece3.8200</w:t>
      </w:r>
    </w:p>
    <w:p>
      <w:r>
        <w:t>Shared claim-specific concepts: finally, rsf, use, level; EU scope visible. This is a provisional connection, not an outcome finding.</w:t>
      </w:r>
    </w:p>
    <w:p>
      <w:r>
        <w:t xml:space="preserve">Available abstract (not full text): Many publications make use of opportunistic data, such as citizen science observation data, to infer large-scale properties of species' distributions. However, the few publications that use opportunistic citizen science data to study animal ecology at a habitat level do so without accounting for spatial biases in opportunistic records or using methods that are difficult to generalize. In this study, we explore the biases that exist in opportunistic observations and suggest an approach to correct for them. We first examined the extent of the biases in opportunistic citizen science observations of three wild ungulate species in Norway by comparing them to data from GPS telemetry. We then quantified the extent of the biases by specifying a model of the biases. From the bias model, we sampled available locations within the species' home range. Along with opportunistic observations, we used the corrected availability locations to estimate a resource selection function (RSF). We tested this method with simulations and empirical datasets for the three species. We compared the results of our correction method to RSFs obtained using opportunistic observations without correction and to RSFs using GPS-telemetry data. Finally, we compared habitat suitability maps obtained using each of these models. Opportunistic observations are more affected by human access and visibility than locations </w:t>
      </w:r>
    </w:p>
    <w:p>
      <w:r>
        <w:t>POSSIBLE 2019: Laminin-Coated Electrospun Regenerated Silk Fibroin Mats Promote Neural Progenitor Cell Proliferation, Differentiation, and Survival in vitro — https://doi.org/10.3389/fbioe.2019.00190</w:t>
      </w:r>
    </w:p>
    <w:p>
      <w:r>
        <w:t>Shared claim-specific concepts: finally, rsf, investigated; EU scope not established. This is a provisional connection, not an outcome finding.</w:t>
      </w:r>
    </w:p>
    <w:p>
      <w:r>
        <w:t>Available abstract (not full text): Neural progenitor cell (NPC) transplantation is a promising technique for central nervous system (CNS) reconstruction and regeneration. Biomaterial scaffolds, frameworks, and platforms can support NPC proliferation and differentiation in vitro as well as serve as a temporary extracellular matrix after transplantation. However, further applications of biomaterials require improved biological attributes. Silk fibroin (SF), which is produced by Bombyx mori, is a widely used and studied protein polymer for biomaterial application. Here, we prepared aligned and random eletrospun regenerated SF (RSF) scaffolds, and evaluated their impact on the growth of NPCs. First, we isolated NPCs and then cultured them on either laminin-coated RSF mats or conventional laminin-coated coverslips for cell assays. We found that aligned and random RSF led to increases in NPC proliferation of 143.8 ± 13.3% and 156.3 ± 14.7%, respectively, compared to controls. Next, we investigated neuron differentiation and found that the aligned and the random RSF led to increases in increase in neuron differentiation of about 93.2 ± 6.4%, and 3167.1 ± 4.8%, respectively, compared to controls. Furthermore, we measured the survival of NPCs and found that RSF promoted NPC survival, and found there was no difference among those three groups. Finally, signaling pathways in cells cultured on RSF mats were studied for thei</w:t>
      </w:r>
    </w:p>
    <w:p>
      <w:r>
        <w:t>POSSIBLE 2018: Have wolves (Canis lupus) finally scared moose (Alces alces) in Sweden — https://openalex.org/W2902161450</w:t>
      </w:r>
    </w:p>
    <w:p>
      <w:r>
        <w:t>Shared claim-specific concepts: finally, use; EU scope visible. This is a provisional connection, not an outcome finding.</w:t>
      </w:r>
    </w:p>
    <w:p>
      <w:r>
        <w:t>Available abstract (not full text): Carnivores are coming back to Europe and the repercussions of their return on prey species is not fully understood. Research from North American studies suggests predators can indirectly affect how ungulates will select their habitat which can result in a change in vegetation growth as browsing pressure is relaxed in risky areas. The highly human dominated landscapes of European countries could limit the effect predators have, as humans alter so much of the environment, from forestry to hunting. I use resource selection functions to analyse 20 years of data collected in the Grimsö Wildlife Research Area (140 km2), in a before/after study design to see if the return of the wolf (Canis lupus) in Scandinavia has caused moose (Alces alces) to change how they select winter habitat. I show a change in moose habitat selection after wolf recolonization, but find no conclusive evidence of an indirect effect of wolves. A more likely explanation for the observed changes in moose habitat selection within the Grimsö Wildlife Research Area is a functional response between moose and forage availability.</w:t>
      </w:r>
    </w:p>
    <w:p>
      <w:r>
        <w:t>POSSIBLE 2018: Integrating telemetry data into spatial capture–recapture modifies inferences on multi‐scale resource selection — https://doi.org/10.1002/ecs2.2203</w:t>
      </w:r>
    </w:p>
    <w:p>
      <w:r>
        <w:t>Shared claim-specific concepts: rsf, use, integration; EU scope not established. This is a provisional connection, not an outcome finding.</w:t>
      </w:r>
    </w:p>
    <w:p>
      <w:r>
        <w:t>Available abstract (not full text): Abstract Estimating population size and resource selection functions ( RSF s) are common approaches in applied ecology for addressing wildlife conservation and management objectives. Traditionally such approaches have been undertaken separately with different sources of data. Spatial capture–recapture ( SCR ) provides a hierarchical framework for jointly estimating density and multi‐scale resource selection, and data integration techniques provide opportunities for improving inferences from SCR models. Despite the added benefits, there have been few applications of SCR ‐ RSF integration, potentially due to complexities of specifying and fitting such models. Here, we extend a previous integrated SCR ‐ RSF model to accommodate overlap of individuals between data sources and add the functionality to an open‐source R package ( oSCR ). We illustrate an application of the integrated model to a population of American marten ( Martes americana ) in alpine forests of northern New England. Spatial encounter data from camera traps were combined with telemetry locations from radio‐collared individuals to examine how density and space use varied with spatial environmental features. We compared multi‐model inferences between the integrated SCR ‐ RSF model with telemetry and a standard SCR model with no telemetry. The integrated SCR ‐ RSF model supported more complex relationships with spatia</w:t>
      </w:r>
    </w:p>
    <w:p>
      <w:pPr>
        <w:pStyle w:val="Heading2"/>
      </w:pPr>
      <w:r>
        <w:t>Technopolis, shared resources or controlled mobility? A net-based Delphi-study to explore visions of future urban daily mobility in Norway</w:t>
      </w:r>
    </w:p>
    <w:p>
      <w:r>
        <w:t>Original source (2015): https://doi.org/10.1007/s40309-015-0069-6</w:t>
      </w:r>
    </w:p>
    <w:p>
      <w:r>
        <w:t>Original wording (abstract; indexed_source_text_not_full_document_verified): An explorative factor analysis (principal component analysis) is applied to reveal three slightly different understandings of how the urban future may look like in 2050. Although there are general agreements on the need for change, different ideas and visions for the future dominate across different groups of stakeholders and academics.</w:t>
      </w:r>
    </w:p>
    <w:p>
      <w:r>
        <w:t>POSSIBLE 2026: Principal Component Analysis of Economic Factors Affecting Food Consumption and Labor Market Performance in the European Union — https://doi.org/10.35219/eai15840409587</w:t>
      </w:r>
    </w:p>
    <w:p>
      <w:r>
        <w:t>Shared claim-specific concepts: principal, component, although; EU scope visible. This is a provisional connection, not an outcome finding.</w:t>
      </w:r>
    </w:p>
    <w:p>
      <w:r>
        <w:t>Available abstract (not full text): The study analyzes the structure of the relationships between the economic determinants of food consumption and labor market performance in the European Union, using an exploratory approach based on principal component analysis.The motivation for this research comes from the growing importance of food price dynamics and labor market transformations in the recent economic context, characterized by inflationary pressures and persistent structural differences among member states.The empirical analysis is based on secondary data extracted from Eurostat for the year 2024, covering a sample of 29 European countries.The set of variables used reflects the economic conditions of food consumption, through the harmonized food price index, as well as labor market performance, through indicators such as the economic activity rate, labor costs, and labor productivity.The adopted methodology, principal component analysis, allows for the reduction of data dimensionality and the identification of latent dimensions that structure the relationships between these variables, without imposing causality assumptions.The results highlight the existence of two principal components that explain 78.02% of the total variation in the data.The first component reflects a dimension of economic efficiency, characterized by the relationship between productivity, labor costs, and food price levels, suggesting the</w:t>
      </w:r>
    </w:p>
    <w:p>
      <w:r>
        <w:t>POSSIBLE 2024: Monkeypox in Europe: Epidemiology and Risk Factors – A Scoping Review Study — https://doi.org/10.1101/2024.08.28.24312706</w:t>
      </w:r>
    </w:p>
    <w:p>
      <w:r>
        <w:t>Shared claim-specific concepts: principal, although, across; EU scope visible. This is a provisional connection, not an outcome finding.</w:t>
      </w:r>
    </w:p>
    <w:p>
      <w:r>
        <w:t xml:space="preserve">Available abstract (not full text): Abstract Background Monkeypox (mpox) is a zoonotic disease originating from the Congo Basin (Clade I) and West Africa (Clade II). In 2022, mpox spread to non-endemic European countries, predominantly through human transmission associated with sexual contact. The outbreak in Europe was primarily with the Clade IIb lineage, which is less virulent. The World Health Organization (WHO) declared this outbreak a Public Health Emergency of International Concern (PHEIC) in 2022, which ended in May 2023 after a decline in cases. However, in July 2024, a resurgence of the more virulent Clade I occurred in the Democratic Republic of Congo (DRC), leading WHO to declare mpox a PHEIC again, due to the risk of global spread. Understanding epidemiology and risk factors of mpox is vital for effective public health measures. Methodology and principal findings A search conducted from 2014 to 2024 across PubMed, Scopus and Embase identified 38 studies on mpox in Europe, which were included for qualitative analysis. The key themes identified were epidemiology and risk factors/ behaviors. High-risk behaviors include sexual contact among men who have sex with men (MSM) with multiple partners, living with HIV, and frequent travel to endemic regions. Conclusions and significance With no definitive cure for mpox, public health measures such as surveillance, monitoring, and contact tracing are essential. </w:t>
      </w:r>
    </w:p>
    <w:p>
      <w:r>
        <w:t>POSSIBLE 2024: Exploring high school principals' perceptions of essentials factors for high performing administrative teams — https://doi.org/10.17918/00010705</w:t>
      </w:r>
    </w:p>
    <w:p>
      <w:r>
        <w:t>Shared claim-specific concepts: factor, principal, three, there; EU scope not established. This is a provisional connection, not an outcome finding.</w:t>
      </w:r>
    </w:p>
    <w:p>
      <w:r>
        <w:t xml:space="preserve">Available abstract (not full text): American schools are complex organizations responsible for the teaching and learning of students. Leading these dynamic institutions is the school principal and the influence of the principal is a leading factor in school outcomes and student achievement measures (Grissom et al., 2021). Thus, the principal is essential for school and student success; however, the complexity of secondary schools combined with increasing demands for accountability and school reform initiatives requires a collective approach to school leadership. As a result, the number of assistant principals has significantly increased to provide support and assistance in the leading and management of the school. The administrative team, acting on behalf of the principal, is instrumental when measuring school effectiveness and despite the prevalence of administrative teams, the research literature is largely silent on the collaborative structure responsible for school leadership. Moreover, there remains little investigation exploring the leadership styles of principals, the organization of administrative teams, and the perception of team effectiveness by the principal. This explanatory sequential mixed-method study explored this unknown landscape by delving into high school principals' perceptions of essential factors for high-performing administrative teams. As such, this study addressed the following research </w:t>
      </w:r>
    </w:p>
    <w:p>
      <w:r>
        <w:t>POSSIBLE 2022: Exploring Factors Associated with Parent Engagement in A Parenting Program in Southeastern Europe — https://doi.org/10.1007/s10826-022-02411-0</w:t>
      </w:r>
    </w:p>
    <w:p>
      <w:r>
        <w:t>Shared claim-specific concepts: three, different, there; EU scope visible. This is a provisional connection, not an outcome finding.</w:t>
      </w:r>
    </w:p>
    <w:p>
      <w:r>
        <w:t>Available abstract (not full text): Abstract Parental engagement in parenting programs is essential for good outcomes but can be challenging for many families. In low- and middle-income countries, where resources are limited and there are fewer support services, there is little research examining the factors that influence engagement. This mixed-methods study explored factors associated with parent engagement, as well as barriers and supports, in a pilot evaluation of a parenting program with 140 parents in North Macedonia, Republic of Moldova, and Romania. The relationship between various quantitative types of engagement (e.g., premature drop-out, participation) and a range of demographic, personal, and implementation factors were examined. Qualitative parent interviews explored barriers and supports to program engagement. Implementation variables (e.g., phone calls with parents, program fidelity and text messages sent to parents) were consistently positively associated with different types of engagement after controlling for other factors. Parents of boys, being a victim of intimate partner violence, more children in the household and better parental well-being were positively associated with premature drop-out whilst having a child enrolled in school was positively associated with participation. Barriers included logistical factors such as timing and lack of childcare facilities. Factors that increased engagem</w:t>
      </w:r>
    </w:p>
    <w:p>
      <w:r>
        <w:t>POSSIBLE 2022: Exploring scale in social licence to operate: European perspectives — https://doi.org/10.1016/j.jclepro.2022.135552</w:t>
      </w:r>
    </w:p>
    <w:p>
      <w:r>
        <w:t>Shared claim-specific concepts: three, although, there; EU scope visible. This is a provisional connection, not an outcome finding.</w:t>
      </w:r>
    </w:p>
    <w:p>
      <w:r>
        <w:t>Available abstract (not full text): This article explores the issue of scale in the social licence to operate (SLO) which, to date, is understudied. The community-company relationship is the original, and still predominant, conceptualization of the term with the less tangible society-industry relationship still not typically in focus. Although the literature distinguishes between community and societal scales, there is no research on why the distinction is important, how the two scales are integrated or whether they interact with and influence one another. Exploring scale in SLO is important for theoretical clarification of the concept, for better empirical understanding of the role mining plays in host localities and the broader society and for the potential to incentivize industry toward more responsible and sustainable practices. Europe's multi-layered governance structure combined with its push for more domestic mining activities provides an ideal crucible for debates of scale to play out. To investigate the community and societal scales in the European context within a single study, three main research questions guide the work: how do orientations toward SLO differ at the community and societal scales; how do these orientations influence the acceptance of mining at both scales; and how do these orientations interact and influence one another? Through quantitative analyses, we found that site level factors te</w:t>
      </w:r>
    </w:p>
    <w:p>
      <w:r>
        <w:t>POSSIBLE 2020: Factors Influencing Human Mobility During The COVID-19 Pandemic in Selected Countries of Europe and North America — https://doi.org/10.1109/bigdata50022.2020.9377932</w:t>
      </w:r>
    </w:p>
    <w:p>
      <w:r>
        <w:t>Shared claim-specific concepts: principal, component, applied; EU scope visible. This is a provisional connection, not an outcome finding.</w:t>
      </w:r>
    </w:p>
    <w:p>
      <w:r>
        <w:t>Available abstract (not full text): A novel coronavirus (COVID-19) was first reported in Wuhan, China in December 2109 and was declared a global pandemic by the World Health Organization on 11 March 2020. Identification of the critical factors that predict reduced mobility and human interaction is critical to developing successful transmission mitigation efforts globally. Governments and localities around the world have responded with wide-ranging policies related to containment and closure such as travel restrictions and stay-at-home-orders, as well as economic benefits, expanded testing, and public health education, among others. Anonymized GPS-enabled smartphone data is a novel tool to track human mobility and is becoming widely available. This study explores the relationships between containment and closure policies, disease trends, and human mobility patterns in 40 countries in Western, Eastern, Northern, and Southern Europe and North America. The principal component analysis was applied to reduce variable dimensions, followed by multivariate multiple regression. The model parameter estimations indicate that total cases, canceling activities (school, work, events), mask policies and the pandemic declaration all were significant predictors (p&lt;; .001) of change in workplace mobility from baseline.</w:t>
      </w:r>
    </w:p>
    <w:p>
      <w:r>
        <w:t>POSSIBLE 2018: Principal factors controlling the species richness of European fens differ between habitat specialists and matrix‐derived species — https://doi.org/10.1111/ddi.12718</w:t>
      </w:r>
    </w:p>
    <w:p>
      <w:r>
        <w:t>Shared claim-specific concepts: principal, like, there, groups; EU scope visible. This is a provisional connection, not an outcome finding.</w:t>
      </w:r>
    </w:p>
    <w:p>
      <w:r>
        <w:t>Available abstract (not full text): Abstract Aim We present the first continental‐scale study of factors controlling the species richness of groundwater‐fed fens, comparing land snails, vascular plants and bryophytes. We separately analyse two ecologically distinct groups differing in conservation value and colonization/extinction dynamics, that is habitat specialists, and matrix‐derived species. Considering the island‐like nature of fen habitats, we hypothesize larger differences in the species richness–environment relationships between habitat specialists and matrix‐derived species than among the taxonomic entities. Location Seven European regions Methods Richness was counted at 373 well‐preserved fens with undisturbed hydrology using the same protocols. Relationships between the species richness and waterpH, waterlogging, climate and geography were explored byGLMs. Results Land snail richness responded mainly to waterpH, regardless of habitat specialization. Richness of vascular plant and bryophyte specialists was strongly driven by geographical location of the sites, while that of matrix‐derived species was driven by waterlogging and waterpH. The richness of matrix‐derived species of all taxa significantly increased with the decreasing waterlogging. Residual richness of specialists of all taxa decreased towards southern Europe. Main conclusions In island‐like terrestrial habitats, differences between speciali</w:t>
      </w:r>
    </w:p>
    <w:p>
      <w:r>
        <w:t>POSSIBLE 2017: Exploring Self-Employment in the European Union — https://openalex.org/W2773297494</w:t>
      </w:r>
    </w:p>
    <w:p>
      <w:r>
        <w:t>Shared claim-specific concepts: there, general, across; EU scope visible. This is a provisional connection, not an outcome finding.</w:t>
      </w:r>
    </w:p>
    <w:p>
      <w:r>
        <w:t>Available abstract (not full text): [Excerpt] Self-employment in the European Union is in a process of continual change. While the proportion of the self-employed in the EU28 Member States is stable, its composition has shifted. While on the one hand there has been a decline in employment in agriculture (generally self-employment), on the other hand the proportions of self-employed workers in the services sector and public sector have increased. Another recent phenomenon is the increase in the proportion of self-employed people who do not employ workers. Across the European Union, some countries have experienced a greater degree of change in the proportion of self-employed workers than in others. In general, self-employment has become more varied and this diversity presents a challenge for policymakers.</w:t>
      </w:r>
    </w:p>
    <w:p>
      <w:r>
        <w:t>POSSIBLE 2017: Regional economic development in Europe: the role of total factor productivity — https://doi.org/10.1080/00343404.2017.1334118</w:t>
      </w:r>
    </w:p>
    <w:p>
      <w:r>
        <w:t>Shared claim-specific concepts: factor, component, across; EU scope visible. This is a provisional connection, not an outcome finding.</w:t>
      </w:r>
    </w:p>
    <w:p>
      <w:r>
        <w:t>Available abstract (not full text): Regional economic development in Europe: the role of total factor productivity. Regional Studies. This paper documents the fact that the large and persistent differences in economic development across subnational regions in European Union countries can largely be attributed to differences in total factor productivity (TFP). Applying the technique of development accounting, the paper decomposes differences in output per worker across 257 European Union regions into a component due to the local availability of production factors and a component due to TFP. As the analysis reveals, TFP differences are large even within countries, and are strongly related to economic geography and historical development paths. This suggests limited interregional diffusion of technology and of efficient production practices.</w:t>
      </w:r>
    </w:p>
    <w:p>
      <w:pPr>
        <w:pStyle w:val="Heading2"/>
      </w:pPr>
      <w:r>
        <w:t>The Future of Internationalization of Higher Education in Europe</w:t>
      </w:r>
    </w:p>
    <w:p>
      <w:r>
        <w:t>Original source (2015): https://doi.org/10.6017/ihe.2015.83.9073</w:t>
      </w:r>
    </w:p>
    <w:p>
      <w:r>
        <w:t>Original wording (abstract; indexed_source_text_not_full_document_verified): The study results in conclusions and recommendations on the future of internationalization of higher education in Europe, based on the national reports and a Delphi process among experts in international higher education. This is a summary of the key findings of the study, including a redefinition of the meaning of internationalization.</w:t>
      </w:r>
    </w:p>
    <w:p>
      <w:r>
        <w:t>POSSIBLE 2025: Regional Pathways to Internationalization: The Role of Erasmus+ in European HEIs — https://doi.org/10.3390/urbansci9050144</w:t>
      </w:r>
    </w:p>
    <w:p>
      <w:r>
        <w:t>Shared claim-specific concepts: conclusions, internationalization, higher, education, findings; EU scope visible. This is a provisional connection, not an outcome finding.</w:t>
      </w:r>
    </w:p>
    <w:p>
      <w:r>
        <w:t>Available abstract (not full text): The study examines the geographic distribution of Erasmus+ incoming student mobility across European Higher Education Institutions (HEIs) from 2014 to 2020, highlighting significant regional disparities. It addresses the crucial questions of how regional and institutional factors influence student attractiveness and the emerging hotspots of mobility, which are vital for understanding the dynamics of educational internationalisation and regional development. The primary goal of this work is to identify the regional and institutional determinants of Erasmus student mobility and to propose strategies for enhancing the attractiveness of less favoured regions. Employing hotspot analysis and a two-level random intercept model, this research analyses spatial patterns and the influences of regional characteristics and institutional variables on Erasmus mobility rates. The findings reveal that while Spain, Germany, and the UK are leading recipients of Erasmus students, significant mobility hotspots exist primarily in Spain, Portugal, and southern France, with unexpected clusters emerging in Ireland and Sweden, indicating evolving dynamics in student mobility patterns. The conclusions underscore the importance of targeted regional policies to enhance HEI attractiveness and promote balanced internationalisation across Europe, particularly in underserved areas. These findings call for stra</w:t>
      </w:r>
    </w:p>
    <w:p>
      <w:r>
        <w:t>POSSIBLE 2023: Entry modes used in the internationalization process of automotive enterprises — https://doi.org/10.29119/1641-3466.2023.180.16</w:t>
      </w:r>
    </w:p>
    <w:p>
      <w:r>
        <w:t>Shared claim-specific concepts: conclusions, recommendations, internationalization, process, findings; EU scope visible. This is a provisional connection, not an outcome finding.</w:t>
      </w:r>
    </w:p>
    <w:p>
      <w:r>
        <w:t>Available abstract (not full text): Purpose: The main aim of the article is to identify and describe strategies for entering foreign markets and forms of serving these markets by automotive sector enterprises as part of the internationalization process.The secondary goal is to find links between these strategies, their forms and their importance for the overall course of internationalization of activities of the surveyed enterprises.Design, methodology and approach: The article uses mixed research methods.The starting point was literature studies to determine the current state of knowledge in the research area and to formulate the problem.The research proper was conducted using a qualitative approach.The core consisted of case studies supported by data from secondary sources.Findings: It is not possible to design a universal internationalization model for all enterprises in the automotive sector.Strategies adopted depend on many factors: general conditions of the country's economy and its size, level of technological advancement in production, capital resources, product range and vision of development.Therefore, the greatest similarities occur in the geographical layout.Asian, European and North American companies followed different paths of internationalization. Research limitations and implications:The research expands knowledge about internationalization of automotive companies.It shows the context of the proc</w:t>
      </w:r>
    </w:p>
    <w:p>
      <w:r>
        <w:t>POSSIBLE 2022: Navigating the internationalization process: Strategic resources for early internationalizing firms — https://doi.org/10.1007/s10843-022-00308-z</w:t>
      </w:r>
    </w:p>
    <w:p>
      <w:r>
        <w:t>Shared claim-specific concepts: recommendations, internationalization, based, process; EU scope not established. This is a provisional connection, not an outcome finding.</w:t>
      </w:r>
    </w:p>
    <w:p>
      <w:r>
        <w:t>Available abstract (not full text): Abstract Despite an increasing number of studies identifying factors that influence the internationalization process for early internationalizing firms (EIFs), it remains unclear which of these numerous factors could play a strategic role and, more specifically, when. This paper develops a new conceptual framework anchored in the resource-based view to identify strategic resources that can explain EIFs’ internationalization process accurately over time. Building on a systematic literature review based on 102 papers covering a period of 29 years, we methodically present a phase-by-phase observation of EIFs’ internationalization process to identify the strategic relevance of different influential resources. The results highlight the importance of the shift from individual to organizational resources, which occurs at a critical phase of transition from the entry to the post-entry phase. Studying the evolution of strategic resources along four phases allows us to determine that the progress of EIFs through the phases of their internationalization process is closely linked to their resources’ development process. This study suggests some promising research avenues, at theoretical and methodological levels, and results in a series of concrete recommendations intended for entrepreneurs and/or managers of EIFs.</w:t>
      </w:r>
    </w:p>
    <w:p>
      <w:r>
        <w:t>POSSIBLE 2020: Collaboration and Internationalization of SMEs: Insights and Recommendations from a Systematic Review — https://doi.org/10.1111/ijmr.12238</w:t>
      </w:r>
    </w:p>
    <w:p>
      <w:r>
        <w:t>Shared claim-specific concepts: recommendations, internationalization, process, key; EU scope not established. This is a provisional connection, not an outcome finding.</w:t>
      </w:r>
    </w:p>
    <w:p>
      <w:r>
        <w:t>Available abstract (not full text): Abstract This paper performs a systematic literature review of the undeniably diverse – and somewhat fragmented – current state of research on the collaborations and internationalization of small and medium‐sized enterprises (SMEs). We analyze key works and synthesize them into a framework that conceptually maps key antecedents, mediators, and moderators that influence the internationalization of SMEs. In addition, we highlight limitations of the literature, most notably in terms of theoretical fragmentation; extant theories are deployed and illustrated but rarely extended in a manner that significantly informs subsequent work. At an applied (but related) level, we argue the need for supplementary work that explores the distinct stages of internationalization – and the scope and scale of this process – rather than assuming closure around particular events. With this, we highlight the need for more rigorous and empirically informed explorations of contextual effects that take account of the consequences of developments in the global economic ecosystem.</w:t>
      </w:r>
    </w:p>
    <w:p>
      <w:r>
        <w:t>POSSIBLE 2020: Make Banking Simple Again : A multiple case-study about the internationalization of the largest online retail banks in Europe — https://openalex.org/W3047438540</w:t>
      </w:r>
    </w:p>
    <w:p>
      <w:r>
        <w:t>Shared claim-specific concepts: recommendations, internationalization, process, international, findings; EU scope visible. This is a provisional connection, not an outcome finding.</w:t>
      </w:r>
    </w:p>
    <w:p>
      <w:r>
        <w:t>Available abstract (not full text): Digitalization is increasing in our society and continues to move in that direction. The shift from traditional banks to online banks is becoming more popular, and with an online bank, the international markets open. Although previous research about internationalization exists, there is no in-depth research on the specific topic of online banks. This study aims to provide information regarding how online banks internationalize, to understand the underlying factors for the process better as well as provide recommendations for both online banks but also traditional banks. Factors such as motivators, the entrepreneur, and resources are investigated to find an answer to the given research question. The way of internationalization is connected to the already pre-existing strategies of global or regional markets. The third theoretical concept that is applied to understand the internationalization process is which path of internationalization is used, either Born Global or Born Regional. This thesis is a qualitative study with a deductive approach. The empirical findings are derived from case studies through semi-structured interviews, and the sampling selection is online retail banks operating in Europe, with more than one million customers. The selected cases are Revolut, N26, Monzo, and Monese, where one interview per bank is conducted. The interviewee’s understanding of the subjec</w:t>
      </w:r>
    </w:p>
    <w:p>
      <w:r>
        <w:t>POSSIBLE 2019: Pathways of SME internationalization: a bibliometric and systematic review — https://doi.org/10.1007/s11187-019-00181-6</w:t>
      </w:r>
    </w:p>
    <w:p>
      <w:r>
        <w:t>Shared claim-specific concepts: internationalization, international, findings; EU scope not established. This is a provisional connection, not an outcome finding.</w:t>
      </w:r>
    </w:p>
    <w:p>
      <w:r>
        <w:t>Available abstract (not full text): Business is dynamic and rapidly changing. Global markets were previously the playing field of multinational corporations (MNCs), while small and medium enterprises (SMEs) were local; however, the removal of imposed barriers and recent technological advances in manufacturing, transportation, and communications have indorsed SMEs and international entrepreneurs (IEs) global access. SMEs and IEs are increasingly fueling economic growth and innovation, and these trends are presenting both opportunities and challenges to both MNCs and SMEs in the global arena. This review systematically examines comparative SME and IE research, analyzing (after fine-tuning) 762 articles published in leading journals from 1992 to September 2018. Our bibliometric and systematic review classifies SME and IE research findings into three echelons: (i) subjects, (ii) theories, and (iii) methods.</w:t>
      </w:r>
    </w:p>
    <w:p>
      <w:r>
        <w:t>POSSIBLE 2019: Internationalization Strategy — https://doi.org/10.4018/978-1-7998-2007-9.ch001</w:t>
      </w:r>
    </w:p>
    <w:p>
      <w:r>
        <w:t>Shared claim-specific concepts: conclusions, internationalization, international; EU scope not established. This is a provisional connection, not an outcome finding.</w:t>
      </w:r>
    </w:p>
    <w:p>
      <w:r>
        <w:t>Available abstract (not full text): This chapter, devoted to the theoretical framework of internationalization strategy, intends to perform a reflection on its main theories and studies. The authors discuss the main motivations that firms face to internationalize their activity as well as the aspects related to the success of approaching new markets. Then it also characterizes the main risks associated with the decision of internationalization and international trade. The authors will also present developed tools to support the two starting decisions that companies face in this type of projects: where and how to internationalize. They also intend to go into the decision of direct investment in international markets, providing knowledge about different perspectives, as several empirical studies show a more detailed vision of this strategic option and its main financial impacts on business. Finally, it discusses the main conclusions about the relation between internationalization and the performance of companies.</w:t>
      </w:r>
    </w:p>
    <w:p>
      <w:r>
        <w:t>POSSIBLE 2018: INTERNATIONALIZATION OF QUALITY ASSURANCE IN THE EUROPEAN HIGHER EDUCATION AREA: CHARACTERISTICS OF THE TERMINOLOGICAL APPARATUS AND CONCEPTUAL BASES OF THE RESEARCH — https://doi.org/10.33989/2075-146x.2018.21.206296</w:t>
      </w:r>
    </w:p>
    <w:p>
      <w:r>
        <w:t>Shared claim-specific concepts: conclusions, recommendations, internationalization, higher, education, based; EU scope visible. This is a provisional connection, not an outcome finding.</w:t>
      </w:r>
    </w:p>
    <w:p>
      <w:r>
        <w:t xml:space="preserve">Available abstract (not full text): The research is devoted to the problems of internationalization of quality assurance (QA) in the European Higher Education Area. Based on the application of methods of terminological analysis, systematization and generalization, the characteristic of the conceptual apparatus of the study is given. The importance of such concepts as "internationalization of higher education", "quality assurance of higher education" and " European Higher Education Area " are specified.The definition of the key concept of the study "internationalization of the quality assurance of higher education" as a process and result of the implementation of normative, organizational and procedural principles of the QA at the international level and the legitimization of the international / global dimension of the quality assurance agencies' activities in higher education is formulated. The theoretical, normative, organizational and procedural aspects of the problem under study are outlined.The following conclusions are made regarding trends in the development of the phenomenon under study: 1) the process of internationalization of the QA acquires a systemic character, the approval of international norms for the implementation of the QA process at official summits of the Bologna Process, in the educational legislation of the member states of the Bologna Club, gives them legitimacy; 2) there is an increase in </w:t>
      </w:r>
    </w:p>
    <w:p>
      <w:r>
        <w:t>POSSIBLE 2017: Internationalization and Student Mobility in Teacher Education: Internationalization Models, Diffusion Barriers, and Recommendations for Policy and Higher Education Institutions — https://openalex.org/W2725157936</w:t>
      </w:r>
    </w:p>
    <w:p>
      <w:r>
        <w:t>Shared claim-specific concepts: conclusions, recommendations, internationalization, higher, education, process; EU scope visible. This is a provisional connection, not an outcome finding.</w:t>
      </w:r>
    </w:p>
    <w:p>
      <w:r>
        <w:t>Available abstract (not full text): For the field of teacher education, a particularly wide discrepancy exists between (1) higher education discourses and policies advocating a wide diffusion of international dimensions, specifically of study-related mobility (such as Erasmus stays abroad), within higher education degree programs; (2) the ideals and demands placed upon teacher education graduates to possess relevant international competences and experiences in view of their role as multipliers and professionals in increasingly multicultural and global societies; and (3) the ground-level practices, as evidenced by comparatively low mobility rates in teacher education degree programs in Europe.The study reverts to the question where this discrepancy is actually produced and how it could be addressed, thereby closing a gap in student mobility and higher education internationalization research on the diffusion barriers at work in the field of teacher education.The thesis is set in the field of international and comparative education, and pursues a multilevel and contextualized comparative approach, involving two strands of investigation:(1) a theory-based and process-oriented quantitative inquiry into relevant obstacles for eventual participation in study-related mobility among students in teacher education degree programs; (2) and a multilevel (policy, institutions/staff, students) inquiry into the trajectories of i</w:t>
      </w:r>
    </w:p>
    <w:p>
      <w:r>
        <w:t>POSSIBLE 2017: Policies to support internationalization — https://openalex.org/W2775780618</w:t>
      </w:r>
    </w:p>
    <w:p>
      <w:r>
        <w:t>Shared claim-specific concepts: conclusions, recommendations, internationalization, based, including; EU scope visible. This is a provisional connection, not an outcome finding.</w:t>
      </w:r>
    </w:p>
    <w:p>
      <w:r>
        <w:t>Available abstract (not full text): This paper presents practical suggestions and recommendations as to how public policy in Europe could make more of a contribution to the profitable exploitation of foreign market opportunities by Europe?s SMEs. The paper will seek to combine practical policy relevance with theoretical soundness. As such, it will present a relevant and useful example of the relationship between scientifically robust research and public policy making. In this regard, the opportunity will be taken to identify a number of relevant issues in public policy making including some conclusions drawn with respect to the extent to which policy for internationalization is evidence based, as well as aspects of internationalization policy appears to have run ahead on the scientific evidence base.</w:t>
      </w:r>
    </w:p>
    <w:p>
      <w:r>
        <w:t>POSSIBLE 2017: The internationalization of CK Solar Academy to Brazil — https://openalex.org/W2626819597</w:t>
      </w:r>
    </w:p>
    <w:p>
      <w:r>
        <w:t>Shared claim-specific concepts: conclusions, recommendations, internationalization, based, national, process; EU scope visible. This is a provisional connection, not an outcome finding.</w:t>
      </w:r>
    </w:p>
    <w:p>
      <w:r>
        <w:t>Available abstract (not full text): Nowadays, more firms tend to explore the off-borders market to fight the stress of the competition in the national market. Moreover, most of the firms see this chance as an opportunity to provide the foreign market what it lacks. In such context, this report examines the possibility of the internationalization of CK Solar Academy to Brazil, more specifically to the city of S. Paulo. The present work describes the activities developed during the curricular internship in CRITICAL KINETICS, Unip. Lda., located in Torres Novas. This company works in the renewable energies’ market, more specifically in the supply and installation of photovoltaic equipment, directed for own-consumption. The company has several sections, each being responsible for a renewable energies’ market branch. The section studied in this report is responsible for training professionals to be able to install and work with this specific equipment. This section of the company has a varied range of courses in the photovoltaic area taught throughout the Portuguese country. The developed work intended to increase the number of markets in which the company operates, aiming for markets that lack in training courses as wide and complete as those offered by CK Solar Academy. Therefore, and taking into consideration the expressed need of the company to search for one Portuguese-speaking market to implement the internation</w:t>
      </w:r>
    </w:p>
    <w:p>
      <w:r>
        <w:t>POSSIBLE 2017: Network embeddedness in the internationalization of biotechnology entrepreneurs — https://doi.org/10.1080/08985626.2017.1408697</w:t>
      </w:r>
    </w:p>
    <w:p>
      <w:r>
        <w:t>Shared claim-specific concepts: internationalization, national, among, international; EU scope visible. This is a provisional connection, not an outcome finding.</w:t>
      </w:r>
    </w:p>
    <w:p>
      <w:r>
        <w:t>Available abstract (not full text): This study investigates how entrepreneurs of biotech enterprises embed in domestic and international networks so as to internationalize. We advance a contextual framework of embeddedness of internationalizing entrepreneurs, providing a contribution (i) by synthesizing and applying existing conceptual insights from the networking literature to provide a more culturally sensitive view of getting embedded for international entrepreneurship in the biotech industry and (ii) by adding insights into the practices and (micro)processes of how and in what ways embeddedness integrates with the internationalization of biotech entrepreneurs. Our study involves six entrepreneurs from Canada, Finland, and New Zealand. Context-specific embeddedness was studied by exploring the (i) type, (ii) strength, (iii) locality, and (iv) importance of the international and national network ties among internationalizing entrepreneurs. We found differences in relation to the locality of universities and research institutes, role and type of financiers, and customer focus in internationalization. For instance, while customers were central to the embeddedness of Canadian and New Zealand entrepreneurs, Finnish entrepreneurs had no focus on their customers, but acted solely through sales channels and partners. The customer focus of New Zealand entrepreneurs was mainly international, whereas it was domestic in t</w:t>
      </w:r>
    </w:p>
    <w:p>
      <w:pPr>
        <w:pStyle w:val="Heading2"/>
      </w:pPr>
      <w:r>
        <w:t>The impact of EU Climate/Energy policies on Belgium’s energy dependence up to 2050</w:t>
      </w:r>
    </w:p>
    <w:p>
      <w:r>
        <w:t>Original source (2015): https://doi.org/10.3917/rpve.541.0021</w:t>
      </w:r>
    </w:p>
    <w:p>
      <w:r>
        <w:t>Original wording (abstract; indexed_source_text_not_full_document_verified): Le second scénario étudie, quant à lui, les effets du Cadre européen Climat/Énergie 2030 et de la feuille de route pour une transition vers une économie bas carbone d’ici 2050. Cet article compare et mesure l’évolution future de certains indicateurs de la dépendance énergétique dans deux scénarios de politique énergétique et climatique.</w:t>
      </w:r>
    </w:p>
    <w:p>
      <w:r>
        <w:t>POSSIBLE 2023: Le rôle du commerce pour une adaptation résiliente au changement climatique dans l’agriculture africaine — https://doi.org/10.3917/edd.363.0041</w:t>
      </w:r>
    </w:p>
    <w:p>
      <w:r>
        <w:t>Shared claim-specific concepts: tudie, les, pour, une, vers; EU scope visible. This is a provisional connection, not an outcome finding.</w:t>
      </w:r>
    </w:p>
    <w:p>
      <w:r>
        <w:t>Available abstract (not full text): Cette étude explore les connaissances scientifiques sur la manière dont le commerce peut aider l’Afrique à s’adapter au changement climatique (CC) dans trois domaines : (i) les événements à déclenchement rapide provenant d’événements extrêmes de courte durée (inondations, températures extrêmes) ; (ii) les événements à évolution lente (augmentation des températures moyennes et élévation du niveau de la mer) ; et enfin (iii) les politiques de facilitation du commerce. Événements à déclenchement rapide . Le commerce réduit l’amplitude des dommages liés aux événements extrêmes, par exemple, les sécheresses. Mais certaines réactions de politiques économiques peuvent augmenter l’amplitude de ces chocs. Lors de la sécheresse sud-africaine de 2015-2016, les politiques ont eu des retombées dans les pays voisins. Après la crise financière de 2008-2009, les restrictions à l’exportation imposées par les principaux exportateurs de denrées alimentaires et la réduction des droits de douane par les importateurs ont amplifié le choc. La coordination des politiques est donc nécessaire pour en contrôler les retombées négatives. Événements à évolution lente. Les efforts de modélisation relevés dans la littérature se sont concentrés sur l’exploration des « marges » d’ajustement au changement climatique : changements dans les niveaux de production des cultures existantes ; changements dans les denré</w:t>
      </w:r>
    </w:p>
    <w:p>
      <w:r>
        <w:t>POSSIBLE 2022: Persécution des juifs et espace urbain — https://doi.org/10.3917/rhu.062.0081</w:t>
      </w:r>
    </w:p>
    <w:p>
      <w:r>
        <w:t>Shared claim-specific concepts: les, pour, une, article; EU scope not established. This is a provisional connection, not an outcome finding.</w:t>
      </w:r>
    </w:p>
    <w:p>
      <w:r>
        <w:t>Available abstract (not full text): Les relations sociales entre juifs et non-juifs pendant la Shoah ont fait l’objet de nombreux travaux depuis vingt ans. Dans ces études, la figure des « voisins » est très présente sans être circonscrite d’un point de vue géographique. L’article construit les termes de « voisin » et de « voisinage » pour faire de ces catégories des outils de compréhension de la persécution. À partir d’une vaste enquête concernant les réaffectations de logements de familles juives à Paris pendant l’Occupation sous l’égide de la préfecture de la Seine, les auteurs observent au plus près les relations sociales des Parisiens avec leurs voisins juifs et les caractéristiques spatiales de leur trajectoire résidentielle.</w:t>
      </w:r>
    </w:p>
    <w:p>
      <w:r>
        <w:t>POSSIBLE 2022: The public stigma of facial disfigurement : investigating the relationships between visual attention, affective reactions and dehumanization — https://openalex.org/W7214250308</w:t>
      </w:r>
    </w:p>
    <w:p>
      <w:r>
        <w:t>Shared claim-specific concepts: les, pour, une; EU scope not established. This is a provisional connection, not an outcome finding.</w:t>
      </w:r>
    </w:p>
    <w:p>
      <w:r>
        <w:t>Available abstract (not full text): Les personnes présentant une différence faciale (DF) sont stigmatisées. Cette stigmatisation semanifeste particulièrement par les réactions affectives des percevant·e·s, notamment par le dégout etla peur, émotions généralement associées au processus de déshumanisation d’autrui. Par ailleurs, entant que stigmate visible, la DF semble influencer la répartition de l’attention visuelle sur un visagemais peu de travaux ont associé ces champs. Ainsi, ce projet de thèse avait pour objectif de mieuxcomprendre la stigmatisation sociale de la DF, et plus particulièrement les liens entre perceptionvisuelle, réactions affectives stigmatisantes et déshumanisation. En se focalisant sur les réactionsaffectives, il s’agissait préalablement de proposer une typologie de ces réactions affectivesstigmatisantes, puis de mettre en lumière leurs liens avec les changements dans l’attention visuelle,pour finalement déterminer si ces réactions témoignent d’un processus de déshumanisation. Nosrésultats montrent que la DF modifie globalement la répartition de l’attention visuelle et influencel’émergence de réactions affectives stigmatisantes en engendrant moins de neutralité et plus desurprise, dégoût, peur et mépris. La perception visuelle de la DF semble déterminante puisque lamodification de l’attention visuelle était liée à la fois aux réactions affectives stigmatisantes et auxattributions déshumanisa</w:t>
      </w:r>
    </w:p>
    <w:p>
      <w:r>
        <w:t>POSSIBLE 2022: Faire diaspora en ville, XIII e -XIX e siècle — https://doi.org/10.3917/rhu.064.0097</w:t>
      </w:r>
    </w:p>
    <w:p>
      <w:r>
        <w:t>Shared claim-specific concepts: les, effets, pour, une, cet, article; EU scope not established. This is a provisional connection, not an outcome finding.</w:t>
      </w:r>
    </w:p>
    <w:p>
      <w:r>
        <w:t>Available abstract (not full text): La ville de Rouen, une des plus grandes du royaume, fut depuis sa fondation soumise aux aléas météorologiques tels que les excès de pluie, les froids intenses ou encore les tempêtes. Ces extrêmes climatiques avaient des conséquences directes (destructions d’édifices, rupture des communications) et indirectes (baisse des disponibilités alimentaires, apparition d’épidémies). Face à cette vulnérabilité les autorités mirent en place dès le Moyen Âge des parades plus ou moins efficientes pour atténuer en amont et en aval les effets négatifs de ces aléas. Au xviii e le courant intellectuel et scientifique des Lumières se diffusa à la ville de Rouen. Par la promotion de théories sanitaires, urbanistiques, agricoles et commerciales modernes, les hommes des Lumières se proposaient d’améliorer la résilience urbaine sous toutes ces facettes. L’objet de cet article est de percevoir le degré de pénétration et d’application des Lumières dans la société rouennaise.</w:t>
      </w:r>
    </w:p>
    <w:p>
      <w:r>
        <w:t>POSSIBLE 2022: Des albums plurilingues à l’école pour les lecteurs… plurilingues ? — https://doi.org/10.63723/publije.202110161</w:t>
      </w:r>
    </w:p>
    <w:p>
      <w:r>
        <w:t>Shared claim-specific concepts: second, les, pour, une, article; EU scope not established. This is a provisional connection, not an outcome finding.</w:t>
      </w:r>
    </w:p>
    <w:p>
      <w:r>
        <w:t>Available abstract (not full text): L’article propose une typologie des albums bi-, multi-, plurilingues en s’inspirant du fonctionnement du sujet plurilingue, ce qui conduit à distinguer les albums multilingues (langues cloisonnées) des albums plurilingues (langues en interaction). Il rend compte dans un second temps d’un atelier de formation initiale en INSPE, mené par les deux chercheuses avec un groupe de quinze professeures des écoles stagiaires. Ces stagiaires ont été amenées à mettre en œuvre des séquences dans les classes, à partir de 4 albums (un imagier multilingue, trois albums plurilingues), dans les 3 cycles de l’école primaire. Les séquences devaient mobiliser des objectifs d’apprentissage transversaux, langagiers et métalangagiers. Les deux chercheuses ont souhaité observé les formes d’appropriation par les professeures des écoles stagiaires des scénarios pédagogiques succincts proposés autour des albums, afin de voir comment des professeurs débutants dans le métier parvenaient à s’emparer de la question complexe du plurilinguisme. The article provides a typology of bi-, multi- and plurilingual picture books based on the functioning of the plurilingual subject, which leads to a distinction between multilingual picture books (partitioned languages) and plurilingual picture books (interacting languages). It then reports on an initial training workshop in INSPE, conducted by the two researchers with a</w:t>
      </w:r>
    </w:p>
    <w:p>
      <w:r>
        <w:t>POSSIBLE 2022: Un virus mis en scène par son vaccin ? La prise en charge du HPV et des pathologies associées en belgique — https://doi.org/10.1684/sss.2021.0211</w:t>
      </w:r>
    </w:p>
    <w:p>
      <w:r>
        <w:t>Shared claim-specific concepts: les, une, vers, cet, article; EU scope not established. This is a provisional connection, not an outcome finding.</w:t>
      </w:r>
    </w:p>
    <w:p>
      <w:r>
        <w:t>Available abstract (not full text): Cet article s’intéresse à la mise en place de la détection du papillomavirus humain (HPV) et aux conséquences qui en découlent en Belgique. L’établissement de technologies de détection et de prévention contre le cancer du col de l’utérus et l’agent infectieux – le HPV – ont redéfini les contours d’un problème de santé publique. La systématisation du test HPV en lien avec l’arrivée des vaccins témoigne du glissement de la prise en charge du cancer du col à la prévention du virus. Alors que le frottis utérin permet de détecter le cancer et des lésions précancéreuses, l’utilisation des vaccins anti-HPV est un pas vers une étape de prévention plus précoce qui induit des conséquences sanitaires et sociales. La compréhension de ce qui fait « pathologie » ou de ce qui peut être désigné comme « normal » s’est modifiée ignorant parfois certaines populations ou au contraire élargissant les caractéristiques des populations dites « à risque ». L’attention ou l’absence d’importance donnée à certains organes et populations laisse à voir des normes autour de la sexualité et du genre et contribue à construire des identités sexuelles et de genre affectées par certaines maladies – les hommes homosexuels par le cancer de l’anus et les femmes par le cancer du col utérin – alors que d’autres cancers comme celui de l’oropharynx sont semblablement présents. Parallèlement, bien que les inégalités soci</w:t>
      </w:r>
    </w:p>
    <w:p>
      <w:r>
        <w:t>POSSIBLE 2021: Neuro-socio-cognitive approach of social perception : new perspectives for disability studies — https://openalex.org/W7214254807</w:t>
      </w:r>
    </w:p>
    <w:p>
      <w:r>
        <w:t>Shared claim-specific concepts: les, pour, une, mesure; EU scope not established. This is a provisional connection, not an outcome finding.</w:t>
      </w:r>
    </w:p>
    <w:p>
      <w:r>
        <w:t>Available abstract (not full text):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r>
        <w:t>POSSIBLE 2021: Approche neuro-socio-cognitive de la perception sociale : nouvelles perspectives pour la recherche sur le handicap — https://doi.org/10.70675/71d44d6az4a73z4885zb629za45d7782d05d</w:t>
      </w:r>
    </w:p>
    <w:p>
      <w:r>
        <w:t>Shared claim-specific concepts: les, pour, une, mesure; EU scope not established. This is a provisional connection, not an outcome finding.</w:t>
      </w:r>
    </w:p>
    <w:p>
      <w:r>
        <w:t>Available abstract (not full text): Ce travail de thèse est pensé comme une contribution originale à la recherche sur le handicap, en adoptant une approche neuro-socio-cognitive de la perception sociale. L’objectif général est de poursuivre l’analyse des facteurs contribuant à comprendre les barrières à l’inclusion sociale auxquelles font face les personnes en situation de handicap. Dans ces recherches, nous discutons l’opérationnalisation du handicap comme une catégorie univoque. Nous abordons également la question centrale de la mesure en psychologie sociale et comment celle-ci peut approcher au mieux la réalité sociale. A partir de ces réflexions, ce travail de thèse suit une ambition double. D’une part, élargir l’objet d’étude du handicap en prenant en compte l’(in)visibilité de la déficience. D’autre part, diversifier les outils d’investigation concernant notre objet d’étude. Pour répondre à ceci, la thèse s’organise autour de deux volets principaux. Le premier volet, centré sur la perception de Soi des individus en situation de handicap, propose quatre études dont deux font l’objet de publications. Globalement, les résultats mettent en évidence le rôle déterminant de facteurs subjectifs, tels que les jugements de soi en terme de compétence. Le deuxième volet de cette thèse se focalise sur l’étude de la perception sociale à l’égard des personnes en situation de handicap. Il s’organise autour de sept études d</w:t>
      </w:r>
    </w:p>
    <w:p>
      <w:r>
        <w:t>POSSIBLE 2021: Régulation et politique de la concurrence à l'ère numérique : essais en économie industrielle — https://doi.org/10.70675/bff4f604z556ez4d9dza30az2bd8c79f106c</w:t>
      </w:r>
    </w:p>
    <w:p>
      <w:r>
        <w:t>Shared claim-specific concepts: tudie, les, effets, pour, une, conomie; EU scope not established. This is a provisional connection, not an outcome finding.</w:t>
      </w:r>
    </w:p>
    <w:p>
      <w:r>
        <w:t>Available abstract (not full text): Cette thèse aborde deux enjeux auxquels les régulateurs doivent faire face dans l’économie numérique : le défi informationnel généré par l'utilisation de nouvelles technologies d'intelligence artificielle et la problématique du pouvoir de marché des grandes plateformes numériques. Le premier chapitre de cette thèse étudie la mise en place d’un système d’audit (coûteux et imparfait) par un régulateur cherchant à réduire le risque de dommage généré par les technologies d’intelligence artificielle, tout en limitant le coût de la régulation. Les entreprises peuvent investir dans l'explicabilité de leurs technologies pour mieux comprendre leurs algorithmes et réduire leur coût de conformité à la réglementation. Lorsque l’explicabilité n’affecte pas l’efficacité des audits, la prise en compte du niveau d'explicabilité de la technologie dans la politique d’audit du régulateur induit davantage d'investissement en explicabilité et une conformité plus forte de la part des entreprises en comparaison d’une politique neutre à l’explicabilité. Si, au contraire, l'explicabilité facilite la détection d'une mauvaise conduite par le régulateur, les entreprises peuvent s’engager dans une stratégie d’opacification de leur technologie. Un comportement opportuniste de la part du régulateur décourage l'investissement dans l'explicabilité. Pour promouvoir l'explicabilité et la conformité, il peut être</w:t>
      </w:r>
    </w:p>
    <w:p>
      <w:r>
        <w:t>POSSIBLE 2019: Dans les coulisses de la gestion de l’épidémie Ebola en Afrique de l’Ouest (2014-2016) : l’ère de l’« OMSF » — https://doi.org/10.3917/sss.372.0039</w:t>
      </w:r>
    </w:p>
    <w:p>
      <w:r>
        <w:t>Shared claim-specific concepts: les, pour, une, cet, article; EU scope not established. This is a provisional connection, not an outcome finding.</w:t>
      </w:r>
    </w:p>
    <w:p>
      <w:r>
        <w:t>Available abstract (not full text): Résumé De 2014 à 2016, la lutte contre la maladie à virus Ebola a provoqué une série de controverses liées au régime d’intervention auprès des populations en Afrique de l’Ouest. Dans cette crise, les Médecins Sans Frontières (MSF) et les experts de l’Organisation Mondiale de la Santé (OMS) ont tout particulièrement occupé le devant de la scène. Ces deux poids lourds du système de santé globale se sont affrontés au sein d’arènes de négociation techniques sur le terrain de l’efficacité de la réponse, sur les moyens d’endiguer l’épidémie, sur l’attitude à adopter face aux populations affectées. Les tensions révèlent les implicites de modes d’intervention génériques, et véhiculent difficilement remis en cause par les acteurs de la réponse. L’objectif dans cet article est de déployer une analyse capable de présenter une incarnation des débats en actes autour de trois controverses concrètes : i) la lenteur de réaction de l’Organisation Mondiale de la Santé à déclarer une urgence de santé publique de portée internationale ; ii) la mise à jour des protocoles concernant les Equipements de Protection Individuelle (EPI) utilisés sur le terrain par les soignants ; et iii) le non-engagement principalement de l’organisation MSF dans des solutions alternatives au centre de traitement centralisé. En conclusion, on présentera comment des savoirs importants pour l’action, venant en particulier d</w:t>
      </w:r>
    </w:p>
    <w:p>
      <w:r>
        <w:t>POSSIBLE 2019: Dans les coulisses de la gestion de l’épidémie Ebola en Afrique de l’Ouest (2014-2016) : l’ère de l’« OMSF » — https://doi.org/10.1684/sss.2019.0139</w:t>
      </w:r>
    </w:p>
    <w:p>
      <w:r>
        <w:t>Shared claim-specific concepts: les, pour, une, cet, article; EU scope not established. This is a provisional connection, not an outcome finding.</w:t>
      </w:r>
    </w:p>
    <w:p>
      <w:r>
        <w:t>Available abstract (not full text): De 2014 à 2016, la lutte contre la maladie à virus Ebola a provoqué une série de controverses liées au régime d'intervention auprès des populations en Afrique de l'Ouest. Dans cette crise, les Médecins Sans Frontières (MSF) et les experts de l'Organisation Mondiale de la Santé(OMS) ont tout particulièrement occupé le devant de la scène. Ces deux poids lourds du système de santé globale se sont affrontés au sein d'arènes de négociation techniques sur le terrain de l'efficacité de la réponse, sur les moyens d'endiguer l'épidémie, sur l'attitude à adopter face aux populations affectées. Les tensions révèlent les implicites de modes d'intervention génériques difficilement remis en cause par les acteurs de la réponse. L'objectif dans cet article est de déployer une analyse capable de présenter une incarnation des débats en actes autour de trois controverses concrètes : i) la lenteur de réaction de l'Organisation Mondiale de la Santé à déclarer une urgence de santé publique de portée internationale ; ii) la mise à jour des protocoles concernant les Equipements de Protection Individuelle (EPI) utilisés sur le terrain par les soignants ; et iii) le non-engagement principalement de l'organisation MSF dans des solutions alternatives au centre de traitement centralisé. En conclusion, on présentera comment des savoirs importants pour l'action, venant en particulier des anthropologues sembl</w:t>
      </w:r>
    </w:p>
    <w:p>
      <w:r>
        <w:t>POSSIBLE 2019: Essays in industrial organization : competition and regulation in network industries — https://doi.org/10.70675/4dbdf65ezf0cez4968zbc9cz5bb6629ecaf3</w:t>
      </w:r>
    </w:p>
    <w:p>
      <w:r>
        <w:t>Shared claim-specific concepts: second; EU scope not established. This is a provisional connection, not an outcome finding.</w:t>
      </w:r>
    </w:p>
    <w:p>
      <w:r>
        <w:t xml:space="preserve">Available abstract (not full text): In the first chapter of the thesis, I study how merger policy affects the choice between in-market and cross-border merging. An insight of the first chapter is that the merger policy should consider subsequent mergers triggered by an initial decision to merge, which here corresponds to the scenario of an exit-by-merger after a failed cross-border merger. In the second chapter of the thesis, I examine the impact of competition between a private firm and public firms on prices and investment in new infrastructures. An insight from this analysis is that due to distinct objective functions, the private firm charges the monopoly price when it is a monopoly, while the national public firm charges a price such that it cross-subsidizes between low-cost and high-cost areas. Local public firms charge prices contingent on the investment cost in their own area. In monopoly, the national public has the largest coverage, whereas the local public firms cover the same areas as the private firm. In mixed duopoly, prices are strategic complements for the private firm and are strategic substitutes for public firms. Competition leads the private firm to set lower prices, while public firms may charge higher prices. In the third chapter of the thesis, I investigate the impact of competition between two firms in prices and information disclosure levels. In a two-sided market, there are consumers on </w:t>
      </w:r>
    </w:p>
    <w:p>
      <w:pPr>
        <w:pStyle w:val="Heading2"/>
      </w:pPr>
      <w:r>
        <w:t>The pitfalls of ecological forecasting</w:t>
      </w:r>
    </w:p>
    <w:p>
      <w:r>
        <w:t>Original source (2015): https://doi.org/10.1111/bij.12579</w:t>
      </w:r>
    </w:p>
    <w:p>
      <w:r>
        <w:t>Original wording (abstract; indexed_source_text_not_full_document_verified): Long-term biological recording schemes rather than experiments will often provide data for ecological forecasting and validation because these schemes allow capture of landscape-scale land-use effects and their interactions with other drivers. However, statistical models, incorporating relationships with drivers, simply offset the prediction problem, requiring us to forecast how the drivers will themselves change over time.</w:t>
      </w:r>
    </w:p>
    <w:p>
      <w:r>
        <w:t>POSSIBLE 2026: Model weights: Parcerisas C, Schall E, te Velde K, Botteldooren D, Devos P and Debusschere E (2024) Machine learning for efficient segregation and labeling of potential biological sounds in long-term underwater recordings. Front. Remote Sens. 5:1390687 — https://doi.org/10.5281/zenodo.21105847</w:t>
      </w:r>
    </w:p>
    <w:p>
      <w:r>
        <w:t>Shared claim-specific concepts: long-term, biological, data, other; EU scope not established. This is a provisional connection, not an outcome finding.</w:t>
      </w:r>
    </w:p>
    <w:p>
      <w:r>
        <w:t>Available abstract (not full text): Model weights resulting from the publication: Parcerisas C, Schall E, te Velde K, Botteldooren D, Devos P and Debusschere E (2024) Machine learning for efficient segregation and labeling of potential biological sounds in long-term underwater recordings. Front. Remote Sens. 5:1390687. doi: 10.3389/frsen.2024.1390687 Name File name Pretraining data Hours Model Final (MF) final_model.pt All annotated BPNS data 23.6h Model Base (MB) MB_0_0.pt Initial training set 1.5h Active Learning (AL) AL_0_4.pt Intial training set + 10 actively selected wavs 2.3h Random Selection (RS) RS_0_4.pt Intial training set + 10 randomly selected wavs 2.3h If you're interested in weights of other of the trained models (2 more models per row available), please contact clea.parcerisas@vliz.be</w:t>
      </w:r>
    </w:p>
    <w:p>
      <w:r>
        <w:t>POSSIBLE 2026: Increasing Inclusivity in Biological Recording in the United Kingdom: Progress to Date and Future Priorities — https://doi.org/10.5334/cstp.894</w:t>
      </w:r>
    </w:p>
    <w:p>
      <w:r>
        <w:t>Shared claim-specific concepts: biological, recording, schemes, data, ecological, other; EU scope not established. This is a provisional connection, not an outcome finding.</w:t>
      </w:r>
    </w:p>
    <w:p>
      <w:r>
        <w:t>Available abstract (not full text): Volunteer biological recording generates valuable data for developing ecological understanding and informing environmental decision making. For volunteers, it offers the chance to build knowledge and skills, connect with nature and each other, and enhance wellbeing. As with other forms of citizen science there are demographic biases, with current participants being predominantly white, well-educated, older and more affluent. Increasing inclusivity is important for equitable distribution of environmental and social benefits. Questions remain, however, about how best to engage demographic groups that are currently underrepresented. In June 2024, eight organisations responsible for running biological recording schemes in the United Kingdom (UK) took part in a workshop to share hitherto implemented actions to increase inclusivity and discuss future priorities. Progress to date includes equality, diversity, and inclusivity investment and planning at an institutional level; surveys and focus groups to understand demographics and motivations of participants; accessibility reviews of training, written materials and equipment; and the creation of varied volunteer roles appealing to different skill levels and interests. Engagement with underrepresented groups at a local level has been particularly effective where investment in building relationships with communities has been possible. Fu</w:t>
      </w:r>
    </w:p>
    <w:p>
      <w:r>
        <w:t>POSSIBLE 2025: Biological recording underpins the conservation assessment of designated species: the recent case studies of the endangered white-clawed crayfish and near threatened otter — https://openalex.org/W7135647641</w:t>
      </w:r>
    </w:p>
    <w:p>
      <w:r>
        <w:t>Shared claim-specific concepts: long-term, biological, recording, data; EU scope visible. This is a provisional connection, not an outcome finding.</w:t>
      </w:r>
    </w:p>
    <w:p>
      <w:r>
        <w:t>Available abstract (not full text): Biological recording underpins conservation of protected species, providing essential evidence for long-term trend assessment. Two recent studies demonstrate the value of combining field surveys with records held and curated by the Centre for Environmental Data and Recording (CEDaR) and the National Biodiversity Data Centre (NBDC). The endangered white-clawed crayfish (Austropotamobius pallipes) and near threatened otter (Lutra lutra) were originally designated under the EU Habitats Directive, with UK reporting now under Habitats Regulations Reporting (HRR), requiring conservation status assessment every six years. In 2024, crayfish were detected at 45% of 110 Northern Ireland sites using an environmental or eDNA survey. Integration with 1,336 CEDaR species records suggested its distribution was largely stable but strongly restricted by calcareous geology. Crayfish were more frequent at sites with recent records (suggesting vulnerability to local extirpation), rivers over lakes, and habitats with cobble or boulder substrates. They were vulnerable to agricultural pressures on water quality with occurrence significantly reduced by livestock access to watercourses, lowering detection probability by one-third. No crayfish plague was detected, but several designated sites showed evidence of population loss or decline, raising concerns for their long-term viability within Areas of Sp</w:t>
      </w:r>
    </w:p>
    <w:p>
      <w:r>
        <w:t>POSSIBLE 2024: Machine learning for efficient segregation and labeling of potential biological sounds in long-term underwater recordings — https://doi.org/10.3389/frsen.2024.1390687</w:t>
      </w:r>
    </w:p>
    <w:p>
      <w:r>
        <w:t>Shared claim-specific concepts: long-term, biological, provide, data, however; EU scope visible. This is a provisional connection, not an outcome finding.</w:t>
      </w:r>
    </w:p>
    <w:p>
      <w:r>
        <w:t>Available abstract (not full text): Studying marine soundscapes by detecting known sound events and quantifying their spatio-temporal patterns can provide ecologically relevant information. However, the exploration of underwater sound data to find and identify possible sound events of interest can be highly time-intensive for human analysts. To speed up this process, we propose a novel methodology that first detects all the potentially relevant acoustic events and then clusters them in an unsupervised way prior to manual revision. We demonstrate its applicability on a short deployment. To detect acoustic events, a deep learning object detection algorithm from computer vision (YOLOv8) is re-trained to detect any (short) acoustic event. This is done by converting the audio to spectrograms using sliding windows longer than the expected sound events of interest. The model detects any event present on that window and provides their time and frequency limits. With this approach, multiple events happening simultaneously can be detected. To further explore the possibilities to limit the human input needed to create the annotations to train the model, we propose an active learning approach to select the most informative audio files in an iterative manner for subsequent manual annotation. The obtained detection models are trained and tested on a dataset from the Belgian Part of the North Sea, and then further evaluated for</w:t>
      </w:r>
    </w:p>
    <w:p>
      <w:r>
        <w:t>POSSIBLE 2024: Toward DNA-Based Recording of Biological Processes — https://doi.org/10.3390/ijms25179233</w:t>
      </w:r>
    </w:p>
    <w:p>
      <w:r>
        <w:t>Shared claim-specific concepts: biological, recording, data; EU scope not established. This is a provisional connection, not an outcome finding.</w:t>
      </w:r>
    </w:p>
    <w:p>
      <w:r>
        <w:t>Available abstract (not full text): Exploiting the inherent compatibility of DNA-based data storage with living cells, various cellular recording approaches have been developed for recording and retrieving biologically relevant signals in otherwise inaccessible locations, such as inside the body. This review provides an overview of the current state of engineered cellular memory systems, highlighting their design principles, advantages, and limitations. We examine various technologies, including CRISPR-Cas systems, recombinases, retrons, and DNA methylation, that enable these recording systems. Additionally, we discuss potential strategies for improving recording accuracy, scalability, and durability to address current limitations in the field. This emerging modality of biological measurement will be key to gaining novel insights into diverse biological processes and fostering the development of various biotechnological applications, from environmental sensing to disease monitoring and beyond.</w:t>
      </w:r>
    </w:p>
    <w:p>
      <w:r>
        <w:t>POSSIBLE 2024: Acute to long-term characteristics of impedance recordings during neurostimulation in humans — https://doi.org/10.1088/1741-2552/ad3416</w:t>
      </w:r>
    </w:p>
    <w:p>
      <w:r>
        <w:t>Shared claim-specific concepts: long-term, biological, recording, data, other; EU scope not established. This is a provisional connection, not an outcome finding.</w:t>
      </w:r>
    </w:p>
    <w:p>
      <w:r>
        <w:t>Available abstract (not full text): Objective: This study aims to characterize the time course of impedance, a crucial electrophysiological property of brain tissue, in the human thalamus (THL), amygdala-hippocampus (AMG-HPC), and posterior hippocampus (post-HPC) over an extended period. Approach: Impedance was periodically sampled every 5-15 minutes over several months in five subjects with drug-resistant epilepsy using an experimental neuromodulation device. Initially, we employed descriptive piecewise and continuous mathematical models to characterize the impedance response for approximately three weeks post-electrode implantation. We then explored the temporal dynamics of impedance during periods when electrical stimulation was temporarily halted, observing a monotonic increase (rebound) in impedance before it stabilized at a higher value. Lastly, we assessed the stability of amplitude and phase over the 24-hour impedance cycle throughout the multi-month recording. Main results: Immediately post-implantation, the impedance decreased, reaching a minimum value in all brain regions within approximately two days, and then increased monotonically over about 14 days to a stable value. The models accounted for the variance in short-term impedance changes. Notably, the minimum impedance of the THL in the most epileptogenic hemisphere was significantly lower than in other regions. During the gaps in electrical stimula</w:t>
      </w:r>
    </w:p>
    <w:p>
      <w:r>
        <w:t>POSSIBLE 2022: Long-term SCN calcium signal recording in freely moving mice — https://doi.org/10.1016/j.xpro.2022.101547</w:t>
      </w:r>
    </w:p>
    <w:p>
      <w:r>
        <w:t>Shared claim-specific concepts: long-term, biological, recording, provide; EU scope not established. This is a provisional connection, not an outcome finding.</w:t>
      </w:r>
    </w:p>
    <w:p>
      <w:r>
        <w:t>Available abstract (not full text): The suprachiasmatic nucleus (SCN) is the master circadian pacemaker of the mammalian biological clock. Here, we provide a detailed protocol for long-term recording of calcium signals in SCN neurons of freely moving mice through a multichannel optical fiber recording system. This system can simultaneously collect calcium signals from up to seven animals. The calcium signals can be visualized by the appropriate software and code. This protocol can be used to explore the long-term response of SCN to external environmental stimulation. For complete details on the use and execution of this protocol, please refer to Zhai et al. (2022).</w:t>
      </w:r>
    </w:p>
    <w:p>
      <w:r>
        <w:t>POSSIBLE 2022: 3D Bioelectronics with a Remodellable Matrix for Long‐Term Tissue Integration and Recording — https://doi.org/10.1002/adma.202207847</w:t>
      </w:r>
    </w:p>
    <w:p>
      <w:r>
        <w:t>Shared claim-specific concepts: long-term, recording, however; EU scope not established. This is a provisional connection, not an outcome finding.</w:t>
      </w:r>
    </w:p>
    <w:p>
      <w:r>
        <w:t>Available abstract (not full text): Bioelectronics hold the key for understanding and treating disease. However, achieving stable, long-term interfaces between electronics and the body remains a challenge. Implantation of a bioelectronic device typically initiates a foreign body response, which can limit long-term recording and stimulation efficacy. Techniques from regenerative medicine have shown a high propensity for promoting integration of implants with surrounding tissue, but these implants lack the capabilities for the sophisticated recording and actuation afforded by electronics. Combining these two fields can achieve the best of both worlds. Here, the construction of a hybrid implant system for creating long-term interfaces with tissue is shown. Implants are created by combining a microelectrode array with a bioresorbable and remodellable gel. These implants are shown to produce a minimal foreign body response when placed into musculature, allowing one to record long-term electromyographic signals with high spatial resolution. This device platform drives the possibility for a new generation of implantable electronics for long-term interfacing.</w:t>
      </w:r>
    </w:p>
    <w:p>
      <w:r>
        <w:t>POSSIBLE 2022: Open set classification strategies for long-term environmental field recordings for bird species recognition — https://doi.org/10.1121/10.0011466</w:t>
      </w:r>
    </w:p>
    <w:p>
      <w:r>
        <w:t>Shared claim-specific concepts: long-term, biological, data; EU scope not established. This is a provisional connection, not an outcome finding.</w:t>
      </w:r>
    </w:p>
    <w:p>
      <w:r>
        <w:t>Available abstract (not full text): Deep learning is one established tool for carrying out classification tasks on complex, multi-dimensional data. Since audio recordings contain a frequency and temporal component, long-term monitoring of bioacoustics recordings is made more feasible with these computational frameworks. Unfortunately, these neural networks are rarely designed for the task of open set classification in which examples belonging to the training classes must not only be correctly classified but also crucially separated from any spurious or unknown classes. To combat this reliance on closed set classifiers which are singularly inappropriate for monitoring applications in which many non-relevant sounds are likely to be encountered, the performance of several open set classification frameworks is compared on environmental audio datasets recorded and published within this work, containing both biological and anthropogenic sounds. The inference-based open set classification techniques include prediction score thresholding, distance-based thresholding, and OpenMax. Each open set classification technique is evaluated under multi-, single-, and cross-corpus scenarios for two different types of unknown data, configured to highlight common challenges inherent to real-world classification tasks. The performance of each method is highly dependent upon the degree of similarity between the training, testing, and u</w:t>
      </w:r>
    </w:p>
    <w:p>
      <w:r>
        <w:t>POSSIBLE 2021: Long-term in-vivo recording performance of flexible penetrating microelectrode arrays — https://doi.org/10.1088/1741-2552/ac3656</w:t>
      </w:r>
    </w:p>
    <w:p>
      <w:r>
        <w:t>Shared claim-specific concepts: long-term, biological, recording, often, because, other; EU scope not established. This is a provisional connection, not an outcome finding.</w:t>
      </w:r>
    </w:p>
    <w:p>
      <w:r>
        <w:t>Available abstract (not full text): Abstract Objective. Neural interfaces are an essential tool to enable the human body to directly communicate with machines such as computers or prosthetic robotic arms. Since invasive electrodes can be located closer to target neurons, they have advantages such as precision in stimulation and high signal-to-noise ratio (SNR) in recording, while they often exhibit unstable performance in long-term in-vivo implantation because of the tissue damage caused by the electrodes insertion. In the present study, we investigated the electrical functionality of flexible penetrating microelectrode arrays (FPMAs) up to 3 months in in-vivo conditions. Approach. The in-vivo experiment was performed by implanting FPMAs in five rats. The in-vivo impedance as well as the action potential (AP) amplitude and SNR were analyzed over weeks. Additionally, APs were tracked over time to investigate the possibility of single neuron recording. Main results. It was observed that the FPMAs exhibited dramatic increases in impedance for the first 4 weeks after implantation, accompanied by decreases in AP amplitude. However, the increase/decrease in AP amplitude was always accompanied by the increase/decrease in background noise, resulting in quite consistently maintained SNRs. After 4 weeks of implantation, we observed two distinctive issues regarding long-term implantation, each caused by chronic tissue respo</w:t>
      </w:r>
    </w:p>
    <w:p>
      <w:r>
        <w:t>POSSIBLE 2020: Long-Term Rewritable Report and Recording of Environmental Stimuli in Engineered Bacterial Populations — https://doi.org/10.1021/acssynbio.0c00193</w:t>
      </w:r>
    </w:p>
    <w:p>
      <w:r>
        <w:t>Shared claim-specific concepts: long-term, biological, recording, capture, other, however; EU scope not established. This is a provisional connection, not an outcome finding.</w:t>
      </w:r>
    </w:p>
    <w:p>
      <w:r>
        <w:t>Available abstract (not full text): DNA writing (living sensing recorders) based whole-cell biosensors can capture transient signals and then convert them into readable genomic DNA changes. The primitive signals can be easily obtained by sequencing technology or analysis of protein activity (such as fluorescent protein). However, the functions of the current living sensing recorders still need to be expanded, and the difficulty of rewriting in complex biological environments has further limited their applications. In this study, we designed a long-term rewritable recording system using a CRISPR base editor-based synthetic genetic circuit, named CRISPR-istop. This system can convert stimuli into changes in the fluorescence intensity (reporter) and single-base mutations in genomic DNA (recording). Furthermore, we updated the biological circuit through the strategy of coupling the single-base mutation (record site) and the loss-of-function of the targeted protein (translation stopped by stop codon introduction), and we can remove edited bacteria from a population through selective sweeps upon applying a selective pressure. It successfully conducted the rewritable reporter and recording of the nutrient arabinose and pollutant arsenite with two rounds of continuous operation (10 passages/round, 12 h/passage). These observations indicated that the CRISPR-istop system can report and record stimuli over time; moreover, t</w:t>
      </w:r>
    </w:p>
    <w:p>
      <w:r>
        <w:t>POSSIBLE 2020: Does Citizen Science Biological Recording Tell Us As Much About The Recorders As Biodiversity? — https://doi.org/10.31219/osf.io/bsye5</w:t>
      </w:r>
    </w:p>
    <w:p>
      <w:r>
        <w:t>Shared claim-specific concepts: biological, recording, however; EU scope not established. This is a provisional connection, not an outcome finding.</w:t>
      </w:r>
    </w:p>
    <w:p>
      <w:r>
        <w:t>Available abstract (not full text): There is growing body of evidence that a connection to nature is important at both an individual emotional level, and for the development of societal attitudes that rank conservation issues as important, however, there is widespread loss of this connection in modern lifestyles. The recruitment of community stakeholders into Citizen Science biodiversity projects is one mechanism that may help to restore that connection, while at the same time providing outcomes of scientific value. However, the narrative describing such projects tends to use a fundamentally Apollonian view of science, which casts the researcher as an impartial observer and operates within a carefully designed methodology to guide the contributions from volunteer stakeholders. While this is a convenient model for formally reporting scientific outcomes, it masks individual immersive engagement.</w:t>
      </w:r>
    </w:p>
    <w:p>
      <w:pPr>
        <w:pStyle w:val="Heading2"/>
      </w:pPr>
      <w:r>
        <w:t>Three scenarios for industrial relations in Europe</w:t>
      </w:r>
    </w:p>
    <w:p>
      <w:r>
        <w:t>Original source (2015): https://doi.org/10.1111/j.1564-913x.2015.00221.x</w:t>
      </w:r>
    </w:p>
    <w:p>
      <w:r>
        <w:t>Original wording (abstract; indexed_source_text_not_full_document_verified): Abstract The author outlines three scenarios for the future of industrial relations in Europe. The second envisages that “elite reform” from above will succeed in re‐engineering industrial relations and workers' protection according to an ideal social policy agenda – an unlikely prospect given the overriding importance of financial considerations and globalized competition.</w:t>
      </w:r>
    </w:p>
    <w:p>
      <w:r>
        <w:t>POSSIBLE 2023: PRISMA 2020 abstract checklist migrant entrepreneurship support Europe SLR.docxMigrant entrepreneurship in Europe: a systematic literature reviewMigrant entrepreneurship in Europe: a systematic literature review — https://doi.org/10.6084/m9.figshare.24021240</w:t>
      </w:r>
    </w:p>
    <w:p>
      <w:r>
        <w:t>Shared claim-specific concepts: abstract, outlines, agenda; EU scope visible. This is a provisional connection, not an outcome finding.</w:t>
      </w:r>
    </w:p>
    <w:p>
      <w:r>
        <w:t>Available abstract (not full text): This systematic literature review (SLR) investigates migrant entrepreneurship in Europe, addressing their characteristics, encountered challenges, and policy support. The SLR uses a repeatable search protocol for sources published from 1970 to 2021, retrieved from Scopus and Web of Science databases. Inclusion criteria focused on migrant entrepreneurship support studies, excluding domestic migration and non-European contexts. The methods align the data with the research questions to reduce bias. The authors developed an analytical framework inspired by Bourdieu's forms of capital and created tables to synthesize the data. The SLR covers 91 peer-reviewed studies published from 1994 to 2021. The authors categorized challenges into financial, human, and social capital, alongside external factors. Challenges encompassed assimilation, language barriers, networking, funding constraints, and adapting to local business practices. Migrant entrepreneurs' stability hinged on factors such as duration of stay, language proficiency, prior entrepreneurial experience, and education. The authors identified support mechanisms to include local networks, financing, and mentoring. The SLR outlines a research agenda, emphasizing enhanced human and social capital, well-designed support programs, and bias mitigation. This review contributes to the academic literature on understanding and promoting mig</w:t>
      </w:r>
    </w:p>
    <w:p>
      <w:r>
        <w:t>POSSIBLE 2023: Causes of the Russian-Ukrainian Conflict and its Impact on Security in Europe — https://doi.org/10.2478/kbo-2023-0004</w:t>
      </w:r>
    </w:p>
    <w:p>
      <w:r>
        <w:t>Shared claim-specific concepts: abstract, author, outlines; EU scope visible. This is a provisional connection, not an outcome finding.</w:t>
      </w:r>
    </w:p>
    <w:p>
      <w:r>
        <w:t>Available abstract (not full text): Abstract In this article, the author presents issues related to the Russian-Ukrainian conflict and its impact on security in Europe. The text outlines the causes of the Russian-Ukrainian conflict, the course of the war and the effects in the present day. The article describes the responses of the European Union and NATO to Russian aggression. In his conclusions, the author pays particular attention to the impact of this conflict on security in Europe..</w:t>
      </w:r>
    </w:p>
    <w:p>
      <w:r>
        <w:t>POSSIBLE 2016: Brexit and Europe. A Commentary — https://doi.org/10.1515/soeu-2016-0031</w:t>
      </w:r>
    </w:p>
    <w:p>
      <w:r>
        <w:t>Shared claim-specific concepts: abstract, author, outlines; EU scope visible. This is a provisional connection, not an outcome finding.</w:t>
      </w:r>
    </w:p>
    <w:p>
      <w:r>
        <w:t>Available abstract (not full text): Abstract The Brexit vote was not simply a rejection of the European Union but also of a politics based on calculated self-interest or reasoned idealism. The author outlines how the referendum came about, provides crucial background information, and analyses its results. The reasons for the success of the Leave campaign are concisely presented, including the role of parties other than the Labour and Tory parties and that of the media in promoting, instead of critically assessing, a campaign characterized by exaggerated, even false claims. In his outlook towards the future, the author focuses on the UK/EU relationship and the internal constitutional crisis the Brexit vote has created and the dangers these pose for (further) destabilisation both of Britain and Europe.</w:t>
      </w:r>
    </w:p>
    <w:p>
      <w:r>
        <w:t>POSSIBLE 2016: Applied Anthropology in Europe — https://doi.org/10.3167/aia.2016.230208</w:t>
      </w:r>
    </w:p>
    <w:p>
      <w:r>
        <w:t>Shared claim-specific concepts: abstract, outlines, importance; EU scope visible. This is a provisional connection, not an outcome finding.</w:t>
      </w:r>
    </w:p>
    <w:p>
      <w:r>
        <w:t>Available abstract (not full text): Abstract The article presents the state of applied anthropology in Europe, in particular focusing on the application of anthropological knowledge and skills within the private sector. Firstly, the text depicts the historical context, which has had a strong and often negative impact on the developments in contemporary applied anthropology and specifically on applying anthropology in for-profit endeavours. It then provides an overview of this type of applied anthropology in Europe by identifying its main institutions and individuals. Building on this analysis, the article elaborates on extant challenges for its future development, and outlines the most promising solutions. The authors conclude that it is of crucial importance for European anthropology to make the transition ‘from words to actions’, especially in the areas not traditionally addressed by anthropologists, such as business and design anthropology or consultancy work in the private sector. While the discipline has a longer applied history in areas such as development, human rights and multiculturalism, few anthropologists have played significant roles in the efforts usually associated with the private sector. It is argued that anthropology should – also outside the non-profit and non-governmental sectors – shift from being a descriptive, hermeneutical and interpretative branch of social sciences describing and explain</w:t>
      </w:r>
    </w:p>
    <w:p>
      <w:pPr>
        <w:pStyle w:val="Heading2"/>
      </w:pPr>
      <w:r>
        <w:t>Time banks, co-production and foresight: intertwined towards an alternative future</w:t>
      </w:r>
    </w:p>
    <w:p>
      <w:r>
        <w:t>Original source (2015): https://doi.org/10.1108/fs-05-2014-0035</w:t>
      </w:r>
    </w:p>
    <w:p>
      <w:r>
        <w:t>Original wording (abstract; indexed_source_text_not_full_document_verified): Time banks are particularly interesting for the future of services: they address all sorts of services while the time-bank “value” of these different types of services does not necessarily reflect their actual value in the free market; impacts may spread from the mere coverage of people’s needs, to increased social capital and community empowerment; and some scholars consider them as flexible forms of co-production, or even as enablers of wider social change.</w:t>
      </w:r>
    </w:p>
    <w:p>
      <w:r>
        <w:t>POSSIBLE 2026: Willingness, motivators and barriers to time bank participation: A scoping review — https://doi.org/10.1371/journal.pone.0322760</w:t>
      </w:r>
    </w:p>
    <w:p>
      <w:r>
        <w:t>Shared claim-specific concepts: time, particularly, address, different; EU scope not established. This is a provisional connection, not an outcome finding.</w:t>
      </w:r>
    </w:p>
    <w:p>
      <w:r>
        <w:t>Available abstract (not full text): This scoping review systematically identifies the extent and nature of evidence regarding willingness, motivators, and barriers influencing community participation in time bank systems, with a focus on older adults. Time bank is recognized as an effective tool for enhancing social cohesion and reducing isolation, particularly among older adults. However, specific factors such as barriers and motivators driving participation remain underexplored.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willingness to participate across different population, social and community influences, demographic and structural determina</w:t>
      </w:r>
    </w:p>
    <w:p>
      <w:r>
        <w:t>POSSIBLE 2026: Implementation and Impacts of Taiwan’s Time Bank Multi-Empowerment Program Across Six Townships — https://doi.org/10.33790/jswwp1100180</w:t>
      </w:r>
    </w:p>
    <w:p>
      <w:r>
        <w:t>Shared claim-specific concepts: time, particularly, different, impacts; EU scope not established. This is a provisional connection, not an outcome finding.</w:t>
      </w:r>
    </w:p>
    <w:p>
      <w:r>
        <w:t>Available abstract (not full text): In recent years, the government has actively promoted symbiotic communities, hoping that communities can become nodes in social relationship networks and form mutual-support living circles. Departing from the Euro-American time bank framework, the time bank promoted by National Chung Cheng University has adopted Taiwan's traditional rural huan-gong (labor exchange) as its model of dissemination, gradually evolving toward the ideal of a symbiotic community. This study aims to examine the implementation outcomes of the Ministry of Health and Welfare's "Time Bank Multi-Empowerment Program" in six townships across northern, central, and southern Taiwan (Dalin Township and Xingang Township in Chiayi County; Dapi Township and Huwei Township in Yunlin County; North District of Hsinchu City; and Neipu Township in Pingtung County), and to explore what kinds of impacts and transformations it has brought to individuals, communities, and organizations. A stratified random sampling strategy was adopted to administer questionnaires in the six areas, resulting in 204 valid responses. Findings show that time bank members are mainly middle-aged and older (51–64 years), female, with a college education, married, living with spouse, and relying primarily on employment or business income; their (current or previous) main occupation is in industry and commerce, and their monthly disposable income i</w:t>
      </w:r>
    </w:p>
    <w:p>
      <w:r>
        <w:t>POSSIBLE 2026: A Time Credit Based Community Service Exchange Platform — https://doi.org/10.55041/isjem08201</w:t>
      </w:r>
    </w:p>
    <w:p>
      <w:r>
        <w:t>Shared claim-specific concepts: time, particularly, they, different, people; EU scope not established. This is a provisional connection, not an outcome finding.</w:t>
      </w:r>
    </w:p>
    <w:p>
      <w:r>
        <w:t>Available abstract (not full text): Money is the most common medium of exchange, but there are many situations particularly in close-knit communities, college campuses, and neighbourhood groups where people have valuable skills or time they are willing to offer but no convenient way to exchange them with others who need them. Time Bank is a proposed digital platform that replaces money with time as the currency of exchange: every hour of any service, regardless of its market rate, earns the provider exactly one time credit, which can later be spent on receiving a different service from another community member. This paper presents the design of a Time Bank system, discussing its relevance as an alternative economy model, the architecture of the platform, a service-exchange workflow, and the practical challenges of keeping a time-credit community functional and fair over time. Keywords — Time Bank, Time Credits, Peer-to-Peer Service Exchange, Community Currency, Alternative Economy, Skill Sharing, Reputation System</w:t>
      </w:r>
    </w:p>
    <w:p>
      <w:r>
        <w:t>POSSIBLE 2025: Willingness, Motivators and Barriers to Time Bank Participation: A Scoping Review — https://doi.org/10.1101/2025.03.30.25324913</w:t>
      </w:r>
    </w:p>
    <w:p>
      <w:r>
        <w:t>Shared claim-specific concepts: time, particularly, address, different; EU scope not established. This is a provisional connection, not an outcome finding.</w:t>
      </w:r>
    </w:p>
    <w:p>
      <w:r>
        <w:t>Available abstract (not full text): 1 Abstract Objective This scoping review systematically identifies the extent and nature of evidence regarding willingness, motivators, and barriers influencing community participation in time bank systems, with a focus on older adults. Introduction Time bank is recognized as an effective tool for enhancing social cohesion and reducing isolation, particularly among older adults. However, specific factors such as barriers and motivators driving participation remain underexplored. Design Scoping review. Methods This review adhered to Arksey and O’Malley’s framework and PRISMA-ScR guidelines. A systematic search of PubMed, Embase, CINAHL, Web of Science, Cochrane Library, Google Scholar, and Science Direct (January 2010–December 2024) identified studies on willingness, motivators, and barriers to time bank participation. Two reviewers independently screened titles, abstracts, and full texts, extracting data using a predefined tool. Results Thirty studies (quantitative, qualitative, and mixed-methods) were included. Findings revealed high willingness among younger populations, particularly university students, driven by intrinsic motivations like altruism and meaningful engagement. Healthcare professionals and older adults showed moderate willingness, influenced by health needs and caregiving roles. Key motivators included robust willingess to participate across different populatio</w:t>
      </w:r>
    </w:p>
    <w:p>
      <w:r>
        <w:t>POSSIBLE 2025: Analysis of Guangzhou time bank pilot policy — https://doi.org/10.54254/2977-5701/2025.27781</w:t>
      </w:r>
    </w:p>
    <w:p>
      <w:r>
        <w:t>Shared claim-specific concepts: time, banks, not, actual; EU scope not established. This is a provisional connection, not an outcome finding.</w:t>
      </w:r>
    </w:p>
    <w:p>
      <w:r>
        <w:t>Available abstract (not full text): Over the past two decades, against the backdrop of a rapidly growing elderly population in China, eldercare issues have gained increasing attention and become a highly debated topic in society. Research indicates that the actual needs of the elderly lie not in financial resources, but rather in care and companionship. However, with modern youth frequently working overtime and having little time for companionship, how can the needs of the elderly be met? The emergence of the "Time Bank"a novel elderly care service platformaddresses this by establishing a community-based model to fulfill the diverse needs of the elderly. This paper introduces the Nansha Time Bank platform in Guangzhou, showcasing the promising development prospects of public welfare organizations and the localized implementation of the imported concept of time banks within contemporary Chinese society. By analyzing the strengths and weaknesses of time banks and summarizing the motivations and influencing factors that encourage service providers to participate, the following conclusions are drawn: First, time banks possess three key advantages: mobilizing public enthusiasm, addressing the shortage of service providers for the elderly, and alleviating the supply-demand imbalance. Second, this paper examines potential risks from three perspectives: developmental sustainability, activity accessibility, and participat</w:t>
      </w:r>
    </w:p>
    <w:p>
      <w:r>
        <w:t>POSSIBLE 2024: Scope and challenges in the implementation of Time Bank in India: a qualitative study — https://doi.org/10.1007/s44282-024-00040-0</w:t>
      </w:r>
    </w:p>
    <w:p>
      <w:r>
        <w:t>Shared claim-specific concepts: time, services, different, people; EU scope not established. This is a provisional connection, not an outcome finding.</w:t>
      </w:r>
    </w:p>
    <w:p>
      <w:r>
        <w:t>Available abstract (not full text): Abstract This paper explores the scope of services and challenges in implementing Time Bank in India. This community-based initiative allows people to exchange skills and services without the involvement of money. A qualitative study was conducted using semi-structured telephone interviews with 20 participants aged 18 to 35. Thematic analysis revealed four major themes: Services, Challenges and Limitations of Time Bank, Factors Affecting Help-Seeking Behavior, and Community and Gender Dynamics. Participants expressed interest in offering a wide range of services, from household tasks to professional services. However, challenges and limitations were also identified, such as a lack of awareness and understanding of the concept, social stigma, and concerns about trust, privacy, and safety issues. The study underscores the need to consider cultural and social factors while implementing community-based initiatives. Despite these challenges, participants believed Time Bank could be a valuable platform for building social connections and community support. The study's implications highlight the need for further research on the impact of Time Bank on social capital and the sustainability of the initiative in different cultural contexts.</w:t>
      </w:r>
    </w:p>
    <w:p>
      <w:r>
        <w:t>POSSIBLE 2023: Examining the Role of Motivation Cues from Narratives in Online Time Bank Participating Decisions — https://doi.org/10.21203/rs.3.rs-2694840/v1</w:t>
      </w:r>
    </w:p>
    <w:p>
      <w:r>
        <w:t>Shared claim-specific concepts: time, banks, value; EU scope not established. This is a provisional connection, not an outcome finding.</w:t>
      </w:r>
    </w:p>
    <w:p>
      <w:r>
        <w:t>Available abstract (not full text): Abstract Time bank known as “Community/Neighborhood Pension”, provides a new solution to fulfill the unmet service needs of community members with idle community resources. The operation of time banks relies on the active participation of community members. Therefore, in this study we investigate the motivation of members to participate in web-based time banks from a service requirement narrative perspective. Drawing on grounded theory and self-determination theory, we built a model to assess how intrinsic and extrinsic cues underlying service requirement narratives affect time bank participation decisions of service providers. To test our hypotheses, we conducted a regression analysis of 12339 projects from the “Nansha Time Bank” (a web-based time bank) platform in China. We find that participants respond positively to time coin returns and narratives highlighting social connection and value fulfillment but respond negatively to service hour costs and empathy-altruism cues.</w:t>
      </w:r>
    </w:p>
    <w:p>
      <w:r>
        <w:t>POSSIBLE 2022: Research on Time Bank Mutual Pension Model under the Background of Aging Population — https://doi.org/10.54097/fbem.v6i3.3312</w:t>
      </w:r>
    </w:p>
    <w:p>
      <w:r>
        <w:t>Shared claim-specific concepts: time, value, people; EU scope not established. This is a provisional connection, not an outcome finding.</w:t>
      </w:r>
    </w:p>
    <w:p>
      <w:r>
        <w:t>Available abstract (not full text): With the aging of the population,the-age security of low-income urban and rural resident,who account for about 70% of china’s total population,has become an important issue related to the national economy and people’s livelihood,and also a short board to be solved urgently in building a socialist modernization power[1].Mutual support for the aged is a new pension model that transcends the blood relationship, can assist the family to provide for the aged, and solve the pension problem with the help of social forces. In this model, the concept of "time money" is introduced and merged into a brand-new mutual support model "Time Bank". China's "Time Bank" mechanism is still in the development stage, and there are still some problems from the current operation of this new pension model in China. In order to promote the extensive development of Time Bank, this paper makes a theoretical analysis on the conversion of time currency value, withdrawal and deposit, the conversion of labor value and time currency value in Time Bank, and the inheritance of time currency savings, so as to create an all-round, wide-area, multi-level and integrated old-age service ecology, create a service-oriented old-age model with China characteristics, and contribute to China's wisdom and China's plan for solving the world's old-age problems.</w:t>
      </w:r>
    </w:p>
    <w:p>
      <w:r>
        <w:t>POSSIBLE 2021: Time's up: Analyzing the feminist potential of time banks — https://doi.org/10.1111/gwao.12691</w:t>
      </w:r>
    </w:p>
    <w:p>
      <w:r>
        <w:t>Shared claim-specific concepts: time, banks, particularly, they, address; EU scope not established. This is a provisional connection, not an outcome finding.</w:t>
      </w:r>
    </w:p>
    <w:p>
      <w:r>
        <w:t>Available abstract (not full text): Abstract Time banks are an alternative economic system proposed to address social problems by stimulating work and exchange through time‐based currency. They aim to redefine work and money, through building social capital to alleviate social problems. As women are disproportionately affected by these problems, it follows that membership is predominantly female, often poor. This article takes the position that time banks provide a lens through which to theorize the feminist potential of alternative forms of economic organization. It examines the ways in which feminists, and time banks, have sought to redefine the concepts of work and money, as well as the context of time banks within the Third Sector. “The reality” of these concepts in practice is then critically analyzed using empirical data from a year as an active participant within a time bank. The findings demonstrate the complex issues regarding how the time bank functioned in practice, particularly in relation to how members engaged with it, and articulated their participation. Further, the way in which the system co‐opted feminist potentials of alternative economic practices as part of the Third Sector, through a conception of social capital, is shown to be problematic in terms of exploiting the energies of already exploited women. This research shows the need for ongoing critical examination of initiatives targeted at s</w:t>
      </w:r>
    </w:p>
    <w:p>
      <w:r>
        <w:t>POSSIBLE 2018: Time Banks as Aging-in-Place Initiatives — https://openalex.org/W2900139510</w:t>
      </w:r>
    </w:p>
    <w:p>
      <w:r>
        <w:t>Shared claim-specific concepts: time, banks, services; EU scope not established. This is a provisional connection, not an outcome finding.</w:t>
      </w:r>
    </w:p>
    <w:p>
      <w:r>
        <w:t>Available abstract (not full text): There has been growing concern over how state and federal governments can support the increasing population of aging Americans and their need for long-term care. Current insurance funding models cover acute hospitalization and skilled care only, leaving unskilled care needs and homemaker services at the full expense of those in need. Time banking allows individuals to exchange or barter time for goods or services without monetary payment. There is insufficient evidence to determine if members believe time banks to be a viable alternative to support aging-in-place care needs. This phenomenological study explored time banking as a potential vehicle for nonskilled health care support to defray health care costs as one ages. Ostrom's co-production theory provided the theoretical foundation for the research questions, which examined the participants' lived experiences with the role time banks played in their decision to age in place. Face-to-face interviews were conducted with 10 Southern California time bank participants, age 50 years or older. Using a Moustakas-modified van Kaam method and a priori coding emergent themes were extracted. Study findings illustrated that time bank participation did support aspects of nonskilled health care needs and provided members with confident options for aging in place. Study findings also indicated a need for continued collaborations between pr</w:t>
      </w:r>
    </w:p>
    <w:p>
      <w:r>
        <w:t>POSSIBLE 2017: The Institutionalization of Alternative Economies: The Processes of Objectification in Time Banks — https://openalex.org/W7219320224</w:t>
      </w:r>
    </w:p>
    <w:p>
      <w:r>
        <w:t>Shared claim-specific concepts: time, banks, different, not; EU scope not established. This is a provisional connection, not an outcome finding.</w:t>
      </w:r>
    </w:p>
    <w:p>
      <w:r>
        <w:t>Available abstract (not full text): This paper explores the institutionalization process of complementary currencies; understanding the institutionalization of alternative economies is key in order to assess their sustainability. Drawing from neo-institutional theory, the paper examines the objectification processes in a sample of Spanish and Greek recently formed time banks. The paper focuses on the rationalization stage, i.e. when rules, practices and symbols are embedded in the organization, and studies how symbols and norms establish the framework for social interaction and make the common space of action visible. The main finding of this paper is that timebanking is subject to multiple logics, both inter and intra time banks. These logics lead to adopt different organizational forms, promote disparate forms of actorhood, and adopt different pricing and accounting systems. Yet, these objects are not aligned with one another, and tensions between the symbolic and the functional are found. Institutionalization is not yet complete as there are still missing blended models that bridge multiple logics.</w:t>
      </w:r>
    </w:p>
    <w:p>
      <w:r>
        <w:t>POSSIBLE 2016: How alternative consumer markets can build community resiliency — https://doi.org/10.1108/ejm-12-2014-0802</w:t>
      </w:r>
    </w:p>
    <w:p>
      <w:r>
        <w:t>Shared claim-specific concepts: time, banks, particularly, services, value; EU scope not established. This is a provisional connection, not an outcome finding.</w:t>
      </w:r>
    </w:p>
    <w:p>
      <w:r>
        <w:t>Available abstract (not full text): Purpose Time banking is a form of alternative consumer market where members trade services, non-reciprocally creating a local marketplace for services. Time Banks facilitate dyadic exchanges, meeting members’ practical needs and building diverse skills. The purpose of this research was to determine the broad capabilities developed in the Time Bank economy, and to demonstrate how these capabilities were mobilised following a series of earthquakes, contributing to the larger community’s resiliency. Design/methodology/approach Taking an ethnographic approach, data were collected using a variety of methods including interviews, focus groups, participant observation and secondary research. Findings Over time, this alternative consumer market developed a significant communication and social network that members activated to solve diverse practical problems facing the community. Similar to other exchange communities, the Time Bank also fostered a strong sense of community based on reciprocity and egalitarian values. Although the Time Bank was created as a marketplace to exchange local services, during a series of devastating earthquakes, it galvanised adaptive capacities, increasing the resiliency of the local community during disaster relief and reconstruction. Research limitations/implications The data were drawn from one alternative exchange system in New Zealand. Practical implica</w:t>
      </w:r>
    </w:p>
    <w:p>
      <w:pPr>
        <w:pStyle w:val="Heading2"/>
      </w:pPr>
      <w:r>
        <w:t>Transport demand evolution in Europe – factors of change, scenarios and challenges</w:t>
      </w:r>
    </w:p>
    <w:p>
      <w:r>
        <w:t>Original source (2015): https://doi.org/10.1007/s40309-015-0072-y</w:t>
      </w:r>
    </w:p>
    <w:p>
      <w:r>
        <w:t>Original wording (abstract; indexed_source_text_not_full_document_verified): In the transport sector, where change comes with inertia and investments are made with a long term perspective, decision makers need to consider how the future may look like in the very long term. The work presented in this paper is a scenario analysis focusing on the evolution of transport demand towards 2050, aiming to identify related challenges for European industrial and policy players.</w:t>
      </w:r>
    </w:p>
    <w:p>
      <w:r>
        <w:t>POSSIBLE 2025: Barriers to women’s employment in the transport sector in Europe — https://doi.org/10.12688/openreseurope.16123.1</w:t>
      </w:r>
    </w:p>
    <w:p>
      <w:r>
        <w:t>Shared claim-specific concepts: transport, sector, very, work; EU scope visible. This is a provisional connection, not an outcome finding.</w:t>
      </w:r>
    </w:p>
    <w:p>
      <w:r>
        <w:t>Available abstract (not full text): The H2020 TinnGO (Transport and Innovation Gender Observatory) project ( https://www.tinngo.eu/) addressed gender inequality in mobility patterns, education, and employment in the transport sector. The European transport sector has around 22% of female transport workers – making it one of the most traditional, male dominated, and change resistant sectors. This paper provides 1) a contemporary picture of women’s work experiences in the transport sector in 10 socially and economically divergent counties in the European Union (i.e. United Kingdom, Germany, France, Sweden, Italy, Spain, Romania, Portugal, Baltic Countries, Greece); and 2) recommendations on how to reduce gender inequalities. Data was collected using desk top research, surveys and follow up interviews and case studies with successful women and female entrepreneurs. Results triangulated well. Persistent themes emerged relevant to women’s underrepresentation in certain transport-related jobs and their over representation in support and administrative functions. The surveys revealed key barriers such as misogynistic attitudes, male dominated hierarchies, recruitment bias, reluctance to acknowledge a woman’s role and contributions, gender pay gap, male – dominated professional networks and the gender ’glass ceiling.’ Follow up case studies explored the strategies ‘successful’ women had used to overcome these. The number</w:t>
      </w:r>
    </w:p>
    <w:p>
      <w:r>
        <w:t>POSSIBLE 2023: Negative externalities in the transport sector: European efforts to align transport prices with external costs through market-based instruments — https://doi.org/10.4337/9781035317844.00022</w:t>
      </w:r>
    </w:p>
    <w:p>
      <w:r>
        <w:t>Shared claim-specific concepts: transport, sector; EU scope visible. This is a provisional connection, not an outcome finding.</w:t>
      </w:r>
    </w:p>
    <w:p>
      <w:r>
        <w:t>Available abstract (not full text): A clear paradigm shift is needed to implement the polluter pays principle and foster a sustainable transition in the transport sector. Among others, market-based instruments are an economically attractive means of reducing the negative externalities generated by transport. In fact, by influencing the prices, they can encourage behavioural change in transport use by supporting more sustainable transport options, making them economically more attractive to users. Various policy options are under scrutiny at European level to revise the transport sector. On one hand, the revision of the Energy Taxation Directive and of the Emissions Trading System are at the top of the EU political agenda and they affect different transport sectors. On the other hand, the revision of the Eurovignette Directive on the charging of heavy-goods vehicles for the use of certain infrastructures and the reform of vehicle taxation are also under discussion. This chapter aims to analyse the EU efforts to align transport prices with external costs, if they are coordinate and compliant with EU objectives, and what scenarios are opening up for the future of vehicle taxation.</w:t>
      </w:r>
    </w:p>
    <w:p>
      <w:r>
        <w:t>POSSIBLE 2023: Driving towards a sustainable future: Transport sector innovation, climate change and social welfare — https://doi.org/10.1016/j.jclepro.2023.139250</w:t>
      </w:r>
    </w:p>
    <w:p>
      <w:r>
        <w:t>Shared claim-specific concepts: transport, sector; EU scope not established. This is a provisional connection, not an outcome finding.</w:t>
      </w:r>
    </w:p>
    <w:p>
      <w:r>
        <w:t>Available abstract (not full text): Unavailable</w:t>
      </w:r>
    </w:p>
    <w:p>
      <w:r>
        <w:t>POSSIBLE 2022: Institutional and organisational change in the German rail transport sector. Working paper 3 of the study LowCarb-RFC - European Rail Freight Corridors going Carbon Neutral — https://doi.org/10.24406/publica-fhg-299027</w:t>
      </w:r>
    </w:p>
    <w:p>
      <w:r>
        <w:t>Shared claim-specific concepts: transport, sector; EU scope visible. This is a provisional connection, not an outcome finding.</w:t>
      </w:r>
    </w:p>
    <w:p>
      <w:r>
        <w:t>Available abstract (not full text): The paper asks how the modal shift from road to rail in the freight sector is sup-ported by institutional change. Following North (1990), institutions are understood as the "rules of the game" in the rail freight sector. Based on the literature on institutional change, four different perspectives and mechanisms can be dis-cerned: institutional design, collective action, institutional adaptation, and institu-tional diffusion. Each of these perspectives examines the situation in the German rail freight sector from a different angle. Based on this analysis, processes of institutional change and their potential impact on modal shift are discussed. Fol-lowing the railway reform, new domestic and foreign competitors of DB Cargo have entered the rail freight market with business models tailored to promising segments. At the same time, this competition has triggered a transformative or-ganisational change initiative at DB Cargo, which is currently in the process of implementation. Even though the success of this initiatives is highly uncertain, in total, the described changes are likely to result in a higher competitiveness of the sector and a stronger orientation to customer needs. Furthermore, the road freight sector has increasingly come under political pressure due to its rising GHG emissions and rail transport is increasingly seen as a viable alternative. In this respect, the rece</w:t>
      </w:r>
    </w:p>
    <w:p>
      <w:r>
        <w:t>POSSIBLE 2022: A review on Rail Transport in Europe and Italy — https://doi.org/10.1109/eeeic/icpseurope54979.2022.9854799</w:t>
      </w:r>
    </w:p>
    <w:p>
      <w:r>
        <w:t>Shared claim-specific concepts: transport, sector, evolution; EU scope visible. This is a provisional connection, not an outcome finding.</w:t>
      </w:r>
    </w:p>
    <w:p>
      <w:r>
        <w:t>Available abstract (not full text): The paper describes the state of the art of passenger and freight rail transport in Italy and Europe taken into account market demand, consumption, emissions and costs. Present and future scenarios are analyzed (projections towards 2030 and 2050) to observe the evolution of rail transport and to evaluate how the demand for mobility will change and how the new development frontiers will impact pollution and economic management. Summarizing, the paper identifies the policies implemented to promote the railway sector and the existing limits to its development.</w:t>
      </w:r>
    </w:p>
    <w:p>
      <w:r>
        <w:t>POSSIBLE 2020: Consuption and development of biofules in the European transport sector — https://doi.org/10.34726/hss.2020.73182</w:t>
      </w:r>
    </w:p>
    <w:p>
      <w:r>
        <w:t>Shared claim-specific concepts: transport, sector; EU scope visible. This is a provisional connection, not an outcome finding.</w:t>
      </w:r>
    </w:p>
    <w:p>
      <w:r>
        <w:t>Available abstract (not full text): With the new European Union (EU) Renewable Energy Directive RED II adopted in 2018, the EU strives to increase consumption of renewable energy by 32 percent and to take a leading position in this regard by further reducing dependency on imported fossil fuels. Biofuels, such as bioethanol, biodiesel or biogas, play a significant role as the Directive fosters the consumption of them, as well as the further development of advanced biofuels, which is crucial for reducing greenhouse gas emissions and the decarbonisation of the transport sector in the EU. The future of biofuel development depends to a large extent on political support and decisions, as well as technological development and more intensive use of new raw materials such as lignocellulosic biomass or waste feedstock. In addition the reduction of feedstocks with a high risk of land use change are also discussed. This thesis describes biofuels currently available on the European market, as well as the development of advanced biofuels. Subsequently, the impact of this new Directive on the availability of biofuels in the transport sector are summarized</w:t>
      </w:r>
    </w:p>
    <w:p>
      <w:r>
        <w:t>POSSIBLE 2017: Escalating impacts of climate extremes on critical infrastructures in Europe — https://doi.org/10.1016/j.gloenvcha.2017.11.007</w:t>
      </w:r>
    </w:p>
    <w:p>
      <w:r>
        <w:t>Shared claim-specific concepts: transport, investments, industrial; EU scope visible. This is a provisional connection, not an outcome finding.</w:t>
      </w:r>
    </w:p>
    <w:p>
      <w:r>
        <w:t>Available abstract (not full text): Extreme climatic events are likely to become more frequent owing to global warming. This may put additional stress on critical infrastructures with typically long life spans. However, little is known about the risks of multiple climate extremes on critical infrastructures at regional to continental scales. Here we show how single- and multi-hazard damage to energy, transport, industrial, and social critical infrastructures in Europe are likely to develop until the year 2100 under the influence of climate change. We combine a set of high-resolution climate hazard projections, a detailed representation of physical assets in various sectors and their sensitivity to the hazards, and more than 1100 records of losses from climate extremes in a prognostic modelling framework. We find that damages could triple by the 2020s, multiply six-fold by mid-century, and amount to more than 10 times present damage of €3.4 billion per year by the end of the century due only to climate change. Damage from heatwaves, droughts in southern Europe, and coastal floods shows the most dramatic rise, but the risks of inland flooding, windstorms, and forest fires will also increase in Europe, with varying degrees of change across regions. Economic losses are highest for the industry, transport, and energy sectors. Future losses will not be incurred equally across Europe. Southern and south-eastern European</w:t>
      </w:r>
    </w:p>
    <w:p>
      <w:r>
        <w:t>POSSIBLE 2017: Policy preferences and the diversity of instrument choice for mitigating climate change impacts in the transport sector — https://doi.org/10.1080/09640568.2017.1397505</w:t>
      </w:r>
    </w:p>
    <w:p>
      <w:r>
        <w:t>Shared claim-specific concepts: transport, sector, challenges; EU scope visible. This is a provisional connection, not an outcome finding.</w:t>
      </w:r>
    </w:p>
    <w:p>
      <w:r>
        <w:t>Available abstract (not full text): Different policy approaches and responses to common environmental challenges, such as climate change, exist between countries, and sometimes even within countries. This situation arises because public policy-makers are not only driven by concerns of theoretical purity but are also influenced by a range of social, political, economic, cultural and administrative matters when selecting techniques or instruments to achieve specific policy goals. This article examines whether the diversity of stated policy instruments to tackle climate change mitigation in the transport sector can be explained according to national policy preferences in a European context. It also investigates whether the mix of national climate change policy instruments for transport exhibits temporal stability, even after national changes in political power. To do so, the article reviews a series of national policy documents that address climate change in the transport sector in four European countries with contrasting administrative traditions – France, Germany, Sweden and the United Kingdom.</w:t>
      </w:r>
    </w:p>
    <w:p>
      <w:r>
        <w:t>POSSIBLE 2017: The European Union Strategy On Reducing Greenhouse Gases Emissions From The Transport Sector — https://openalex.org/W2955496990</w:t>
      </w:r>
    </w:p>
    <w:p>
      <w:r>
        <w:t>Shared claim-specific concepts: transport, sector; EU scope visible. This is a provisional connection, not an outcome finding.</w:t>
      </w:r>
    </w:p>
    <w:p>
      <w:r>
        <w:t>Available abstract (not full text): The pace of the transition to a low carbon economy has been sped up lately while the European Union wants to become a world leader in combating climate change. In this context, reducing emissions from the transport sector represents an essential element in the strategy for the sustainable development of the society.The following paper aims to assess and analyze the main elements of the European Union's policy concerning the transition to a transport with low carbon emissions, including the increase of the efficiency of the transport system, accelerating the use of low-emission alternative energy or switching to zero-emission vehicles. Also, in this paper there will be assessed the degree of achievement of the objective of the share of energy from renewable sources in transport by the Member States of the European Union.</w:t>
      </w:r>
    </w:p>
    <w:p>
      <w:r>
        <w:t>POSSIBLE 2017: Sectoral use of climate information in Europe: A synoptic overview — https://doi.org/10.1016/j.cliser.2017.06.001</w:t>
      </w:r>
    </w:p>
    <w:p>
      <w:r>
        <w:t>Shared claim-specific concepts: transport, need; EU scope visible. This is a provisional connection, not an outcome finding.</w:t>
      </w:r>
    </w:p>
    <w:p>
      <w:r>
        <w:t>Available abstract (not full text): Society can benefit from usable climate information to better prepare and adapt to the risks and opportunities posed by climate variability and change. An adequate and effective provision of climate information – from historical observations through to seasonal forecasts, and multi-decadal climate change projections – is critical to inform planning and decision-making in climate-sensitive sectors. Central to this are the end-users of climate information and a growing emphasis on tailored climate information and services shaped by user needs. However, knowledge about the use of climate information across European economic sectors is limited. This paper identifies the spectrum of sectoral information requirements across a number of sectors including agriculture, forestry, energy, water, tourism, insurance, health, emergency services and transport sectors, drawing from an online survey (n = 462) and interviews with (potential) users of climate information (n = 80). This analysis reveals shared opportunities across sectors including the potential application of decadal climate predictions. In addition, common barriers and enablers to the uptake of climate information were also noted including the format of the information provided, the need for compatibility with existing in-house systems, and the perceived credibility and trust of information providers. This analysis also points t</w:t>
      </w:r>
    </w:p>
    <w:p>
      <w:r>
        <w:t>POSSIBLE 2017: The European Railway Sectors: Understanding and Assessing Change — https://openalex.org/W2590852891</w:t>
      </w:r>
    </w:p>
    <w:p>
      <w:r>
        <w:t>Shared claim-specific concepts: transport, sector; EU scope visible. This is a provisional connection, not an outcome finding.</w:t>
      </w:r>
    </w:p>
    <w:p>
      <w:r>
        <w:t xml:space="preserve">Available abstract (not full text): This paper aims at explaining and assessing the process of change that European railway sectors have experienced over the last decades. It has been organized in two parts: the first part (section 2) explains change and the second part (section 3) empirically assesses change. In the first part we argue that the roots of this change process date back to the 1950s when, because of competitiveness reasons, the market share of most European railways began to decrease compared to other transport modes. Since national reformers ascribed these performance shortcomings to the traditional organization of the railway sector which was that of vertically-integrated state- owned monopoly. Therefore, between the 1970s and 1980s many governments in Europe adopted reforms that tried to inject competition in national railway sectors by supporting liberalization policies. Then, since early-1990s the European Commission has released a number of regulatory instruments aimed at pursuing three main goals: 1) liberalization of the rail services; 2) unbundling of infrastructure and service level, and 3) creation of the common transport market. The empirical analysis conducted in the second part of this paper suggests that state-controlled structures still play a crucial role in the management and performance of national railway industries as lower service prices are associated with greater presence of </w:t>
      </w:r>
    </w:p>
    <w:p>
      <w:pPr>
        <w:pStyle w:val="Heading2"/>
      </w:pPr>
      <w:r>
        <w:t>Wild cards in transport</w:t>
      </w:r>
    </w:p>
    <w:p>
      <w:r>
        <w:t>Original source (2015): https://doi.org/10.1007/s40309-015-0066-9</w:t>
      </w:r>
    </w:p>
    <w:p>
      <w:r>
        <w:t>Original wording (abstract; indexed_source_text_not_full_document_verified): Several Wild Cards reach high likelihood in 2040 or beyond, while the time by which full impact is reached varies.</w:t>
      </w:r>
    </w:p>
    <w:p>
      <w:r>
        <w:t>POSSIBLE 2024: From worshipping Tyche to playing with wild cards — https://doi.org/10.1111/1468-5973.12543</w:t>
      </w:r>
    </w:p>
    <w:p>
      <w:r>
        <w:t>Shared claim-specific concepts: wild, cards, likelihood; EU scope not established. This is a provisional connection, not an outcome finding.</w:t>
      </w:r>
    </w:p>
    <w:p>
      <w:r>
        <w:t>Available abstract (not full text): Abstract In his Physics, Aristotle acknowledges the role of Tyche, the Greek equivalent of contingency. His home, the Greek peninsula, was, and is today, regularly struck by natural hazards. Ancient records document that they wrought substantial damage to the infrastructure and political integrity of communities. Lacking reliable forecasting systems, for the ancient Greeks any of these hazards was contingent, even though there existed accepted interpretations of what (or who) caused these phenomena. Roughly 2.500 years later, future studies call sudden, unpredictable events like these ‘wild cards’. Occurring with a low probability but a substantial impact, wild cards pose challenges to social, political, and economic stability. Just as natural hazards unexpectedly interrupted and transformed social, political, and economical life in ancient communities, wild cards have the potential to disrupt current and future societies and economies. With the modern world increasingly complex and interconnected, wild cards will increase in frequency, likelihood, and impact. More than ever, local calamities will show global effects. To mitigate these effects and enable a fast recovery, creative approaches are needed. A gaze into how the societies of the distant past successfully coped with the wild cards that hit them, may thus yield inspiration for disaster risk reduction in the Anthropocene</w:t>
      </w:r>
    </w:p>
    <w:p>
      <w:r>
        <w:t>POSSIBLE 2024: Luojiu Hua and Its Archive: Index Cards and Wild Cards — https://doi.org/10.4467/23531991kk.24.027.20862</w:t>
      </w:r>
    </w:p>
    <w:p>
      <w:r>
        <w:t>Shared claim-specific concepts: wild, cards, time; EU scope not established. This is a provisional connection, not an outcome finding.</w:t>
      </w:r>
    </w:p>
    <w:p>
      <w:r>
        <w:t>Available abstract (not full text): By examining the manuscript materials of Guo Songfen (1938–2005) linked specifically to his last work, Luojiu Hua (The Falling of All the Followers), the paper aims to focus on the creative mode revealed by the manuscripts which can be characterized as a file system that avails itself of indexes and labels of sorts. These are first made up of initial scenario comments projecting either tentative titles or the overall structure of the work and more importantly, hidden quotations or short excerpts that Guo leaves meticulous citation information. Because they are seamlessly sutured into the very fabric of the text, no visible traces of their previous lives can be discerned in a reading without the benefit of the manuscript materials. To some degree, these short excerpts are textual transplants – visibly only if we take a deeper dive into the creative process and related manuscripts – verily alien grafts, that seemingly work silently within the textual machine. What are these textual transplants sutured into the text doing there, especially in a work that deals with memory and historical and personal traumas and national displacements at the fall of the Qing empire and the onset of civil wars which will give birth to and define modern China and Taiwan? This paper aims to look at the textual transplants from the perspective of their indexing function, that is, how they serve both as</w:t>
      </w:r>
    </w:p>
    <w:p>
      <w:r>
        <w:t>POSSIBLE 2021: Animal Behavior Cards — https://doi.org/10.4324/9781003235828-33</w:t>
      </w:r>
    </w:p>
    <w:p>
      <w:r>
        <w:t>Shared claim-specific concepts: wild, cards, time; EU scope not established. This is a provisional connection, not an outcome finding.</w:t>
      </w:r>
    </w:p>
    <w:p>
      <w:r>
        <w:t>Available abstract (not full text): Name: _____________________________________________ Date: _________________ Meerkats Meerkats are small mammals that are members of the mongoose family. They are the only members of the mongoose family that do not have bushy tails. They use their strong tails to help them balance when they are standing up. These squirrel-sized animals live in deserts and grasslands in Southern Africa. Meerkats live in burrows that they dig with their claws. Their claws are long and strong, which make them good for digging. They have a special membrane over their eyes that protect them as they dig. These cute and furry animals are very social and live in groups of up to 40 that are called “mobs,” “gangs,” or “clans.” Because meerkats live primarily underground, they can stay safe from predators. Their burrows are as deep as 15 feet and have different entrances, tunnels, and rooms. Meerkats sleep in their burrows, but as the sun rises, they emerge and look for food. As some meerkats search for food, others stand guard watching out for predators. If the meerkat on guard sees a predator, it loudly barks to warn the others. They have different barks and whistles for different types of threats. Meerkats have good eyesight and sense of smell, which guides them in looking for spiders, caterpillars, scorpions, and the other small critters that they eat. As some meerkats are hunting and looking out for p</w:t>
      </w:r>
    </w:p>
    <w:p>
      <w:r>
        <w:t>POSSIBLE 2021: The unresolved question on COVID‐19 virus origin: The three cards game? — https://doi.org/10.1002/jmv.27519</w:t>
      </w:r>
    </w:p>
    <w:p>
      <w:r>
        <w:t>Shared claim-specific concepts: several, wild, cards; EU scope not established. This is a provisional connection, not an outcome finding.</w:t>
      </w:r>
    </w:p>
    <w:p>
      <w:r>
        <w:t>Available abstract (not full text): The ongoing discussion about the real origin of the severe acute respiratory syndrome coronavirus 2 (SARS-CoV-2) feeds acrimonious debates. Where did SARS-CoV-2 come from? Was SARS-CoV-2 transmitted in the wild from an animal to a person before exploding in Wuhan or was it an engineered virus that escaped from research or a laboratory in Wuhan? Right now, we still don't know enough whether SARS-CoV-2 is human-made or not, and lab-leak theories remain essentially speculative. Many recent studies have pointed out several plausible scenarios. Anyhow, currently, even if suspicions by some about the possibility of lab-leak hypothesis still remain, the consensus view is that the pandemic probably started from a natural source and, to determine the real origin of the SARS-CoV-2 virus, further research is needed.</w:t>
      </w:r>
    </w:p>
    <w:p>
      <w:r>
        <w:t>POSSIBLE 2020: The supreme audit institutions readiness to uncertainty — https://doi.org/10.9770/jesi.2020.8.1(36)</w:t>
      </w:r>
    </w:p>
    <w:p>
      <w:r>
        <w:t>Shared claim-specific concepts: several, wild, cards; EU scope not established. This is a provisional connection, not an outcome finding.</w:t>
      </w:r>
    </w:p>
    <w:p>
      <w:r>
        <w:t>Available abstract (not full text): The inefficient fight against the COVID-19 pandemic and earlier insufficient readiness to counteract terrorist attacks raise the question about the role of the supreme audit institutions (SAIs) in the situation, in which decision-makers take decisions in uncertainty conditions.The states did not prove themselves in conditions of uncertainty.In all countries, the situation is the same, too late decisions regarding anti-epidemic quarantine, lack of necessary measures to protect doctors and patients, too few respirators.Based on the analysis of several randomly selected SAIs from different parts of the Globe, this study found that the audit methodology tailored to a predictable environment became inappropriate in uncertainty conditions.Most of analysed SAIs did not find weak signals and wild cards related to pandemic.Those who found such signals did not use them in foresight, which results that parliaments, governments and the public are not ready for global threats.It creates risks for entrepreneurs.</w:t>
      </w:r>
    </w:p>
    <w:p>
      <w:r>
        <w:t>POSSIBLE 2019: OP02 Sweacp: a structured conversation-based advanced care planning approach in the ACP-naïve swedish context — https://doi.org/10.1136/spcare-2019-acpicongressabs.2</w:t>
      </w:r>
    </w:p>
    <w:p>
      <w:r>
        <w:t>Shared claim-specific concepts: several, wild, cards; EU scope visible. This is a provisional connection, not an outcome finding.</w:t>
      </w:r>
    </w:p>
    <w:p>
      <w:r>
        <w:t xml:space="preserve">Available abstract (not full text): Background Sweden has no systematic advance care planning (ACP), nor judicial means of recognizing proxies in end-of-life (EoL) situations. In the SweACP project in the DöBra research program, we focus on engaging stakeholders in active conversations about preferences for future EoL care, rather than using a document-driven approach to ACP. We describe results of feasibility testing a structured conversation-based ACP approach among older adults in the general public as well as exploring their strategies for reasoning about their EoL preferences. Methods After initial testing in pilot focus groups, a Swedish version of GoWish cards, DöBra cards, and Eco-mapping were used to catalyze discussions on what and who matters at the EoL. The 65 participants from across Sweden actively contacted the researchers volunteering to participate, after receiving information through national patient-or retiree organizations. Both quantitative and qualitative data were analyzed, using descriptive statistics and inductive analysis. Results DöBra cards were positively received by participants; there was great individual variation in card prioritization and formulation of wild cards. Eco-mapping was met with less enthusiasm but was useful in depicting a social context often taken-for-granted. Qualitative analysis revealed several strategies for reasoning about future EoL care. Conclusions Having a </w:t>
      </w:r>
    </w:p>
    <w:p>
      <w:r>
        <w:t>POSSIBLE 2016: Short Communication: Georeferencing orchids specimen history cards in Bogor Botanic Gardens to increase their use for conservation efforts — https://doi.org/10.13057/biodiv/d170220</w:t>
      </w:r>
    </w:p>
    <w:p>
      <w:r>
        <w:t>Shared claim-specific concepts: several, wild, cards; EU scope not established. This is a provisional connection, not an outcome finding.</w:t>
      </w:r>
    </w:p>
    <w:p>
      <w:r>
        <w:t>Available abstract (not full text): Rahayu EMD, Yusri S. 2016. Georeferencing orchids specimen history cards in Bogor Botanic Gardens to increase their use for conservation efforts. Biodiversitas 17: 510-514. Orchids are considered valuable plant resource but overharvesting and habitat conversion have threatened their population. Bogor Botanic Gardens (Kebun Raya Bogor; BBG) stores millions of plant specimens, including orchids, taken from the wild or captivity. Origin of specimens is recorded in specimen tags and cards, where each of these can be converted to species occurrence datum for investigations of biodiversity, its relationship with the environment, evaluating conservation efforts and anthropogenic disturbances along spatial or temporal scales. However, data from tags and cards available are often insufficient because localities are typically being recorded as textual descriptions, without geographic coordinates, thus making analysis using Geographical Information System (GIS) tools difficult. In this paper, we reviewed the use of online resources (i.e. GoogleMaps™, ProtectedPlanet.net) for georeferencing specimen cards and Quantum GIS as a GIS tool to store and display the data. Specimen cards from the chosen genera of orchid in BBG were reviewed. The georeferencing process encountered several obstacles, includes: geographically biased locations, changes in spatial-administrative borders, unregistered l</w:t>
      </w:r>
    </w:p>
    <w:p>
      <w:r>
        <w:t>POSSIBLE 2016: Locating the Best Available Research — https://doi.org/10.1093/med:psych/9780190621933.003.0003</w:t>
      </w:r>
    </w:p>
    <w:p>
      <w:r>
        <w:t>Shared claim-specific concepts: several, wild, cards; EU scope not established. This is a provisional connection, not an outcome finding.</w:t>
      </w:r>
    </w:p>
    <w:p>
      <w:r>
        <w:t>Available abstract (not full text): This chapter discusses the steps EBP clinicians should take in finding evidence that addresses their clinical questions: searching background information resources, which provide overviews of topics, and then moving to filtered information resources, which provide access to timesaving, synthesized information. To help clinicians navigate these resources, the chapter summarizes basic search concepts that are applicable across the resources, such as Boolean operators, truncation, wild cards, and limits. The chapter describes key background information sources, such as eMedicine, textbooks, and Wikipedia. It then discusses key filtered information sources, including the Cochrane Database of Systematic Reviews, BMJ Clinical Evidence, and several evidence-based journals. The chapter provides tailored tips for optimal searching within each resource introduced.</w:t>
      </w:r>
    </w:p>
    <w:p>
      <w:pPr>
        <w:pStyle w:val="Heading2"/>
      </w:pPr>
      <w:r>
        <w:t>A scenario-planning approach to human resources for health: the case of community pharmacists in Portugal</w:t>
      </w:r>
    </w:p>
    <w:p>
      <w:r>
        <w:t>Original source (2014): https://doi.org/10.1186/1478-4491-12-58</w:t>
      </w:r>
    </w:p>
    <w:p>
      <w:r>
        <w:t>Original wording (abstract; indexed_source_text_not_full_document_verified): This study aims to design three future scenarios for Portuguese community pharmacists, recognizing the changing environment as an opportunity to develop the role that community pharmacists may play in the Portuguese health system. CONCLUSIONS: In all scenarios it is clear that the future advance of Portuguese community pharmacists will depend on pharmaceutical services provision beyond medicine dispensing.</w:t>
      </w:r>
    </w:p>
    <w:p>
      <w:r>
        <w:t>POSSIBLE 2025: Design Policy Mapping in Europe — https://openalex.org/W7215223829</w:t>
      </w:r>
    </w:p>
    <w:p>
      <w:r>
        <w:t>Shared claim-specific concepts: design, environment, beyond; EU scope visible. This is a provisional connection, not an outcome finding.</w:t>
      </w:r>
    </w:p>
    <w:p>
      <w:r>
        <w:t>Available abstract (not full text): This study set out to map how design features in national policy frameworks across Europe. The results of the study reveal a striking paradox. On the one hand, explicit design policies are rare: in 2025 only two countries – Latvia and Iceland – maintain government-adopted national strategies dedicated to design. This represents a marked decline from the 2010s, when European Commission initiatives such as the Innovation Union and its Action Plan for Design-driven Innovation inspired more than a dozen national and regional design policies. On the other hand, design is more visible and influential than ever. Our mapping shows that it now appears in a wide range of policy domains. Beyond its traditional home in Cultural and Creative Industries strategies, design has been taken up in innovation policies, industrial competitiveness strategies, circular economy and sustainability plans, digitalisation agendas, and built environment frameworks. In each case, design is framed differently – as a creative sector, a business capability, a sustainability lever, a public-service tool, or a means of shaping places and infrastructure.</w:t>
      </w:r>
    </w:p>
    <w:p>
      <w:r>
        <w:t>POSSIBLE 2020: E-learning design and entrepreneurship in three European universities — https://doi.org/10.1108/ijebr-06-2019-0407</w:t>
      </w:r>
    </w:p>
    <w:p>
      <w:r>
        <w:t>Shared claim-specific concepts: design, three, all, services; EU scope visible. This is a provisional connection, not an outcome finding.</w:t>
      </w:r>
    </w:p>
    <w:p>
      <w:r>
        <w:t>Available abstract (not full text): Purpose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The 100 best European universities in the Quacquarelli Symonds Rankings all use e-learning methods. The case study universities were selected from this list. The semistructured interviews with managers of e-learning services highlighted the importance of the design of e-learning courses. However, most focused on the professional figures involved, rather than the process for e-learning and the overall design of the course. Originality/value The article provides a detailed study of e-learning design in an educational context. The analysis of multiple case studies allowed the authors to iden</w:t>
      </w:r>
    </w:p>
    <w:p>
      <w:r>
        <w:t>POSSIBLE 2020: E-learning design and entrepreneurship in three European universities — https://openalex.org/W7223193736</w:t>
      </w:r>
    </w:p>
    <w:p>
      <w:r>
        <w:t>Shared claim-specific concepts: design, three, all, services; EU scope visible. This is a provisional connection, not an outcome finding.</w:t>
      </w:r>
    </w:p>
    <w:p>
      <w:r>
        <w:t xml:space="preserve">Available abstract (not full text): Purpose – According to Fee (2009), e-learning systems have three components: technology, learning content and e-learning design. Few studies have examined e-learning design as an educational process, although universities are increasingly using e-learning as they become more entrepreneurial. This article aimed to investigate how universities approach e-learning design. Design/methodology/approach – The study used a mixed methods approach. First, the authors carried out a quantitative analysis of the websites of the top 100 European universities in the Quacquarelli Symonds Ranking. The authors then moved to a qualitative approach, analyzing a pilot case and three case studies. Semistructured interviews were conducted with managers of e-learning services at the chosen European universities. Findings – The 100 best European universities in the Quacquarelli Symonds Rankings all use e-learning methods. The case study universitieswere selected fromthis list.The semistructured interviews withmanagers of e-learning services highlighted the importance of the design of e-learning courses. However, most focused on the professional figures involved, rather than the process for e-learning and the overall design of the course. Originality/value – The article provides a detailed study of e-learning design in an educational context. The analysis of multiple case studies allowed the authors to </w:t>
      </w:r>
    </w:p>
    <w:p>
      <w:r>
        <w:t>POSSIBLE 2019: Urban design empowerment through ICT-based platforms in Europe — https://doi.org/10.1080/12265934.2019.1604250</w:t>
      </w:r>
    </w:p>
    <w:p>
      <w:r>
        <w:t>Shared claim-specific concepts: aims, design, three, beyond; EU scope visible. This is a provisional connection, not an outcome finding.</w:t>
      </w:r>
    </w:p>
    <w:p>
      <w:r>
        <w:t>Available abstract (not full text): The use of ICT-based participation tools in urban design has come into prominence in the last decade. A plethora of technology-enabled participatory tools, techniques, and applications have been developed to facilitate the participation of citizens as well as other stakeholders. This study specifically focuses on ICT-based participation platforms that aim to serve as forums to respond to social and spatial needs. Many studies have reported that the use of these participatory platforms has led to positive outcomes. However, their potentials and limits for facilitating different levels of design empowerment (Senbel and Church, 2011. Design Empowerment. Journal of Planning Education and Research, 31(4), 423–437.) remain unknown. In this context, the aims of this study are: (1) to determine how these platforms empower and restrict citizens’ engagement by analysing a variety of ICT-based participation platforms in Europe, and (2) to determine the factors that can facilitate better participation practices. This research analyses 25 ICT-based participation platforms that go beyond one-sided information exchange. They were chosen out of a database of 106 platforms. These were evaluated according to their objectives, the design action phases in which they are designated to be used, their desired levels of design empowerment and their functionalities. The findings indicate that a majorit</w:t>
      </w:r>
    </w:p>
    <w:p>
      <w:r>
        <w:t>POSSIBLE 2019: European Men-Who-Have-Sex-With-Men Internet Survey (EMIS-2017): Design and Methods — https://doi.org/10.1007/s13178-019-00413-0</w:t>
      </w:r>
    </w:p>
    <w:p>
      <w:r>
        <w:t>Shared claim-specific concepts: design, three, community, health; EU scope visible. This is a provisional connection, not an outcome finding.</w:t>
      </w:r>
    </w:p>
    <w:p>
      <w:r>
        <w:t>Available abstract (not full text): Abstract Men-who-have-sex-with-men (MSM) carry a disproportionate burden of sexually transmitted infections across Europe. Health planners require sexual health needs assessment data to respond appropriately. In addition, surveillance of risk and precaution behaviours in this population enables evaluative judgements of policy responses. The European MSM Internet Survey (EMIS-2017) aimed to repeat the pan-European online survey on male homosexual behaviour conducted in 2010, both to update information required to plan and monitor health promotion interventions and consolidate harmonisation of existing behavioural surveillance approaches. Our study team collaborated with more than 200 partners from academia, public health and civil society across 50 countries. Starting from our previous EMIS-2010 questionnaire, partners engaged in three rounds of iterative survey development and piloting until the final content was agreed. Transfer to an online survey application was followed by further pre-testing before translation into 32 additional languages, final testing and sign-off. The survey was available to complete online in 33 languages simultaneously from 18 October 2017 to 31 January 2018. Ten international MSM dating mobile apps were paid to send short promotional messages, and national partners promoted the survey via at least another 272 websites and social media accounts. Real-</w:t>
      </w:r>
    </w:p>
    <w:p>
      <w:r>
        <w:t>POSSIBLE 2019: Overview of the DEMO staged design approach in Europe — https://doi.org/10.1088/1741-4326/ab1178</w:t>
      </w:r>
    </w:p>
    <w:p>
      <w:r>
        <w:t>Shared claim-specific concepts: aims, design, system, clear, advance; EU scope visible. This is a provisional connection, not an outcome finding.</w:t>
      </w:r>
    </w:p>
    <w:p>
      <w:r>
        <w:t>Available abstract (not full text): This paper describes the status of the pre-conceptual design activities in Europe to advance the technical basis of the design of a DEMOnstration Fusion Power Plant (DEMO) to come in operation around the middle of this century with the main aims of demonstrating the production of few hundred MWs of net electricity, the feasibility of operation with a closed-tritium fuel cycle, and maintenance systems capable of achieving adequate plant availability. This is expected to benefit as much as possible from the ITER experience, in terms of design, licensing, and construction. Emphasis is on an integrated design approach, based on system engineering, which provides a clear path for urgent R&amp;D and addresses the main design integration issues by taking account critical systems interdependencies and inherent uncertainties of important design assumptions (physics and technology). A design readiness evaluation, together with a technology maturation and down selection strategy are planned through structured and transparent Gate Reviews. By embedding industry experience in the design from the beginning it will ensure that early attention is given to technology readiness and industrial feasibility, costs, maintenance, power conversion, nuclear safety and licensing aspects.</w:t>
      </w:r>
    </w:p>
    <w:p>
      <w:r>
        <w:t>POSSIBLE 2019: The European Campaigns of Three Socialist Parties — https://doi.org/10.4324/9780429310904-5</w:t>
      </w:r>
    </w:p>
    <w:p>
      <w:r>
        <w:t>Shared claim-specific concepts: design, three, community; EU scope visible. This is a provisional connection, not an outcome finding.</w:t>
      </w:r>
    </w:p>
    <w:p>
      <w:r>
        <w:t>Available abstract (not full text): This chapter explores the pragmatic aspects of the campaign, with the aim of completing the description of what happened in the historic European event. It examines the campaign plans and activities of the Confederation of Socialist Parties of the European Community. The chapter considers whether national politics or European socialism was the primary reference point for each party. It provides some assessments about differences and similarities in the three campaigns, and about the place of transnational socialist efforts in each party&amp;s;s electoral activities. The Labour three campaigns are: Party, SPD, and Parti Socialiste. The staff of the Socialist Group and the Confederation undertook four types of activities during the campaign: the design and use of common visual symbols, publication of materials for distribution to the voters, organization of special conferences for the candidates, and acting as a clearing house for speakers and information.</w:t>
      </w:r>
    </w:p>
    <w:p>
      <w:r>
        <w:t>POSSIBLE 2018: DEMO design activity in Europe: Progress and updates — https://doi.org/10.1016/j.fusengdes.2018.04.001</w:t>
      </w:r>
    </w:p>
    <w:p>
      <w:r>
        <w:t>Shared claim-specific concepts: design, system, all; EU scope visible. This is a provisional connection, not an outcome finding.</w:t>
      </w:r>
    </w:p>
    <w:p>
      <w:r>
        <w:t>Available abstract (not full text): This paper describes the progress of the DEMO Design Activities in Europe and particularly the work done to address critical design integration issues that affect the machine configuration and performance, the plant concept layout and the selection of system design and technologies. Work continues to be primarily focused on the design integration of a pulsed baseline DEMO reactor concept, but a number of alternative configurations (e.g., a double-null divertor and a snowflake divertor as well as a ‘flexi’ DEMO that operates initially in an inductively driven pulsed regime, with the possibility to be upgraded to a long-pulse or steady-state machine with a greater reliance on auxiliary current drive, etc.) are under preliminary study, especially to evaluate their DEMO reactor relevance. Some initial considerations are given on the strategy to implement a structured design and technology down-selection, that progressively reviews and narrows options to arrive at the DEMO plant concept that addresses major system integration risks and offers the best probability to satisfy all stakeholder mission requirements. Finally, some recent technical achievements are highlighted.</w:t>
      </w:r>
    </w:p>
    <w:p>
      <w:r>
        <w:t>POSSIBLE 2017: Design, assessment and feasibility of legume-based cropping systems in three European regions — https://doi.org/10.1071/cp17064</w:t>
      </w:r>
    </w:p>
    <w:p>
      <w:r>
        <w:t>Shared claim-specific concepts: aims, design, three; EU scope visible. This is a provisional connection, not an outcome finding.</w:t>
      </w:r>
    </w:p>
    <w:p>
      <w:r>
        <w:t>Available abstract (not full text): Grain legumes in cropping systems result in agronomic and environmental benefits. Nevertheless, their areas in Europe have strongly decreased over the past decades. Our aim was to design locally adapted innovative cropping systems including grain legumes for three European local pedoclimatic contexts, to assess their sustainability, and to discuss their feasibility with stakeholders. The methodology included an initial diagnosis of the most frequent cropping systems and local improvement targets in each local context (e.g. improve legume profitability, limit diseases of legumes, reduce intensive use of chemical inputs in cropping systems), the design of innovative legume-based cropping systems during a common workshop, focusing on three aims ((i) decrease pesticide use, (ii) reduce mineral N fertiliser dependency, and (iii) increase yield stability of grain legume crops and other crops of the crop sequence), and their multicriteria sustainability assessment. Stakeholders meetings were organised in each local context to discuss the feasibility of implementing the innovative cropping systems in farmers’ fields (technical implementation of cropping systems and possibility of development of legume sectors). Four to five cropping systems were designed in each local context, with crop sequences longer than references. They included at least two grain legumes (pea, faba bean, chickpea</w:t>
      </w:r>
    </w:p>
    <w:p>
      <w:r>
        <w:t>POSSIBLE 2017: European DEMO design strategy and consequences for materials — https://doi.org/10.1088/1741-4326/57/9/092002</w:t>
      </w:r>
    </w:p>
    <w:p>
      <w:r>
        <w:t>Shared claim-specific concepts: aims, design, system; EU scope visible. This is a provisional connection, not an outcome finding.</w:t>
      </w:r>
    </w:p>
    <w:p>
      <w:r>
        <w:t>Available abstract (not full text): Demonstrating the production of net electricity and operating with a closed fuel-cycle remain unarguably the crucial steps towards the exploitation of fusion power. These are the aims of a demonstration fusion reactor (DEMO) proposed to be built after ITER. This paper briefly describes the DEMO design options that are being considered in Europe for the current conceptual design studies as part of the Roadmap to Fusion Electricity Horizon 2020. These are not intended to represent fixed and exclusive design choices but rather 'proxies' of possible plant design options to be used to identify generic design/material issues that need to be resolved in future fusion reactor systems. The materials nuclear design requirements and the effects of radiation damage are briefly analysed with emphasis on a pulsed 'low extrapolation' system, which is being used for the initial design integration studies, based as far as possible on mature technologies and reliable regimes of operation (to be extrapolated from the ITER experience), and on the use of materials suitable for the expected level of neutron fluence. The main technical issues arising from the plasma and nuclear loads and the effects of radiation damage particularly on the structural and heat sink materials of the vessel and in-vessel components are critically discussed. The need to establish realistic target performance and a develop</w:t>
      </w:r>
    </w:p>
    <w:p>
      <w:r>
        <w:t>POSSIBLE 2017: Use of complementary and alternative medicine in Europe: Health-related and sociodemographic determinants — https://doi.org/10.1177/1403494817733869</w:t>
      </w:r>
    </w:p>
    <w:p>
      <w:r>
        <w:t>Shared claim-specific concepts: aims, three, health, conclusions, all, medicine; EU scope visible. This is a provisional connection, not an outcome finding.</w:t>
      </w:r>
    </w:p>
    <w:p>
      <w:r>
        <w:t>Available abstract (not full text): AIMS: The aim of this research was to study health-related and sociodemographic determinants of the use of different complementary and alternative medicine (CAM) treatments in Europe and differences in CAM use in various European countries. METHODS: The study was based on a design-based logistic regression analysis of the European Social Survey (ESS), Round 7. We distinguished four CAM modalities: manual therapies, alternative medicinal systems, traditional Asian medical systems and mind-body therapies. RESULTS: In total, 25.9% of the general population had used CAM during the last 12 months. Typically, only one CAM treatment had been used, and it was used more often as complementary rather than alternative treatment. The use of CAM varied greatly by country, from 10% in Hungary to almost 40% in Germany. Compared to those in good health, the use of CAM was two to fourfold greater among those with health problems. The health profiles of users of different CAM modalities varied. For example, back or neck pain was associated with all types of CAM, whereas depression was associated only with the use of mind-body therapies. Individuals with difficult to diagnose health conditions were more inclined to utilize CAM, and CAM use was more common among women and those with a higher education. Lower income was associated with the use of mind-body therapies, whereas the other three CAM mod</w:t>
      </w:r>
    </w:p>
    <w:p>
      <w:r>
        <w:t>POSSIBLE 2017: The EU-AIMS Longitudinal European Autism Project (LEAP): design and methodologies to identify and validate stratification biomarkers for autism spectrum disorders — https://doi.org/10.1186/s13229-017-0146-8</w:t>
      </w:r>
    </w:p>
    <w:p>
      <w:r>
        <w:t>Shared claim-specific concepts: aims, design, all, medicine; EU scope visible. This is a provisional connection, not an outcome finding.</w:t>
      </w:r>
    </w:p>
    <w:p>
      <w:r>
        <w:t xml:space="preserve">Available abstract (not full text): BACKGROUND: The tremendous clinical and aetiological diversity among individuals with autism spectrum disorder (ASD) has been a major obstacle to the development of new treatments, as many may only be effective in particular subgroups. Precision medicine approaches aim to overcome this challenge by combining pathophysiologically based treatments with stratification biomarkers that predict which treatment may be most beneficial for particular individuals. However, so far, we have no single validated stratification biomarker for ASD. This may be due to the fact that most research studies primarily have focused on the identification of mean case-control differences, rather than within-group variability, and included small samples that were underpowered for stratification approaches. The EU-AIMS Longitudinal European Autism Project (LEAP) is to date the largest multi-centre, multi-disciplinary observational study worldwide that aims to identify and validate stratification biomarkers for ASD. METHODS: LEAP includes 437 children and adults with ASD and 300 individuals with typical development or mild intellectual disability. Using an accelerated longitudinal design, each participant is comprehensively characterised in terms of clinical symptoms, comorbidities, functional outcomes, neurocognitive profile, brain structure and function, biochemical markers and genomics. In addition, 51 </w:t>
      </w:r>
    </w:p>
    <w:p>
      <w:pPr>
        <w:pStyle w:val="Heading2"/>
      </w:pPr>
      <w:r>
        <w:t>A vibrant European labor market with full employment</w:t>
      </w:r>
    </w:p>
    <w:p>
      <w:r>
        <w:t>Original source (2014): https://doi.org/10.1186/2193-9012-3-10</w:t>
      </w:r>
    </w:p>
    <w:p>
      <w:r>
        <w:t>Original wording (abstract; indexed_source_text_not_full_document_verified): We hope these proposals will affect the debate about the future of the European Union, also with regard to the pivotal role and responsibility of the European Parliament and European Commission.</w:t>
      </w:r>
    </w:p>
    <w:p>
      <w:r>
        <w:t>POSSIBLE 2025: Hope and Positivity — https://doi.org/10.1093/oso/9780197618240.003.0014</w:t>
      </w:r>
    </w:p>
    <w:p>
      <w:r>
        <w:t>Shared claim-specific concepts: hope, proposals, about; EU scope not established. This is a provisional connection, not an outcome finding.</w:t>
      </w:r>
    </w:p>
    <w:p>
      <w:r>
        <w:t>Available abstract (not full text): Abstract The chapter is an attempt to make sense of a commonly recognized but poorly understood aspect of hope: its positivity, namely, its involving an ability to find goodness and to feel good in circumstances of hardship, danger, suffering, misfortune, injustice, etc. The focus is on two questions: First, what exactly is one positive about when one hopes? Second, why is one positive about that thing, or in other words, what, if anything, makes it rational for one to be positive about that thing? Various proposals for answering these questions on the basis of existing theories of hope are considered and rejected, and a more satisfactory answer is developed on the assumption that hope is fundamentally a form of valuing not so much of the hoped-for outcome, but of the object for the sake of which one hopes for that outcome.</w:t>
      </w:r>
    </w:p>
    <w:p>
      <w:r>
        <w:t>POSSIBLE 2025: Format of emergency department electronic health records in Europe. The European initiative and the eCREAM proposal — https://doi.org/10.3389/femer.2025.1558208</w:t>
      </w:r>
    </w:p>
    <w:p>
      <w:r>
        <w:t>Shared claim-specific concepts: affect, about, also; EU scope visible. This is a provisional connection, not an outcome finding.</w:t>
      </w:r>
    </w:p>
    <w:p>
      <w:r>
        <w:t>Available abstract (not full text): The lack of cross-border patient health data exchange in Europe is an obstacle in many ways and can negatively affect patient care and health. When clinicians have incomplete information about patients traveling or residing abroad, for example, continuity of care cannot be assured, potentially leading to poorer health outcomes. The European Electronic Health Record Exchange Format (EEHRxF) is a system being established in Europe to permit the interoperability of different healthcare systems, such as electronic health records (EHRs) and medical devices, so that they can share data to support patient care and research. The system is currently being introduced for electronic prescriptions and dispensations, patient summaries, which are part of the larger collection of health data known as the electronic health record, laboratory results and medical imaging studies and their reports, and hospital discharge reports. In emergency medicine, where research is challenging due to time and resource constraints, the EHR should no longer be seen solely as a tool to support clinical practice; it is also a source of valuable information to fuel research and improve patient care. The use of data for research, one of the stated secondary goals of the EEHRxF, thus becomes paramount here and deserves to be properly developed. It is in this context that the eCREAM (enabling Clinical Research in Em</w:t>
      </w:r>
    </w:p>
    <w:p>
      <w:r>
        <w:t>POSSIBLE 2022: The Focus Theory of Hope — https://doi.org/10.1093/pq/pqac010</w:t>
      </w:r>
    </w:p>
    <w:p>
      <w:r>
        <w:t>Shared claim-specific concepts: hope, debate, about; EU scope not established. This is a provisional connection, not an outcome finding.</w:t>
      </w:r>
    </w:p>
    <w:p>
      <w:r>
        <w:t>Available abstract (not full text): Abstract Most elpistologists now agree that hope for a specific outcome involves more than just desire plus the presupposition that the outcome is possible. This paper argues that the additional element of hope is a disposition to focus on the desired outcome in a certain way. I first survey the debate about the nature of hope in the recent literature, offer objections to some important competing accounts, and describe and defend the view that hope involves a kind of focus or attention. I then suggest that this account makes sense of the intuitive thought that there are moral and pragmatic norms on hope that go beyond the norms on desires and modal presuppositions. I conclude by considering some key questions.</w:t>
      </w:r>
    </w:p>
    <w:p>
      <w:r>
        <w:t>POSSIBLE 2018: A Perceptual Theory of Hope — https://doi.org/10.3998/ergo.12405314.0005.008</w:t>
      </w:r>
    </w:p>
    <w:p>
      <w:r>
        <w:t>Shared claim-specific concepts: hope, about, regard; EU scope not established. This is a provisional connection, not an outcome finding.</w:t>
      </w:r>
    </w:p>
    <w:p>
      <w:r>
        <w:t>Available abstract (not full text): This paper addresses the question of what the attitude of hope consists in.We argue that shortcomings in recent theories of hope have methodological roots in that they proceed with little regard for the rich body of literature on the emotions.Taking insights from work in the philosophy of emotions, we argue that hope involves a kind of normative perception.We then develop a strategy for determining the content of this perception, arguing that hope is a perception of practical reasons.Our proposal stands in contrast with familiar views on which hope is fundamentally about the good.We conclude by considering the increasingly popular idea that some hopes are non-intentional and thus, by implication, non-perceptual.We reply by arguing that our perceptual theory plausibly generalizes to these instances of hope.</w:t>
      </w:r>
    </w:p>
    <w:p>
      <w:r>
        <w:t>POSSIBLE 2016: A Monetary Hope for Europe — https://openalex.org/W7137600050</w:t>
      </w:r>
    </w:p>
    <w:p>
      <w:r>
        <w:t>Shared claim-specific concepts: hope, union, also; EU scope visible. This is a provisional connection, not an outcome finding.</w:t>
      </w:r>
    </w:p>
    <w:p>
      <w:r>
        <w:t>Available abstract (not full text): A Monetary Hope for Europe. This book studies the euro in a global perspective and opens a new series edited by the Jean Monnet European Centre of Excellence of the University of Florence, Verso l’unificazione europea. Most of the chapters have been written by economists who met and discussed their diverse views at a multi-disciplinary conference organized by the Centre in May 2013 under the title The euro and the struggle for the creation of a new global currency: Problems and perspectives in the building of the political, financial and economic foundations of the European federal government. The list of contributors also includes historians as well as European and international law academics. Their essays have been revised on the basis and against the backdrop of an ongoing crisis of both the euro and the whole European project in the last years and months. The volume aims to provide useful data and interpretations to improve knowledge on the euro and the European Union in their economic, historical, juridical and political perspectives.</w:t>
      </w:r>
    </w:p>
    <w:p>
      <w:r>
        <w:t>POSSIBLE 2016: A doubtful hope: resource affect in a future oil economy — https://doi.org/10.1111/1467-9655.12397</w:t>
      </w:r>
    </w:p>
    <w:p>
      <w:r>
        <w:t>Shared claim-specific concepts: hope, affect, about, also, role; EU scope not established. This is a provisional connection, not an outcome finding.</w:t>
      </w:r>
    </w:p>
    <w:p>
      <w:r>
        <w:t>Available abstract (not full text): In global debates about natural resource extraction, affect has played an increasingly prominent, if somewhat nameless, role. This paper proposes a theorization of resource affect both as an intrinsic element of capitalist dynamics and as an object problematized by corporate, government, and third‐sector practice. Drawing on ethnographic research in São Tomé and Príncipe (STP), I explore the affective horizons generated by the prospect of hydrocarbon exploration: a doubtful hope comprised of visions of material betterment, personal and collective transformation, as well as anticipations of failure, friction, and discontent. I also examine the multitude of oil‐related campaigns, activities, and programmes initiated by non‐governmental organizations and global governance institutions in STP, animated by the specific conundrums presented by oil's futurity. In light of this, I argue that what we see emerging is a new resource politics that revolves around not simply the democratic and technical aspects of resource exploitation but increasingly their associated affective dissonances and inconsistencies.</w:t>
      </w:r>
    </w:p>
    <w:p>
      <w:r>
        <w:t>POSSIBLE 2015: Austerity, the European Council, and the Institutional Future of the European Union: A Proposal to Strengthen the Presidency of the European Council — https://doi.org/10.2979/indjglolegstu.22.2.269</w:t>
      </w:r>
    </w:p>
    <w:p>
      <w:r>
        <w:t>Shared claim-specific concepts: debate, union, commission; EU scope visible. This is a provisional connection, not an outcome finding.</w:t>
      </w:r>
    </w:p>
    <w:p>
      <w:r>
        <w:t>Available abstract (not full text): This article contextualizes the resilience of austerity in Europe, explaining it in light of the transformations in the EU system of governance. As the article maintains, since the eruption of the Euro-crisis, the European Council—the body congressing the heads of state and government of the EU member states together with its President and the President of the European Commission—has risen to the center of EU governance. In an intergovernmental institution such as the European Council, however, larger and wealthier states have been able to impose their preferences on other states—a development that is at odds with the anti-hegemonic nature of the EU integration project. To address this problematic state of affairs, this article proposes a targeted institutional reform: strengthening the President of the European Council. As this article claims, a President of the European Council endowed with its own executive powers and legitimated by a popular election could restore a balance between the member states and, at the same time, create a forum for democratic contestation of the policies of the European Union. The proposal to strengthen the presidency of the European Council builds on recent calls to redefine this institution as the presidency of the European Union as a whole. However, it faces several challenges. This article considers the following questions: 1) What are the adva</w:t>
      </w:r>
    </w:p>
    <w:p>
      <w:pPr>
        <w:pStyle w:val="Heading2"/>
      </w:pPr>
      <w:r>
        <w:t>An Agent-Based Assessment of Land Use and Ecosystem Changes in Traditional Agricultural Landscape of Portugal</w:t>
      </w:r>
    </w:p>
    <w:p>
      <w:r>
        <w:t>Original source (2014): https://doi.org/10.4236/iim.2014.62008</w:t>
      </w:r>
    </w:p>
    <w:p>
      <w:r>
        <w:t>Original wording (abstract; indexed_source_text_not_full_document_verified): The results of the scenario analysis show that the area of Montado declines significantly by 2050, but it remains the dominant land use in the case study area, indicating some resilience to change.</w:t>
      </w:r>
    </w:p>
    <w:p>
      <w:r>
        <w:t>POSSIBLE 2026: Spatiotemporal analysis of montado land cover dynamics in southern Portugal: the influence of anthropogenic and natural disturbances — https://doi.org/10.1007/s10457-026-01564-x</w:t>
      </w:r>
    </w:p>
    <w:p>
      <w:r>
        <w:t>Shared claim-specific concepts: show, area, montado, but, land, use; EU scope visible. This is a provisional connection, not an outcome finding.</w:t>
      </w:r>
    </w:p>
    <w:p>
      <w:r>
        <w:t>Available abstract (not full text): Abstract The montado is a traditional agroforestry system in Portugal that combines cork or holm oak trees with pastures and crops. It provides multiple ecosystems services and supports rural livelihoods. However, in recent decades, the montado has faced several threats that have caused its decline and degradation. Here, we analyse the recent changes in montado cover—between 2006 and 2018—and assess the main drivers and processes of change. We used a 2006 montado cover map as a baseline and overlayed it with aerial photographs of 2018, examining the montado areas for land use shifts by installation of intensive crops, wildfire occurrences or tree plantations. Our results show that the montado covered 1,189,390 hectares (ha) in 2018, and that there was a decrease of the montado area from 2006 by 31,312 ha (95% CI 29,706–32,943 ha), declining at an annual loss of 2609 ha (0.21% year −1 ; 95% CI 0.201–0.223% year −1 ). Although this is a slower rate compared to an early analysis, the impact of large-scale events (record burned areas) and infrastructure (large dam) likely explains it. The montado area shifts were mainly caused by wildfires (70%), the opening or broadening of clearings due to tree mortality (18%) and the new installations of intensive crops (olive or almond groves and irrigated cereals—8.4%). Most of the analysed quadrats (60%) exhibited one category of loss in mont</w:t>
      </w:r>
    </w:p>
    <w:p>
      <w:r>
        <w:t>POSSIBLE 2026: Adapting Mediterranean Agroforestry to Global Change: Trade-Offs and Lessons from the Montado — https://doi.org/10.3390/su18062725</w:t>
      </w:r>
    </w:p>
    <w:p>
      <w:r>
        <w:t>Shared claim-specific concepts: montado, but, resilience; EU scope not established. This is a provisional connection, not an outcome finding.</w:t>
      </w:r>
    </w:p>
    <w:p>
      <w:r>
        <w:t>Available abstract (not full text): The Montado, a traditional Mediterranean agro-silvopastoral system, has historically sustained ecological and economic functions through the integration of trees, livestock, and crops. Today, its multifunctionality is increasingly threatened by climate variability, market volatility, and evolving policy frameworks. While previous research has examined Montado dynamics at landscape or plot scales, less attention has been paid to sustainability trajectories at the farm level, where management decisions are made. This study bridges that gap by assessing the sustainability dynamics of farms through a participatory, typology based, scenario approach grounded in a regional typology. We characterized three representative farm archetypes (forestry-focused, mixed agro-silvopastoral, and livestock-focused) and evaluated their trajectories under plausible future scenarios driven by climate, market, and policy pressures. Scenario outcomes were assessed using expert-based scoring (five-point scale), revealing score differences of up to two points across sustainability dimensions between farm archetypes and scenarios. Findings reveal marked trade-offs: Tree-focused farms maintain high environmental value but remain vulnerable to market and labor constraints, while livestock-specialized farms achieve higher economic output at the expense of ecological integrity. Mixed systems demonstrate grea</w:t>
      </w:r>
    </w:p>
    <w:p>
      <w:r>
        <w:t>POSSIBLE 2025: Esa-Ecosystemadapt, a Tool for Decision Support and Management of Montado Areas — https://openalex.org/W7163629007</w:t>
      </w:r>
    </w:p>
    <w:p>
      <w:r>
        <w:t>Shared claim-specific concepts: montado, resilience; EU scope not established. This is a provisional connection, not an outcome finding.</w:t>
      </w:r>
    </w:p>
    <w:p>
      <w:r>
        <w:t>Available abstract (not full text): In a response to the recent adverse impacts of climate change on agricultural production, various management practices have been implemented to mitigate these effects, aiming to ensure a longterm sustainability and resilience in food systems.Among these practices, agroforestry systems have emerged as a key strategy, recognized for their ability to enhance biodiversity, improve soil health, and sequester carbon, thereby contributing to the climate change mitigation.These systems, which integrate the trees and shrubs into the agricultural landscapes, are now acknowledged within the eco-schemes and supported by the policy initiatives to promote sustainable farming practices.</w:t>
      </w:r>
    </w:p>
    <w:p>
      <w:r>
        <w:t>POSSIBLE 2023: Reduced grazing and changes in the area of agroforestry in Europe — https://doi.org/10.3389/fenvs.2023.1258697</w:t>
      </w:r>
    </w:p>
    <w:p>
      <w:r>
        <w:t>Shared claim-specific concepts: show, area, but, land, use; EU scope visible. This is a provisional connection, not an outcome finding.</w:t>
      </w:r>
    </w:p>
    <w:p>
      <w:r>
        <w:t>Available abstract (not full text): Agroforestry integrates woody vegetation with crop and/or livestock production to benefit from the ecological and economic interactions. The objective of this paper is to systematically determine the spatial distribution of agroforestry in the EU, and changes in the areas and types of agroforestry from 2009 to 2018. This was achieved using the Land Use/Cover Area Statistical (LUCAS) dataset. Agroforestry was categorised into silvopastoral, silvoarable, agrosilvopastoral, grazed permanent crops, intercropped permanent crops and kitchen gardens systems. In our categorisation of ‘agroforestry’, sites combing trees and shrubs with understorey grass or forage were required to show evidence of grazing. In 2018, the total area of agroforestry in the EU28 was 114,621 km2 equivalent to 6.4% of the utilised agricultural area (UAA), and a majority located in the Mediterranean bioregion. Silvopastoral was the most widespread system, representing 81% of the total agroforestry area (5% of UAA), with almost a third of that area present in Spain. An initial analysis of the LUCAS data suggested that the area of agroforestry increased from 2009 to 2012, before declining from 2012 to 2018. However our subsequent analysis suggests that the area of agroforestry in 2009 was underestimated due to a mis-categorisation of some grazing areas. After making corrections, we calculated that the area of agro</w:t>
      </w:r>
    </w:p>
    <w:p>
      <w:r>
        <w:t>POSSIBLE 2023: Pasture Quality Monitoring Based on Proximal and Remote Optical Sensors: A Case Study in the Montado Mediterranean Ecosystem — https://doi.org/10.3390/agriengineering5010025</w:t>
      </w:r>
    </w:p>
    <w:p>
      <w:r>
        <w:t>Shared claim-specific concepts: show, montado, case; EU scope visible. This is a provisional connection, not an outcome finding.</w:t>
      </w:r>
    </w:p>
    <w:p>
      <w:r>
        <w:t xml:space="preserve">Available abstract (not full text): Permanent dryland pastures are the basis of animal feed in extensive grazing systems. Seasonality and inter-annual climatic variability, associated with shallow, acidic, and not very fertile soils, result in low productivity and rapid degradation of pasture quality, which requires the supplementation of animal feed. In this study, carried out in a biodiverse pasture field in the Mediterranean region of southern Portugal, the vegetation index (NDVI, Normalized Difference Vegetation Index) obtained from measurements performed by a proximal optical sensor (PS) and satellite images (RS) was used to assess pasture quality parameters (pasture moisture content, PMC, crude protein, CP, and neutral detergent fiber, NDF). The monitoring was carried out throughout the 2021/2022 pasture growing season. Significant correlations were obtained between the NDVI obtained by PS and RS (R2 of 0.84) and the reference values of pasture parameters obtained in laboratory protocols: PMC (R2 of 0.88 and 0.78, respectively), CP (R2 of 0.67 and 0.63, respectively), and NDF (R2 of 0.50 and 0.46, respectively). This case study also demonstrated the spatial and temporal variability of vegetative vigour and, consequently, of pasture quality in the Montado, the characteristic Mediterranean ecosystem. These results show the pertinence of these technologies in supporting the decision-making process of the farm </w:t>
      </w:r>
    </w:p>
    <w:p>
      <w:r>
        <w:t>POSSIBLE 2022: A Technological Approach to Support Extensive Livestock Management in the Portuguese Montado Ecosystem — https://doi.org/10.3390/agronomy12051212</w:t>
      </w:r>
    </w:p>
    <w:p>
      <w:r>
        <w:t>Shared claim-specific concepts: area, montado, use; EU scope visible. This is a provisional connection, not an outcome finding.</w:t>
      </w:r>
    </w:p>
    <w:p>
      <w:r>
        <w:t>Available abstract (not full text): Extensive livestock production systems based on improved pastures under Montado of Holm oaks represent an approach in line with the challenges of sustainability and biodiversity. The increasing incorporation of technologies in the monitoring of this ecosystem allows for a better knowledge of the spatial and temporal variability and, consequently, a more economically profitable management. In this study, between July 2020 and June 2021, soil and pastures were monitored in a 20 ha Montado area located in Alentejo (Southern Portugal) and used for extensive grazing of cattle. The survey of soil apparent electrical conductivity (ECa), the application of algorithms for definition of homogeneous management zones (HMZ), the use of indices obtained from satellite imagery time series to characterize the evolution of pasture quality and the soil and pasture sampling, including the identification of bio-indicator botanical species, were the basis of this exploratory study, allowing a holistic approach to this complex soil-pasture-trees and animals ecosystem. In the near future, this knowledge could represent an important milestone in providing decision-making support systems to farm managers in terms of smart sampling, differential application of fertilizers, amendments or seeds, choosing the best spacing and density of trees in this ecosystem, promoting dynamic grazing, or identifying the</w:t>
      </w:r>
    </w:p>
    <w:p>
      <w:r>
        <w:t>POSSIBLE 2021: Silvopasture policy promotion in European Mediterranean areas — https://doi.org/10.1371/journal.pone.0245846</w:t>
      </w:r>
    </w:p>
    <w:p>
      <w:r>
        <w:t>Shared claim-specific concepts: show, area, montado, land, use; EU scope visible. This is a provisional connection, not an outcome finding.</w:t>
      </w:r>
    </w:p>
    <w:p>
      <w:r>
        <w:t>Available abstract (not full text): Silvopasture is the deliberate integration of a woody component with grazed pastures as understorey. It is one of the most extended agroforestry practices all over the world. Silvopasture use is key to increase the sustainability of livestock farming systems as silvopasture reduces the use of concentrates since the woody component provides feed for animals. However, it is not an extensively used practice in Europe. This paper aims at evaluating, from Eurostat, LUCAS database and the 118 rural development programs, the current situation of permanent grasslands in the Mediterranean area of Europe as well as the rural development programmes fostering silvopasture to better understand how sustainable land use systems are promoted and provide insights to foster silvopasture across Europe. The results of this study show that most of the policy measures related to silvopasture are adapted to the local necessity. The already existing agroforestry managed land (dehesas/montado) are related to measures supporting regeneration and maintenance while in those areas where agroforestry does not exist the measures are related to forest fire prevention.</w:t>
      </w:r>
    </w:p>
    <w:p>
      <w:r>
        <w:t>POSSIBLE 2020: Competitiveness of Portuguese Montado Ewe Production Systems among the European Ewe Production Systems — https://doi.org/10.3390/agriculture10050184</w:t>
      </w:r>
    </w:p>
    <w:p>
      <w:r>
        <w:t>Shared claim-specific concepts: montado, but, land; EU scope visible. This is a provisional connection, not an outcome finding.</w:t>
      </w:r>
    </w:p>
    <w:p>
      <w:r>
        <w:t>Available abstract (not full text): The number of ewes in Portugal registers a decrease since 1998. This decrease is felt particularly in the south of the country, which concentrates almost half of the existing ewes, mainly for meat production. One of the most important ewe production systems is the Montado, a High Nature Value ecosystem, occupying ca. 1.2 million ha in Portugal. The competitiveness of this system among the European ewe production systems is an important issue for the future of the Montado ecosystem. So, the objective of this paper is to analyze the ewe production systems in the Montado, using the agri benchmark database, and compare these systems with other European countries’ systems, ranking their competitiveness and efficiency among other systems in the European Union. We concluded that this methodology facilitated an in-depth understanding not only of the competitiveness and efficiency of ewe production systems in Portugal but also of their positioning regarding other systems in the European Union. The pattern of returns assures that these farms are competitive in the sense that they depend on the market on their decisions, and thus it is important that market values sheep products. Nevertheless, the diversification to other income sources would be a good option for the future sustainability of these farms and the opportunities and risks that these systems will deal with in a new green econo</w:t>
      </w:r>
    </w:p>
    <w:p>
      <w:r>
        <w:t>POSSIBLE 2020: The Montado/Dehesa Cow-Calf Production Systems in Portugal and Spain: An Economic and Resources’ Use Approach — https://doi.org/10.3390/land9050148</w:t>
      </w:r>
    </w:p>
    <w:p>
      <w:r>
        <w:t>Shared claim-specific concepts: montado, land, use; EU scope visible. This is a provisional connection, not an outcome finding.</w:t>
      </w:r>
    </w:p>
    <w:p>
      <w:r>
        <w:t>Available abstract (not full text): The Montado in Portugal and Dehesa in Spain is a unique agro-silvo-pastoral system designed to overcome food needs in a scarce resource’s environment. The system competitiveness is not clear and it is now under severe threats, caused by extensification or abandonment of less fertile areas and by intensification in more fertile ones. The aim of the undertaken research is to compare the cow-calf production within these systems in Portugal and Spain, identifying their strengths and weaknesses and the main drivers of their evolution, and to compare these systems with other European countries’ systems, ranking their competitiveness and efficiency among other systems in the EU. The research indicates that Montado/Dehesa farms systems are dependent on the type of farming system, its context and management, i.e., on the decision and its context; so, in a context of Mediterranean land system changes, the future of the Montado/Dehesa ecosystem depends on the ability of the cow-calf production systems to face the future and to perceive the modifications needed to overcome new challenges and take advantage of new opportunities.</w:t>
      </w:r>
    </w:p>
    <w:p>
      <w:r>
        <w:t>POSSIBLE 2019: Valuing and mapping cork and carbon across land use scenarios in a Portuguese montado landscape — https://doi.org/10.1371/journal.pone.0212174</w:t>
      </w:r>
    </w:p>
    <w:p>
      <w:r>
        <w:t>Shared claim-specific concepts: show, area, montado, land, use; EU scope visible. This is a provisional connection, not an outcome finding.</w:t>
      </w:r>
    </w:p>
    <w:p>
      <w:r>
        <w:t>Available abstract (not full text): The ecosystem services approach can inform decision-making by accounting for both short- and long-term benefits from different land use options. Here we used the InVEST toolkit to quantify and map key ecosystem services at the largest publicly-owned agro-silvo-pastoral farmstead in Portugal-a site representative for the montado landscape. We analyzed how Provisioning (cork production) and Regulating &amp; Maintenance (carbon storage and sequestration) services would be affected under three land use change scenarios, which were developed in collaboration with the forest manager of the study area: Cattle Intensification, Forest Improvement, and Residential Development. Results show that increasing cattle or residential development would deliver substantially lower levels of services. We find that extensive management, improvements to forest quality, and promotion of traditional livestock grazing would provide the highest levels of assessed ecosystem services, resulting in 13.5% more carbon storage (worth between $0.34-$7.79 million USD depending on carbon price) and 62.7% more cork production (total value of USD $3.5 million) than the current land use. However, a shift in economic incentives to make sustainable cork harvesting and traditional low-density grazing of smaller ruminants like sheep and goats profitable are likely needed to reward traditional land stewardship and help supp</w:t>
      </w:r>
    </w:p>
    <w:p>
      <w:r>
        <w:t>POSSIBLE 2018: Modelling biodiversity trends in the montado (wood pasture) landscapes of the Alentejo, Portugal — https://doi.org/10.1007/s10980-018-0627-y</w:t>
      </w:r>
    </w:p>
    <w:p>
      <w:r>
        <w:t>Shared claim-specific concepts: area, montado, land, use, case; EU scope visible. This is a provisional connection, not an outcome finding.</w:t>
      </w:r>
    </w:p>
    <w:p>
      <w:r>
        <w:t>Available abstract (not full text): Montados are dynamic agroforestry systems of southern Portugal, with high economic and ecological values. Changes in land use and cover have important implications for landscape-level biodiversity and its conservation. Our objectives were to evaluate the biodiversity values and trends in a montado system in the Alentejo, Portugal so as to inform landscape level conservation approaches. In doing so, we aimed to develop a replicable and robust approach drawing together field observation, expert opinion, and remote sensing to produce predictions relevant to land management planning. Field sampling and subsequent analysis of data on the birds, butterflies and plants in eight distinct land covers allowed the identification of two principal habitat groupings of importance: ‘montado mosaic’ and ‘shrubland’. Morphological spatial pattern analysis was performed on Landsat-derived GIS habitat layers for 1984 and 2009, generating maps and statistics for change in the different landscape functional classes. In addition, we demonstrated how the modelling of ecotones between open and closed biomes can identify the preferred hunting grounds of the threatened Iberian lynx and black vulture, flagship species whose conservation provides benefits to the area’s wider biodiversity values. Total and core area of montado mosaics and shrubland increased over the 25 year period, whilst the amount of ha</w:t>
      </w:r>
    </w:p>
    <w:p>
      <w:r>
        <w:t>POSSIBLE 2018: Monitoring Seasonal Pasture Quality Degradation in the Mediterranean Montado Ecosystem: Proximal versus Remote Sensing — https://doi.org/10.3390/w10101422</w:t>
      </w:r>
    </w:p>
    <w:p>
      <w:r>
        <w:t>Shared claim-specific concepts: show, montado, use; EU scope not established. This is a provisional connection, not an outcome finding.</w:t>
      </w:r>
    </w:p>
    <w:p>
      <w:r>
        <w:t>Available abstract (not full text): Montado is an agro-forestry system occupying a large surface in countries of the Mediterranean region. In this system, the natural dryland pasture is the principal source for animal feed in extensive grazing. The climatic seasonality associated with the inter-annual irregularity of precipitation greatly influences the development of pasture and its vegetative cycle. The end of spring is a critical period in terms of animal feed due to the notable reduction in the nutritive value of the plants. The objective of this work was to evaluate, through the correlation between pasture quality indexes (Pasture Quality Degradation Index, PQDI and Normalized Difference Vegetation Index, NDVI), two technological approaches for monitoring the evolution of the quality of a biodiverse pasture in the period of greatest vegetative development (between February and June). The technological approaches consisted of (i) proximal sensing (PS), with the use of an active optical sensor; and (ii) remote sensing (RS), using images captured by a Sentinel-2 satellite. The results of this study show strong and significant correlations between PQDI and NDVI (obtained by PS or RS). These two techniques (PS or RS) can, therefore, be used in a complementary way to identify and anticipate the food supplementation needs for animals and support farmers in decision making.</w:t>
      </w:r>
    </w:p>
    <w:p>
      <w:pPr>
        <w:pStyle w:val="Heading2"/>
      </w:pPr>
      <w:r>
        <w:t>Assessing the prospective resource base for enhanced geothermal systems in Europe</w:t>
      </w:r>
    </w:p>
    <w:p>
      <w:r>
        <w:t>Original source (2014): https://doi.org/10.5194/gtes-2-55-2014</w:t>
      </w:r>
    </w:p>
    <w:p>
      <w:r>
        <w:t>Original wording (abstract; indexed_source_text_not_full_document_verified): In this study the resource base for EGS (enhanced geothermal systems) in Europe was quantified and economically constrained, applying a discounted cash-flow model to different techno-economic scenarios for future EGS in 2020, 2030, and 2050. Calculations for a typical EGS scenario yield costs of EUR 215 MWh−1 in 2020, EUR 127 MWh−1 in 2030, and EUR 70 MWh−1 in 2050.</w:t>
      </w:r>
    </w:p>
    <w:p>
      <w:r>
        <w:t>POSSIBLE 2026: Seismic interplay during the GRT-1 stimulation series of the Rittershoffen EGS reservoir — https://doi.org/10.3389/feart.2026.1738377</w:t>
      </w:r>
    </w:p>
    <w:p>
      <w:r>
        <w:t>Shared claim-specific concepts: egs, geothermal, applying, different; EU scope visible. This is a provisional connection, not an outcome finding.</w:t>
      </w:r>
    </w:p>
    <w:p>
      <w:r>
        <w:t>Available abstract (not full text): Between April and June 2013, the GRT-1 well, located at the Rittershoffen EGS geothermal site in the Upper Rhine Valley (France), underwent three distinct stimulations: a thermal stimulation, a chemical stimulation, and finally a hydraulic stimulation. These stimulations, in particular the hydraulic stimulation, have been previously explored by several studies. The current study addresses a feature that has been less analyzed: the possible seismic interplay between these stimulations. By applying improved template matching and a relative location method, a comprehensive catalog of more than 3000 seismic events was established, covering the three stimulations. This catalog allows tracking and comparison of reservoir seismogenic responses to successive, yet different, stimulation types with high spatial and temporal precision. We present the evolution of several indicators such as event distribution and clustering, b-value, and seismic injection efficiency across the stimulations. The observed differences raise the question of the relevance of using previous stimulation indicators to anticipate seismogenic behavior during subsequent stimulations. We also evidence simultaneous seismicity migration, decrease of the instantaneous injection index and decrease of the seismic efficiency at the end of the hydraulic stimulation but prior to the most energetic burst of seismicity that occ</w:t>
      </w:r>
    </w:p>
    <w:p>
      <w:r>
        <w:t>POSSIBLE 2025: Feasibility of Enhanced Geothermal Systems (EGS) Development at Bradys Hot Springs, Nevada — https://doi.org/10.2172/3021439</w:t>
      </w:r>
    </w:p>
    <w:p>
      <w:r>
        <w:t>Shared claim-specific concepts: egs, enhanced, geothermal, systems; EU scope not established. This is a provisional connection, not an outcome finding.</w:t>
      </w:r>
    </w:p>
    <w:p>
      <w:r>
        <w:t>Available abstract (not full text): The Bradys EGS project focused on utilizing EGS technology to improve permeability in an existing non-productive well (15-12 ST1, located on BLM land) at Ormat’s Bradys geothermal facility in Churchill County, Nevada. The Bradys geothermal field is located within the Hot Springs Mountains, approximately 50 miles northeast of Reno, NV, along the western boundary of a very large intermontane basin known as the Carson Sink. It is one of several producing geothermal areas in the region; the Desert Peak, Stillwater, Soda Lake, and Salt Wells geothermal projects also lie within the Carson Sink, which is a region of high heat flow characterized by prominent NNE-striking faults that have formed in response to regional extension within the Basin and Range geologic province.</w:t>
      </w:r>
    </w:p>
    <w:p>
      <w:r>
        <w:t>POSSIBLE 2023: EGS development in Europe based on operational geothermal projects — https://doi.org/10.1201/9781003271475-2</w:t>
      </w:r>
    </w:p>
    <w:p>
      <w:r>
        <w:t>Shared claim-specific concepts: resource, egs, enhanced, geothermal, systems; EU scope visible. This is a provisional connection, not an outcome finding.</w:t>
      </w:r>
    </w:p>
    <w:p>
      <w:r>
        <w:t>Available abstract (not full text): Enhanced geothermal systems (EGS) appear as a tangible solution for developing decarbonized electricity production and/or renewable heat at high temperatures for industry in Europe. Based on operational geothermal plants (Soultz-sous-Forêts, Rittershoffen) located in the Upper Rhine Graben (URG), it turns out that thermo-hydro or chemical stimulation techniques could be applied to naturally fractured reservoirs to enhance the hydraulic performance of the geothermal wells. However, the main challenge for EGS is the potential occurrence of induced seismicity related to post-drilling hydraulic stimulation or done during sustainable geothermal exploitation, which could generate severe societal concerns. Moreover, after several years of geothermal exploitation in the URG, there is a very low environmental impact characterized by negligible carbon dioxide emissions. As the exploited geothermal resource trapped in the fractured crystalline reservoirs is a Li-rich brine, it is likely in the near future that geothermal lithium for batteries could be produced with a neutral carbon footprint.</w:t>
      </w:r>
    </w:p>
    <w:p>
      <w:r>
        <w:t>POSSIBLE 2022: Hydraulic stimulation strategies in enhanced geothermal systems (EGS): a review — https://doi.org/10.1007/s40948-022-00516-w</w:t>
      </w:r>
    </w:p>
    <w:p>
      <w:r>
        <w:t>Shared claim-specific concepts: egs, enhanced, geothermal, systems; EU scope not established. This is a provisional connection, not an outcome finding.</w:t>
      </w:r>
    </w:p>
    <w:p>
      <w:r>
        <w:t>Available abstract (not full text): Abstract In enhanced geothermal systems (EGS), the natural permeability of deep rocks is normally not high enough and needs to be increased. Permeability increase can be achieved through various stimulation methods, such as hydraulic, chemical, and thermal stimulation. Among these, hydraulic stimulation is the most commonly used technique to increase both reservoir permeability and the specific area for heat exchange. A comprehensive understanding of the underlying processes towards an optimization of hydraulic stimulation performance while minimizing the potential of unwanted induced seismicity is a critical prerequisite for a successful development of any EGS site. In this paper, we review the hydraulic stimulation strategies that have been developed and implemented for EGS. We begin with a description of the underlying mechanisms through which the permeability and heat exchange area increases are achieved. We then discuss the mechanisms of fluid injection-induced seismicity during and after a hydraulic stimulation operation. After that, alternative hydraulic stimulation strategies, namely conventional hydraulic stimulation, multi-stage fracturing, and cyclic soft stimulation, are reviewed based on current research in theoretical studies as well as, laboratory, and in-situ field experiments. Finally, some representative EGS projects are reviewed, focusing on fluid injection s</w:t>
      </w:r>
    </w:p>
    <w:p>
      <w:r>
        <w:t>POSSIBLE 2021: The importance of tectonic inheritance and reactivation in geothermal energy exploration for EGS resources in SW England — https://openalex.org/W3092617703</w:t>
      </w:r>
    </w:p>
    <w:p>
      <w:r>
        <w:t>Shared claim-specific concepts: egs, enhanced, geothermal, different; EU scope not established. This is a provisional connection, not an outcome finding.</w:t>
      </w:r>
    </w:p>
    <w:p>
      <w:r>
        <w:t>Available abstract (not full text): Exploration for Enhanced Geothermal System (EGS) resources has long sought natural deep fractured reservoirs. The Upper Rhine Graben is the most studied area for these targets including the successful geothermal plants at Soultz-sous-Forêts, Bruchsal, Insheim, Landau and Rittershoffen (Genter et al., 2010; Vidal et al., 2017). Previous geothermal projects, such as the Hot Dry Rock project at Rosemanowes (1977-1991) in Cornwall (SW England), targeted areas that lacked major faults and fractures (Barker et al., 2000). The Upper Rhine Graben was incepted during Eocene-Oligocene rifting in a NNE-SSW orientation that underwent Miocene sinistral reactivation (Schumacher, 2002). However, structural inheritance from dextrally reactivated Variscan ENE-WSW faults during the Miocene may also contribute to the reservoir (Bertrand et al., 2017). Geothermal energy exploration is currently experiencing a revival in SW England, targeting EGS resources within deep granitehosted fault zones. Two deep wells have been drilled at the United Downs Deep Geothermal Power Project to depths of approximately 5.0 and 2.5 km near Redruth and Eden-EGS Energy have advanced plans for deep geothermal wells near St Austell. The geology of SW England comprises several E-W-trending Devonian-Carboniferous sedimentary basins that were deformed during the Variscan orogeny (Carboniferous) and intruded by the Cornubia</w:t>
      </w:r>
    </w:p>
    <w:p>
      <w:r>
        <w:t>POSSIBLE 2020: Stochastic workflows for the evaluation of Enhanced Geothermal System (EGS) potential in geothermal greenfields with sparse data: the case study of Acoculco, Mexico — https://doi.org/10.1016/j.geothermics.2020.101879</w:t>
      </w:r>
    </w:p>
    <w:p>
      <w:r>
        <w:t>Shared claim-specific concepts: resource, egs, enhanced, geothermal, systems, different; EU scope not established. This is a provisional connection, not an outcome finding.</w:t>
      </w:r>
    </w:p>
    <w:p>
      <w:r>
        <w:t>Available abstract (not full text): This paper presents a workflow for resource characterization and assessment of exploration geothermal fields with minimum data. Our approach utilizes stochastic methods to estimate the temperature distribution at potential target depths by focusing on the impact of uncertain input parameters such as thermal conductivity and porosity. We first perform stochastic forward simulations to determine the initial steady-state thermal field and subsequently quantify the uncertainty via a Monte Carlo approach known as Sequential Gaussian Simulation (SGSim). Next, we analyze the in-field likelihood of success for Enhanced Geothermal Systems by simulating hypothetical energy production scenarios based on existing geothermal installations. This approach is applied to the case study of a Hot Dry Rock geothermal field with two exploration wells, located in Acoculco, Mexico. Data scarcity in this field necessitates the use of stochastic methods for plausible prediction of reservoir temperature used to determine the accessible thermal power. Once reliable temperature estimates are obtained at potential target depths, we simulate production scenarios by assuming a prior successful stimulation process in the existing wells. In addition to providing preliminary estimates of thermal power for different injection/production rates, stimulated volumes and created permeability, we present the long-term</w:t>
      </w:r>
    </w:p>
    <w:p>
      <w:r>
        <w:t>POSSIBLE 2019: Enhanced geothermal system (EGS) well stimulation design and simulation using DFN-based model: Newberry EGS case study — https://openalex.org/W2964883730</w:t>
      </w:r>
    </w:p>
    <w:p>
      <w:r>
        <w:t>Shared claim-specific concepts: egs, enhanced, geothermal, different; EU scope visible. This is a provisional connection, not an outcome finding.</w:t>
      </w:r>
    </w:p>
    <w:p>
      <w:r>
        <w:t>Available abstract (not full text): A conceptual model of the Newberry EGS (Enhanced Geothermal System) project stimulation program for well NWG 55-29 has been developed.A discrete fracture network (DFN) model is embedded in the simulation to investigate effect of in situ stress state and natural fractures or faults properties.The local in situ stress information has been revisited and a new interpretation is proposed.Simulation results using the conceptual model are compared to a case of previously published stress information.To revisit the stress determination, compressive failure around a wellbore has been analyzed and different modes of breakouts were distinguished.Incorporating temperature change, a simple compressive failure model based on Mohr-Coulomb failure criterion for inclined wellbores has been developed.The model has been first used to perceive compressive failure profile when breakouts and tensile wall fractures simultaneously occurred at a wellbore from a well at Visund Field in the North Sea.The model illustrates distinct profiles at the direction of breakouts and tensile wall fractures.Further, it is also applied to well GPK2 at the Soultz geothermal field in France, where thermally induced or mode-X breakout has been observed.Different modes of compressive wellbore failure are observed, B-mode for conventional breakout and X-mode for breakout at the opposite side as compressive failure happeni</w:t>
      </w:r>
    </w:p>
    <w:p>
      <w:r>
        <w:t>POSSIBLE 2019: An In‐Depth Seismological Analysis Revealing a Causal Link Between the 2017 MW 5.5 Pohang Earthquake and EGS Project — https://doi.org/10.1029/2019jb018368</w:t>
      </w:r>
    </w:p>
    <w:p>
      <w:r>
        <w:t>Shared claim-specific concepts: egs, enhanced, geothermal, systems; EU scope not established. This is a provisional connection, not an outcome finding.</w:t>
      </w:r>
    </w:p>
    <w:p>
      <w:r>
        <w:t>Available abstract (not full text): Abstract Hydraulic injection by the Pohang enhanced geothermal systems (EGSs) has been suspected to trigger the 2017 moment magnitude (MW) 5.5 Pohang earthquake in South Korea. The last stimulation experiment in the EGS was conducted only 2 months before the disaster, which has led to this suspicion. In this study, we conducted a seismic analysis on the earthquakes that have occurred around the EGS site in the past 10 years. The study included the construction of a velocity model, earthquake detection, the determination of hypocenters, magnitudes, focal mechanisms, and stress inversion, and a clustering analysis. No seismic activity was detected near the study area until November 2015 when there was a loss of a large quantity of heavy drilling mud. For three stimulations of a geothermal well, earthquakes sequentially migrated to the southwest along a fault plane, leading to the location of the mainshock. The delineated fault plane crossed the injection well at approximately 3,800 m, which corresponds to the borehole interval of not only the mud loss but also the breakage of the well's casing due to the mainshock rupture. These findings can be treated as empirical evidence for the hypothesis that the 2017 MW 5.5 Pohang earthquake was initiated on a critically stressed fault zone by the anthropogenic activity of fluid injection, consequentially releasing accumulated strain energy</w:t>
      </w:r>
    </w:p>
    <w:p>
      <w:r>
        <w:t>POSSIBLE 2019: APPLIED GEOSTATISTICS TO THE ASSESSMENT OF ENHANCED GEOTHERMAL SYSTEM (EGS) IN CENTRAL SUMATERA BASIN — https://doi.org/10.47599/bsdg.v14i2.284</w:t>
      </w:r>
    </w:p>
    <w:p>
      <w:r>
        <w:t>Shared claim-specific concepts: egs, enhanced, geothermal; EU scope not established. This is a provisional connection, not an outcome finding.</w:t>
      </w:r>
    </w:p>
    <w:p>
      <w:r>
        <w:t>Available abstract (not full text): Thick sediment (over 2,500 m), fractured basement and high thermal gradient (up to 19.10 C/100 m) of Central Sumatra Basin are suitable factors to have the Enhanced Geothermal System (EGS) potential. A number of 130 wells data were used to evaluate the EGS of the basin. The assessment is divided into the number of estimation within the grid cell (1x1 km) of sediment thickness, heat flow, thermal conductivity and technical potential calculated starting from basement-sediment layer interface. The distribution of heat flow and gradient thermal values correspond to the sediment layer. The autocorrelation test indicates the data is stationary. The variance of data gets bigger after a depth over 5.5 km. According to the Beardsmore protocol, the technical potential value ranged from 0.5 MW up to 4.7 MW at a depth of 3.5 km. In addition, the lowest technical potential is 0.66 MW and the highest is 5.76 MW at a depth of 4.5 km. The ordinary kriging, using the number of lags 10 in variogram modeling, estimated the technical potential distribution is higher to the southwest.</w:t>
      </w:r>
    </w:p>
    <w:p>
      <w:r>
        <w:t>POSSIBLE 2018: Seismic Analysis of Spatio-Temporal Fracture Generation During EGS Resource Development — https://doi.org/10.2172/1479656</w:t>
      </w:r>
    </w:p>
    <w:p>
      <w:r>
        <w:t>Shared claim-specific concepts: resource, egs, enhanced, geothermal; EU scope not established. This is a provisional connection, not an outcome finding.</w:t>
      </w:r>
    </w:p>
    <w:p>
      <w:r>
        <w:t>Available abstract (not full text): This DOE GTO funded project was a collaborative effort between Array Information Technology and the University of California at Berkeley. The project goal is to improve technology to assess in-situ stress magnitude and orientation, kinematic fracture parameters, rupture size, rupture orientation as well as temporal changes and volumetric distribution of the injected fluid during Enhanced Geothermal System (EGS) resource development. The project leveraged high-frequency seismic data recorded by the LBNL 34-station permanent geophone network and seismic broadband data recorded by a temporary 33-station seismometer network that operated in The Geysers during the injection phase of the DOE GTO funded EGS demonstration project at the well Prati-32. The operation of the broadband network with high station density and good azimuthal coverage to monitor the injection phase produced an unprecedented dataset that is typically unavailable for EGS operations. The two datasets offer the advantages of studying the parameters under investigation over a broader frequency band and the higher sensitivity of the broadband seismometers resulted in a richer dataset with a lower magnitude of completeness. Moment tensor (MT) inversion have been employed to develop a catalog of earthquake source solutions including moment tensor and finite source rupture area. This resulted in a 168-event waveform-bas</w:t>
      </w:r>
    </w:p>
    <w:p>
      <w:r>
        <w:t>POSSIBLE 2017: Assessment of the resource base for engineered geothermal systems in Great Britain — https://doi.org/10.1186/s40517-017-0066-z</w:t>
      </w:r>
    </w:p>
    <w:p>
      <w:r>
        <w:t>Shared claim-specific concepts: resource, base, egs, geothermal, systems, different; EU scope not established. This is a provisional connection, not an outcome finding.</w:t>
      </w:r>
    </w:p>
    <w:p>
      <w:r>
        <w:t>Available abstract (not full text): An assessment of the engineered geothermal system (EGS) resource base that might be available for the generation of electricity for Great Britain has been undertaken by adopting a globally self-consistent protocol that if universally adopted, would allow estimates of EGS made for different countries and regions to be comparable. Maximum estimated temperatures at depths of 5 and 7 km are greater than 200 and 300 °C respectively, a considerable increase over previous estimates. The total heat in place in the basement, to a depth of 9.5 km that is theoretically available for EGS is 357,197 EJ. If it were possible to develop just 2% of this resource, this would be equivalent to 1242 times the final UK energy consumption in 2015. The theoretical and technical potential power has been calculated from the available heat in place. The total technical potential power, to a depth of 6.5 km, is 222,393 MW e and represents just 0.4% of the theoretical potential power. Current EGS exploitation is more likely to be restricted to a depths of around 4.5 km and reservoir temperatures greater than 175 °C. In which case technical potential power is mainly restricted to regions of high heat producing granites and represents a total technical potential power of 2280 MW e . However, improvements in drilling technology are expected to enable economic drilling to depths of 7 km or greater that will en</w:t>
      </w:r>
    </w:p>
    <w:p>
      <w:r>
        <w:t>POSSIBLE 2016: A Selection Method for Power Generation Plants Used for Enhanced Geothermal Systems (EGS) — https://doi.org/10.3390/en9080597</w:t>
      </w:r>
    </w:p>
    <w:p>
      <w:r>
        <w:t>Shared claim-specific concepts: egs, enhanced, geothermal, systems; EU scope not established. This is a provisional connection, not an outcome finding.</w:t>
      </w:r>
    </w:p>
    <w:p>
      <w:r>
        <w:t>Available abstract (not full text): As a promising and advanced technology, enhanced geothermal systems (EGS) can be used to generate electricity using deep geothermal energy. In order to better utilize the EGS to produce electricity, power cycles’ selection maps are generated for people to choose the best system based on the geofluids’ temperature and dryness conditions. Optimizations on double-flash system (DF), flash-organic Rankine cycle system (FORC), and double-flash-organic Rankine cycle system (DFORC) are carried out, and the single-flash (SF) system is set as a reference system. The results indicate that each upgraded system (DF, FORC, and DFORC) can produce more net power output compared with the SF system and can reach a maximum net power output under a given geofluid condition. For an organic Rankine cycle (ORC) using R245fa as working fluid, the generated selection maps indicate that using the FORC system can produce more power than using other power cycles when the heat source temperature is below 170 °C. Either DF or DFORC systems could be an option if the heat source temperature is above 170 °C, but the DF system is more attractive under a relatively lower geofluid’s dryness and a higher temperature condition.</w:t>
      </w:r>
    </w:p>
    <w:p>
      <w:pPr>
        <w:pStyle w:val="Heading2"/>
      </w:pPr>
      <w:r>
        <w:t>Climate change signal of future climate projections for Aachen, Germany, in terms of temperature and precipitation</w:t>
      </w:r>
    </w:p>
    <w:p>
      <w:r>
        <w:t>Original source (2014): https://doi.org/10.1127/0941-2948/2014/0549</w:t>
      </w:r>
    </w:p>
    <w:p>
      <w:r>
        <w:t>Original wording (abstract; indexed_source_text_not_full_document_verified): A multi-model ensemble of regional climate projections is used to estimate the climate change signal in terms of temperature and precipitation for the city of Aachen, Germany, until the end of the current century.Since the combination of heat and high moisture content in the ambient air is assumed to adversely affect human health, the equivalent temperature is employed as an indicator for heat stress and applied to identify heat waves.As prolonged periods of high temperatures may also cause summer drought, summer precipitation and dry periods are analyzed as well.The study refers to regional climate projections (A1B emission scenario) of the statistical climate models STARII and WETTREG and the dynamical climate models REMO and COSMO-CLM.The model outputs are compared a) with each other in order to assess discrepancies between them and b) with the 30-year baseline period of 1971-2000 in order to estimate future changes in heat load and precipitation patterns for the summer months of June, July and August.Based on median realizations of the model runs, further warming of approximately 1-2 K is expected by the middle of the 21 st century and 3-4 K by 2100.These changes will probably be accompanied by an increase in variance.Maximum temperature shows the greatest enhancement (+1.9 K 2031-2060 and 4.3 K 2071-2100, ensemble mean) causing almost a doubling of (extreme) hot days and a trebling of tropical nights as soon as the middle of the century.According to this temperature development heat waves are likely to last longer and occur more often in future whereas their intensity is not expected to change significantly.An increasing number of heat waves is concurrent with a decreasing amount of rainfall in the summer months until 2100.All four climate projections indicate a decrease in precipitation in summer until 2100 with -17 % on average.The highest decrease is shown by COSMO-CLM with -30 % rainfall in June for the period of 2071-2100.Dry periods are expected to occur 3 times more often at the end of the current century and to last longer by 1 day (COSMO-CLM) to 3 days (WETTREG) compared to the period of 1971-2000.</w:t>
      </w:r>
    </w:p>
    <w:p>
      <w:r>
        <w:t>POSSIBLE 2025: Temporal clusters of extreme events across Europe in a regional multi-scenario/multi-member ensemble — https://doi.org/10.5194/ems2025-464</w:t>
      </w:r>
    </w:p>
    <w:p>
      <w:r>
        <w:t>Shared claim-specific concepts: multi-model, ensemble, regional, climate, precipitation, germany; EU scope visible. This is a provisional connection, not an outcome finding.</w:t>
      </w:r>
    </w:p>
    <w:p>
      <w:r>
        <w:t>Available abstract (not full text): Climate change drives an increase in the frequency of multiple meteorological extreme event types (e.g., extreme precipitation, storms, droughts, heatwaves) by affecting thermodynamic and dynamic processes in the coupled land-atmosphere system. Extreme events like the extended droughts during 2018-2020 in Europe, flooding triggered by extreme precipitation in Germany in 2021, as well as in Valencia and central France in 2024, or prolonged heatwaves in 2003, 2015, 2018, and 2022 across continental Europe had strong adverse impacts on socio-economic systems and the environment. Given a higher frequency of extreme events, it becomes more likely that regions experience consecutive events of the same type (e.g., multi-annual droughts) or different types of extremes, thereby challenging the regions’ short-term coping and recovery ability and long-term resilience.While extreme events are generally well-studied, holistic analyses of typical extreme event sequences are missing. Compound analyses commonly focus on specific combinations or events, but usually miss typical multi-annual sequences of extreme events with the potential for high impacts.Embedded in the EU horizon 2020 project ARSINOE, our analysis addresses the questions: 1) how often these temporal clusters occur and in which constellations, 2) how robust these constellations are, 3) and what role climate change plays in modul</w:t>
      </w:r>
    </w:p>
    <w:p>
      <w:r>
        <w:t>POSSIBLE 2024: Multi-model ensembles for regional and national wheat yield forecasts in Argentina — https://doi.org/10.1088/1748-9326/ad627c</w:t>
      </w:r>
    </w:p>
    <w:p>
      <w:r>
        <w:t>Shared claim-specific concepts: multi-model, regional, climate, used, temperature, precipitation; EU scope visible. This is a provisional connection, not an outcome finding.</w:t>
      </w:r>
    </w:p>
    <w:p>
      <w:r>
        <w:t xml:space="preserve">Available abstract (not full text): Abstract While multi-model ensembles (MMEs) of seasonal climate models (SCMs) have been used for crop yield forecasting, there has not been a systematic attempt to select the most skillful SCMs to optimize the performance of a MME and improve in-season yield forecasts. Here, we propose a statistical model to forecast regional and national wheat yield variability from 1993–2016 over the main wheat production area in Argentina. Monthly mean temperature and precipitation from the four months (August–November) before harvest were used as features. The model was validated for end-of-season estimation in December using reanalysis data (ERA) from the European Centre for Medium-Range Weather Forecasts (ECMWF) as well as for in-season forecasts from June to November using a MME of three SCMs from 10 SCMs analyzed. A benchmark model for end-of-season yield estimation using ERA data achieved a R 2 of 0.33, a root-mean-square error (RMSE) of 9.8% and a receiver operating characteristic (ROC) score of 0.8 on national level. On regional level, the model demonstrated the best estimation accuracy in the northern sub-humid Pampas with a R 2 of 0.5, a RMSE of 12.6% and a ROC score of 0.9. Across all months of initialization, SCMs from the National Centers for Environmental Prediction, the National Center for Atmospheric Research and the Geophysical Fluid Dynamics Laboratory had the highest mean </w:t>
      </w:r>
    </w:p>
    <w:p>
      <w:r>
        <w:t>POSSIBLE 2021: The first multi-model ensemble of regional climate simulations at kilometer-scale resolution, part I: evaluation of precipitation — https://doi.org/10.1007/s00382-021-05708-w</w:t>
      </w:r>
    </w:p>
    <w:p>
      <w:r>
        <w:t>Shared claim-specific concepts: multi-model, ensemble, regional, climate, precipitation; EU scope visible. This is a provisional connection, not an outcome finding.</w:t>
      </w:r>
    </w:p>
    <w:p>
      <w:r>
        <w:t>Available abstract (not full text): Abstract Here we present the first multi-model ensemble of regional climate simulations at kilometer-scale horizontal grid spacing over a decade long period. A total of 23 simulations run with a horizontal grid spacing of $$\sim $$ ∼ 3 km, driven by ERA-Interim reanalysis, and performed by 22 European research groups are analysed. Six different regional climate models (RCMs) are represented in the ensemble. The simulations are compared against available high-resolution precipitation observations and coarse resolution ( $$\sim $$ ∼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a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On average, the multi-model mean shows a reduction of bias from $$\sim \,$$ ∼ −40% at 12 km to $$\sim \,$$ ∼ −3% at 3 km for heavy hourly precipitation in summer. Furthermore, the</w:t>
      </w:r>
    </w:p>
    <w:p>
      <w:r>
        <w:t>POSSIBLE 2021: The first multi-model ensemble of regional climate simulations at kilometer-scale resolution part 2: historical and future simulations of precipitation — https://doi.org/10.1007/s00382-021-05657-4</w:t>
      </w:r>
    </w:p>
    <w:p>
      <w:r>
        <w:t>Shared claim-specific concepts: multi-model, ensemble, regional, climate, precipitation; EU scope not established. This is a provisional connection, not an outcome finding.</w:t>
      </w:r>
    </w:p>
    <w:p>
      <w:r>
        <w:t>Available abstract (not full text): Unavailable</w:t>
      </w:r>
    </w:p>
    <w:p>
      <w:r>
        <w:t>POSSIBLE 2020: Regional climate downscaling over Europe: perspectives from the EURO-CORDEX community — https://doi.org/10.1007/s10113-020-01606-9</w:t>
      </w:r>
    </w:p>
    <w:p>
      <w:r>
        <w:t>Shared claim-specific concepts: multi-model, ensemble, regional, climate, projections; EU scope visible. This is a provisional connection, not an outcome finding.</w:t>
      </w:r>
    </w:p>
    <w:p>
      <w:r>
        <w:t>Available abstract (not full text): Abstract The European CORDEX (EURO-CORDEX) initiative is a large voluntary effort that seeks to advance regional climate and Earth system science in Europe. As part of the World Climate Research Programme (WCRP) - Coordinated Regional Downscaling Experiment (CORDEX), it shares the broader goals of providing a model evaluation and climate projection framework and improving communication with both the General Circulation Model (GCM) and climate data user communities. EURO-CORDEX oversees the design and coordination of ongoing ensembles of regional climate projections of unprecedented size and resolution (0.11° EUR-11 and 0.44° EUR-44 domains). Additionally, the inclusion of empirical-statistical downscaling allows investigation of much larger multi-model ensembles. These complementary approaches provide a foundation for scientific studies within the climate research community and others. The value of the EURO-CORDEX ensemble is shown via numerous peer-reviewed studies and its use in the development of climate services. Evaluations of the EUR-44 and EUR-11 ensembles also show the benefits of higher resolution. However, significant challenges remain. To further advance scientific understanding, two flagship pilot studies (FPS) were initiated. The first investigates local-regional phenomena at convection-permitting scales over central Europe and the Mediterranean in collaboration wi</w:t>
      </w:r>
    </w:p>
    <w:p>
      <w:r>
        <w:t>POSSIBLE 2020: An investigation of weighting schemes suitable for incorporating large ensembles into multi-model ensembles — https://doi.org/10.5194/esd-11-807-2020</w:t>
      </w:r>
    </w:p>
    <w:p>
      <w:r>
        <w:t>Shared claim-specific concepts: multi-model, ensemble, regional, climate, projections, used; EU scope visible. This is a provisional connection, not an outcome finding.</w:t>
      </w:r>
    </w:p>
    <w:p>
      <w:r>
        <w:t xml:space="preserve">Available abstract (not full text): Abstract. Multi-model ensembles can be used to estimate uncertainty in projections of regional climate, but this uncertainty often depends on the constituents of the ensemble. The dependence of uncertainty on ensemble composition is clear when single model initial condition large ensembles (SMILEs) are included within a multi-model ensemble. SMILEs introduce new information into a multi-model ensemble by representing region-scale internal variability, but also introduce redundant information, by virtue of a single model being represented by 50–100 outcomes. To preserve the contribution of internal variability and ensure redundancy does not overwhelm uncertainty estimates, a weighting approach is used to incorporate 50-members of the Community Earth System Model (CESM1.2.2), 50-members of the Canadian Earth System Model (CanESM2), and 100-members of the MPI Grand Ensemble (MPI-GE) into an 88-member Coupled Model Intercomparison Project Phase 5 (CMIP5) multi-model ensemble. The weight assigned to each multi-model ensemble member is based on the member's ability to reproduce observed climate (performance) and scaled by a measure of redundancy (dependence). Surface air temperature (SAT) and sea level pressure (SLP) diagnostics are used to determine the weights, and relationships between present and future diagnostic behavior are discussed. A new diagnostic, estimated forced trend, </w:t>
      </w:r>
    </w:p>
    <w:p>
      <w:r>
        <w:t>POSSIBLE 2020: Evaluation of the Large EURO‐CORDEX Regional Climate Model Ensemble — https://doi.org/10.1029/2019jd032344</w:t>
      </w:r>
    </w:p>
    <w:p>
      <w:r>
        <w:t>Shared claim-specific concepts: ensemble, regional, climate, projections, temperature, precipitation; EU scope visible. This is a provisional connection, not an outcome finding.</w:t>
      </w:r>
    </w:p>
    <w:p>
      <w:r>
        <w:t>Available abstract (not full text): Abstract The use of regional climate model (RCM)‐based projections for providing regional climate information in a research and climate service contexts is currently expanding very fast. This has been possible thanks to a considerable effort in developing comprehensive ensembles of RCM projections, especially for Europe, in the EURO‐CORDEX community (Jacob et al., 2014, 2020). As of end of 2019, EURO‐CORDEX has developed a set of 55 historical and scenario projections (RCP8.5) using 8 driving global climate models (GCMs) and 11 RCMs. This article presents the ensemble including its design. We target the analysis to better characterize the quality of the RCMs by providing an evaluation of these RCM simulations over a number of classical climate variables and extreme and impact‐oriented indices for the period 1981–2010. For the main variables, the model simulations generally agree with observations and reanalyses. However, several systematic biases are found as well, with shared responsibilities among RCMs and GCMs: Simulations are overall too cold, too wet, and too windy compared to available observations or reanalyses. Some simulations show strong systematic biases on temperature, others on precipitation or dynamical variables, but none of the models/simulations can be defined as the best or the worst on all criteria. The article aims at supporting a proper use of these simulat</w:t>
      </w:r>
    </w:p>
    <w:p>
      <w:r>
        <w:t>POSSIBLE 2020: The first multi-model ensemble of regional climate simulations at kilometer-scale resolution, Part I: Evaluation of precipitation — https://doi.org/10.5194/egusphere-egu2020-22378</w:t>
      </w:r>
    </w:p>
    <w:p>
      <w:r>
        <w:t>Shared claim-specific concepts: multi-model, ensemble, regional, climate, precipitation; EU scope visible. This is a provisional connection, not an outcome finding.</w:t>
      </w:r>
    </w:p>
    <w:p>
      <w:r>
        <w:t>Available abstract (not full text): Here we present the first multi-model ensemble of climate simulations at kilometer-scale horizontal resolution over a decade long period. A total of 22 simulations, performed by 21 European research groups are analyzed. Six different regional climate models (RCMs) are represented in the ensemble. The simulations are compared against available high-resolution precipitation observations and coarse resolution (12 km) RCMs with parameterized convection. The model simulations and observations are compared with respect to mean precipitation, precipitation intensity and frequency, and heavy precipitation on daily and hourly timescales in different seasons. The results show that kilometer-scale models produce more realistic representation of precipitation than the coarse resolution RCMs. The most significant improvements are found for heavy precipitation and precipitation frequency on both daily and hourly time scales in the summer season. In general, kilometer-scale models tend to produce more intense precipitation and reduced wet-hour frequency compared to coarse resolution models. Although differences between the model simulations at the kilometer-scale and observations exist, it is evident that they are superior to the coarse-resolution RCMs in the simulation of precipitation in the present-day climate, and thus offer a promising way forward for investigations of climate and climat</w:t>
      </w:r>
    </w:p>
    <w:p>
      <w:r>
        <w:t>POSSIBLE 2020: Precipitation projections of the first multi-model ensemble of regional climate simulations at convection permitting scale — https://doi.org/10.5194/egusphere-egu2020-2687</w:t>
      </w:r>
    </w:p>
    <w:p>
      <w:r>
        <w:t>Shared claim-specific concepts: multi-model, ensemble, regional, climate, projections, used; EU scope visible. This is a provisional connection, not an outcome finding.</w:t>
      </w:r>
    </w:p>
    <w:p>
      <w:r>
        <w:t>Available abstract (not full text): We present a multi-model ensemble of regional climate model scenario simulations run at scales allowing for explicit treatment of convective processes (2-3km) over historical and end of century time slices, providing an overview of future precipitation changes over the Alpine domain within the convection-permitting CORDEX-FPS initiative. The 12 simulations of the ensemble have been performed by different research groups around Europe. The simulations are compared with high resolution observations to assess the performance over the historical period and the ensemble of 12 to 25 km resolution driving models is used as a benchmark. An improvement of the representation of fine scale details of the analyzed fields on a seasonal scale is found, as well as of the onset and peak of the summer diurnal convection. An enhancement of the projected patterns of change and modifications of its sign for the daily precipitation intensity and heavy precipitation over some regions are found with respect to coarse resolution ensemble. A change of the amplitude of the diurnal cycle for precipitation intensity and frequency is also shown, as well also a larger positive change for high to extreme events for daily and hourly precipitation distributions. The results are challenging and promising for further assessment of the local impacts of climate change.</w:t>
      </w:r>
    </w:p>
    <w:p>
      <w:r>
        <w:t>POSSIBLE 2019: Assessing natural variability in RCM signals: comparison of a multi model EURO-CORDEX ensemble with a 50-member single model large ensemble — https://doi.org/10.1007/s00382-019-04755-8</w:t>
      </w:r>
    </w:p>
    <w:p>
      <w:r>
        <w:t>Shared claim-specific concepts: multi-model, ensemble, regional, climate, used, temperature; EU scope visible. This is a provisional connection, not an outcome finding.</w:t>
      </w:r>
    </w:p>
    <w:p>
      <w:r>
        <w:t>Available abstract (not full text): Uncertainties in climate model ensembles are still relatively large. Besides scenario and model response uncertainty, natural variability is another important source of uncertainty. To study regional natural variability on timescales of several decades and more, observations are often too sparse and short. Regional Climate Models (RCMs) can be used to overcome this lack of useful data at high spatial resolutions. In this study, we compare a new 50-member single RCM large ensemble (CRCM5-LE) with an ensemble of 22 EURO-CORDEX models for seasonal temperature and precipitation at 0.11° grid size over Europe—all driven by the RCP 8.5 scenario. This setup allows us to quantify the contribution of natural/model-internal variability on the total uncertainty of a multi-model ensemble. The variability of climate change signals within the two ensembles is compared for three future periods (2020–2049, 2040–069 and 2070–2099). Results show that the single model spread is usually smaller than the multi-model spread for temperature. Similar variabilities can mostly be found in the near future (and to a lesser extent in the mid future) during winter and spring, especially for northern and central parts of Europe. The contribution of internal variability is generally higher for precipitation. In the near future almost all seasons and regions show similar variabilities. In the mid and far futur</w:t>
      </w:r>
    </w:p>
    <w:p>
      <w:r>
        <w:t>POSSIBLE 2019: A multi-model, multi-scenario, and multi-domain analysis of regional climate projections for the Mediterranean — https://doi.org/10.1007/s10113-019-01565-w</w:t>
      </w:r>
    </w:p>
    <w:p>
      <w:r>
        <w:t>Shared claim-specific concepts: multi-model, ensemble, regional, climate, projections, used; EU scope visible. This is a provisional connection, not an outcome finding.</w:t>
      </w:r>
    </w:p>
    <w:p>
      <w:r>
        <w:t xml:space="preserve">Available abstract (not full text): Abstract Observation and model-based studies have identified the Mediterranean region as one of the most prominent climate change “hot-spots.” Parts of this distinctive region are included in several Coordinated Regional Downscaling Experiment (CORDEX) domains such as those for Europe, Africa, the Mediterranean, and the Middle East/North Africa. In this study, we compile and analyze monthly temperature and precipitation fields derived from regional climate model simulations performed over different CORDEX domains at a spatial resolution of 50 km. This unique multi-model, multi-scenario, and multi-domain “super-ensemble” is used to update projected changes for the Mediterranean region. The statistical robustness and significance of the climate change signal is assessed. By considering information from more than one CORDEX domains, our analysis addresses an additional type of uncertainty that is often neglected and is related to the positioning of the regional climate model domain. CORDEX simulations suggest a general warming by the end of the century (between 1 and 5 °C with respect to the 1986–2005 reference period), which is expected to be strongest during summer (up to 7 °C). A general drying (between 10 and 40%) is also inferred for the Mediterranean. However, the projected precipitation change signal is less significant and less robust. The CORDEX ensemble corroborates the </w:t>
      </w:r>
    </w:p>
    <w:p>
      <w:r>
        <w:t>POSSIBLE 2019: A global evaluation of multi‐model ensemble tropical cyclone track probability forecasts — https://doi.org/10.1002/qj.3712</w:t>
      </w:r>
    </w:p>
    <w:p>
      <w:r>
        <w:t>Shared claim-specific concepts: ensemble, regional, terms, high; EU scope visible. This is a provisional connection, not an outcome finding.</w:t>
      </w:r>
    </w:p>
    <w:p>
      <w:r>
        <w:t xml:space="preserve">Available abstract (not full text): Abstract At the Met Office, dynamic ensemble forecasts from the Met Office Global and Regional Ensemble Prediction System (MOGREPS‐G), the European Centre for Medium‐Range Weather Forecasts Ensemble (ECMWF ENS) and National Centers for Environmental Prediction Global Ensemble Forecast System (NCEP GEFS) global ensemble forecast models are post‐processed to identify and track tropical cyclones. The ensemble members from each model are also combined into a 108‐member multi‐model ensemble. Track probability forecasts are produced for named tropical cyclones showing the probability of a location being within 120 km of a named tropical cyclone at any point in the next 7 days, and also broken down into each 24‐hour forecast period. This study presents the verification of these named‐storm track probabilities over a two‐year period across all global tropical cyclone basins, and compares the results from basin to basin. The combined multi‐model ensemble is found to increase the skill and value of the track probability forecasts over the best‐performing individual ensemble (ECMWF ENS), for both overall 7‐day track probability forecasts and 24‐hour track probabilities. Basin‐based and storm‐based verification illustrates that the best performing individual ensemble can change from basin to basin and from storm to storm, but that the multi‐model ensemble adds skill in every basin, and is </w:t>
      </w:r>
    </w:p>
    <w:p>
      <w:pPr>
        <w:pStyle w:val="Heading2"/>
      </w:pPr>
      <w:r>
        <w:t>Douglas‐fir plantations in Europe: a retrospective test of assisted migration to address climate change</w:t>
      </w:r>
    </w:p>
    <w:p>
      <w:r>
        <w:t>Original source (2014): https://doi.org/10.1111/gcb.12604</w:t>
      </w:r>
    </w:p>
    <w:p>
      <w:r>
        <w:t>Original wording (abstract; indexed_source_text_not_full_document_verified): We conclude by applying the partially validated model to climate change scenarios for Europe, demonstrating that climate trends observed over the last three decades warrant changes to current use of Douglas-fir provenances in plantation forestry throughout Western and Central Europe.</w:t>
      </w:r>
    </w:p>
    <w:p>
      <w:r>
        <w:t>POSSIBLE 2022: Integrating nature conservation measures in european forest management – An exploratory study of barriers and drivers in 9 european countries — https://doi.org/10.1016/j.jenvman.2022.116619</w:t>
      </w:r>
    </w:p>
    <w:p>
      <w:r>
        <w:t>Shared claim-specific concepts: climate, current; EU scope visible. This is a provisional connection, not an outcome finding.</w:t>
      </w:r>
    </w:p>
    <w:p>
      <w:r>
        <w:t>Available abstract (not full text): Integrative forest management approaches, aiming to combine the provision of multiple forest ecosystem services in the same forest area, are popular forest management concepts in Europe. Their understanding and application varies, however, across the continent. This paper looks at one dimension of integrative forest management approaches in particular - the integration of nature conservation measures into forest management; focusing on its understanding and application, as well as current and future social, technological, ecological, economic and political factors enabling or hampering this integration. Drawing on 42 qualitative in-depth interviews with national experts and forest practitioners, our study provides insights into the integration of nature conservation measures into forest management systems aimed at wood production and the provision of other forest ecosystem services under various conditions. Across the investigated countries, the main factors perceived to facilitate this integration are the personal motivations and knowledge of forest managers and their long-term economic thinking related to the resilience of the forest in the face of climate and societal change. In turn, the main factors perceived as hampering the integration are current wood-market demands, and a lack of (public) financial incentives. Public pressure is also perceived as an important influenci</w:t>
      </w:r>
    </w:p>
    <w:p>
      <w:r>
        <w:t>POSSIBLE 2020: Differing Trends in United States and European Severe Thunderstorm Environments in a Warming Climate — https://doi.org/10.1175/bams-d-20-0004.1</w:t>
      </w:r>
    </w:p>
    <w:p>
      <w:r>
        <w:t>Shared claim-specific concepts: partially, climate, trends, observed, over, central; EU scope visible. This is a provisional connection, not an outcome finding.</w:t>
      </w:r>
    </w:p>
    <w:p>
      <w:r>
        <w:t>Available abstract (not full text):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r>
        <w:t>POSSIBLE 2019: Social Innovation in Community Energy in Europe: A Review of the Evidence — https://doi.org/10.3389/fenrg.2019.00031</w:t>
      </w:r>
    </w:p>
    <w:p>
      <w:r>
        <w:t>Shared claim-specific concepts: over, last, three;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2017: Life cycle assessment of chitosan production in India and Europe — https://doi.org/10.1007/s11367-017-1290-2</w:t>
      </w:r>
    </w:p>
    <w:p>
      <w:r>
        <w:t>Shared claim-specific concepts: three, use; EU scope visible. This is a provisional connection, not an outcome finding.</w:t>
      </w:r>
    </w:p>
    <w:p>
      <w:r>
        <w:t>Available abstract (not full text): The aim of this article is to present the first life cycle assessment of chitosan production based on data from two real producers located in India and Europe. The goal of the life cycle assessment (LCA) was to understand the main hot spots in the two supply chains, which are substantially different in terms of raw materials and production locations. The LCA is based on consequential modelling principles, whereby allocation is avoided by means of substitution, and market mixes include only flexible, i.e. non-constrained suppliers. The product system is cradle to gate and includes the production of raw materials, namely waste shells from snow crab and shrimp in Canada and India, respectively, the processing of these in China and India and the manufacture of chitosan in Europe and India. Primary data for chitin and chitosan production were obtained from the actual producers, whereas raw material acquisition as well as waste management activities were based on literature sources. The effects of indirect land use change (iLUC) were also included. Impact assessment was carried out at midpoint level by means of the recommended methods in the International Life Cycle Data (ILCD) handbook. In the Indian supply chain, the production of chemicals (HCl and NaOH) appears as an important hot spot. The use of shrimp shells as raw material affects the market for animal feed, resulting in a cr</w:t>
      </w:r>
    </w:p>
    <w:p>
      <w:pPr>
        <w:pStyle w:val="Heading2"/>
      </w:pPr>
      <w:r>
        <w:t>Ensemble projections of future streamflow droughts in Europe</w:t>
      </w:r>
    </w:p>
    <w:p>
      <w:r>
        <w:t>Original source (2014): https://doi.org/10.5194/hess-18-85-2014</w:t>
      </w:r>
    </w:p>
    <w:p>
      <w:r>
        <w:t>Original wording (abstract; indexed_source_text_not_full_document_verified): Through off-line coupling of a hydrological model with an ensemble of bias-corrected climate simulations (IPCC SRES A1B) and a water use scenario (Economy First), long term (1961–2100) ensemble streamflow simulations are generated that account for changes in climate, and the uncertainty therein, and in water consumption. In order to plan suitable adaptation strategies it is important for decision makers to know how drought conditions will develop at regional scales.</w:t>
      </w:r>
    </w:p>
    <w:p>
      <w:r>
        <w:t>POSSIBLE 2026: Towards improved flood prediction: a review of deterministic hydrologic-hydraulic model coupling — https://doi.org/10.1007/s11069-026-07992-3</w:t>
      </w:r>
    </w:p>
    <w:p>
      <w:r>
        <w:t>Shared claim-specific concepts: coupling, hydrological; EU scope visible. This is a provisional connection, not an outcome finding.</w:t>
      </w:r>
    </w:p>
    <w:p>
      <w:r>
        <w:t>Available abstract (not full text): Abstract Flood forecasting is essential for disaster preparedness and risk reduction, particularly in data-scarce regions where purely data-driven models are often infeasible. This scoping review synthesised 94 peer-reviewed studies published between 1994 and 2024, applying the PRISMA framework to trace the evolution of deterministic hydrologic–hydraulic model coupling for flood forecasting. The review shows that HEC-HMS is the most widely used hydrologic model (33%), while HEC-RAS dominates hydraulic applications (45%). Their combination (HEC-HMS + HEC-RAS) appeared in 23 studies and consistently achieved strong predictive performance with coefficients of determination above 0.98 and inundation mapping accuracies of 80–94%. Other effective couplings, such as SWAT–HEC-RAS and CREST–ANUGA, were less frequently applied but demonstrated context-specific advantages. Regional disparities were pronounced, where 78% of studies were concentrated in high-income nations across North America, Europe, and Asia, with Africa contributing fewer than 5%. This imbalance reflects structural barriers such as sparse hydrometric networks, limited access to high-resolution data, and inadequate computational and technical capacity. Case studies from Southern Africa, including the application of HEC-HMS and HEC-RAS in flood-prone catchments, illustrated that deterministic coupling methods can be adapt</w:t>
      </w:r>
    </w:p>
    <w:p>
      <w:r>
        <w:t>POSSIBLE 2026: Coupling water balance and vegetation carbon dynamics in a parsimonious global hydrologic model — https://doi.org/10.1016/j.jhydrol.2026.136520</w:t>
      </w:r>
    </w:p>
    <w:p>
      <w:r>
        <w:t>Shared claim-specific concepts: coupling, water; EU scope not established. This is a provisional connection, not an outcome finding.</w:t>
      </w:r>
    </w:p>
    <w:p>
      <w:r>
        <w:t>Available abstract (not full text): Understanding ecohydrological responses to environmental change requires parsimonious models that can represent interactions between water balance and vegetation carbon uptake. Simple conceptual hydrologic models efficiently simulate runoff and evapotranspiration, but they usually lack dynamic vegetation representation. We extend the abcd monthly water-balance model to simulate coupled water–carbon dynamics by integrating the Horton Index framework with a two-parameter Gross Primary Productivity–Evapotranspiration (GPP–ET) functional relationship. The resulting eight-parameter framework is calibrated using observation-constrained runoff and GPP, while ET is withheld from the calibration objective and evaluated independently. Using GSWP3-W5E5 forcing, FLUXCOM-X BASE GPP and ET, and GRUN-ensemble runoff over 235 global basins, we calibrate the model for 2001–2014 and evaluate it independently for 2015–2019. During validation, the model reproduces GPP robustly, with a median Kling–Gupta Efficiency (KGE) of 0.758 and positive KGE in 97.9% of basins. ET performance is also broadly positive despite not being directly calibrated, with a median validation KGE of 0.673 and positive KGE in 87.7% of basins. Runoff skill is moderate and more heterogeneous, with a median validation KGE of 0.435 and positive KGE in 81.7% of basins. Seasonal-cycle and anomaly analyses show that the model stro</w:t>
      </w:r>
    </w:p>
    <w:p>
      <w:r>
        <w:t>POSSIBLE 2025: Coupling a power system model with a hydrological model improves the representation of sub-monthly hydropower flexibility — https://doi.org/10.1016/j.apenergy.2025.126694</w:t>
      </w:r>
    </w:p>
    <w:p>
      <w:r>
        <w:t>Shared claim-specific concepts: coupling, hydrological, water, account; EU scope visible. This is a provisional connection, not an outcome finding.</w:t>
      </w:r>
    </w:p>
    <w:p>
      <w:r>
        <w:t xml:space="preserve">Available abstract (not full text): Integrating large amounts of variable renewable power generation increases the need for flexible resources in the power system. Hydropower can be a precious asset for managing the variability in the grid. However, it will be subject to evolving constraints related to changes in the water resources and the operation of multi-purpose reservoirs. This study explores the value of coupling a power system model with a hydrological model that represents the operation of hydroelectric dams, to simulate an hourly hydropower schedule consistent with a realistic management of the hydropower reservoirs at the national grid level. We model the French power system with the optimization model EOLES-Dispatch and assess the impact of the coupling with the ORCHIDEE model, which represents hydropower management. We find that this new method allows us to simulate a hydropower schedule closer to the observed production, while power system models tend to overestimate the flexibility of hydropower. Considering a prospective 2050 power mix, we also find that accounting for these additional constraints leads to more frequent unsatisfied demand, which is underestimated by the usual representation of hydropower. Such a coupling of hydrological and power system modeling paves the way for a more robust representation of power dispatch in future power mixes, taking into account the joint evolution of water </w:t>
      </w:r>
    </w:p>
    <w:p>
      <w:r>
        <w:t>POSSIBLE 2024: Coupling Deep Learning and Physically Based Hydrological Models for Monthly Streamflow Predictions — https://doi.org/10.1029/2023wr035618</w:t>
      </w:r>
    </w:p>
    <w:p>
      <w:r>
        <w:t>Shared claim-specific concepts: coupling, hydrological, first, streamflow; EU scope not established. This is a provisional connection, not an outcome finding.</w:t>
      </w:r>
    </w:p>
    <w:p>
      <w:r>
        <w:t>Available abstract (not full text): Abstract This study proposes a new hybrid model for monthly streamflow predictions by coupling a physically based distributed hydrological model with a deep learning (DL) model. Specifically, a simplified hydrological model is first developed by optimally selecting grid cells from a distributed hydrological model according to their soil moisture characteristics. It is then driven by bias corrected general circulation model (GCM) predictions to generate soil moistures for the forecasting months. Finally, model‐simulated soil moisture along with other predictors from multiple sources are used as inputs of the DL model to predict future monthly streamflows. The proposed hybrid model, using the simplified Variable Infiltration Capacity (VIC) as the hydrological model and the combination of Convolutional Neural Network and Gated Recurrent Unit (CNN‐GRU) as the DL model, is applied to predict 1‐, 3‐, and 6‐month ahead reservoir inflows for the Danjiangkou Reservoir in China. The results show that the hybrid model consistently performs better than VIC and CNN‐GRU models with great improvement in Kling‐Gupta efficiency (KGE) values for lead times up to 6 months. Additional tests indicate that hybrid models based on CNN‐GRU outperform those based on LASSO, XGBoost, CNN, and GRU models. Moreover, compared with the distributed hydrological model, the hybrid model greatly reduces the compu</w:t>
      </w:r>
    </w:p>
    <w:p>
      <w:r>
        <w:t>POSSIBLE 2024: Coupling hydrological and sanitation datasets to simulate wastewater-derived contamination in European rivers: Model development and calibration — https://doi.org/10.1016/j.envsoft.2024.106049</w:t>
      </w:r>
    </w:p>
    <w:p>
      <w:r>
        <w:t>Shared claim-specific concepts: coupling, hydrological, water; EU scope visible. This is a provisional connection, not an outcome finding.</w:t>
      </w:r>
    </w:p>
    <w:p>
      <w:r>
        <w:t>Available abstract (not full text): Wastewater treatment plant (WWTP) discharges of microcontaminants have been shown to have negative impacts on freshwater streams, highlighting the need for accurate mapping of wastewater-derived contamination in water bodies across Europe (EU). In this study, we present a fast and open-source code for a microcontaminants fate and transport (MFT) model, capable of simulating contamination at a high resolution (15 arc second scale) across the EU in just 25 seconds. The model was developed using the best publicly available hydrological (HydroSHEDS) and sanitation (UWWTD) datasets and was rigorously calibrated, with a goodness of fit ([[EQUATION]] of 77.5%) that is the largest reported in the literature for MFT models. Importantly, the model demonstrated the ability to predict wastewater-derived contamination in water bodies, making it a valuable tool for planning the upgrade of WWTPs and improving the ecological condition of freshwater streams in the EU.</w:t>
      </w:r>
    </w:p>
    <w:p>
      <w:r>
        <w:t>POSSIBLE 2024: Coupling Hydrological and Economic Model for the Analysis of Staged Growth in Water Management Systems — https://doi.org/10.3390/w16233437</w:t>
      </w:r>
    </w:p>
    <w:p>
      <w:r>
        <w:t>Shared claim-specific concepts: coupling, hydrological, water; EU scope not established. This is a provisional connection, not an outcome finding.</w:t>
      </w:r>
    </w:p>
    <w:p>
      <w:r>
        <w:t>Available abstract (not full text): Planning and managing water resource systems with multipurpose surface reservoirs demand the careful consideration of several critical factors, including system longevity, multiple uses, phased development, substantial financial investments, complex management requirements, uncertainties in predicting future hydrological inputs, and the estimation of economic parameters. Despite the importance of these factors, recent research and software development efforts for water resource system planning and management have predominantly focused on hydrological models. Economic models that describe the phased growth of such systems are often either absent or not fully integrated into decision-making software. Well-established network-based decision support tools, such as MODSIM, AcquaNet, and SIMYLD-II, provide robust hydrological modeling but lack explicit economic sub-models to address the evolving nature of water resource systems over time. This paper introduces a novel approach that combines optimization and simulation techniques to evaluate the multi-year performance of a growing water resource system. By conducting multiple model runs for each phase of system development—each characterized by unique topologies, demand patterns, hydrological conditions, and water delivery preferences—economic analyses are suggested to complete the global evaluation of the system. This comprehensive a</w:t>
      </w:r>
    </w:p>
    <w:p>
      <w:r>
        <w:t>POSSIBLE 2023: Coupling hydrological, habitat and water supply indicators to improve the management of environmental flows — https://doi.org/10.1016/j.scitotenv.2023.165640</w:t>
      </w:r>
    </w:p>
    <w:p>
      <w:r>
        <w:t>Shared claim-specific concepts: coupling, hydrological, water; EU scope visible. This is a provisional connection, not an outcome finding.</w:t>
      </w:r>
    </w:p>
    <w:p>
      <w:r>
        <w:t>Available abstract (not full text): Highly regulated basins have traditionally required management practices to mitigate the negative environmental impacts and ensure human well-being. This paper proposes and assesses environmental and water supply deficit indicators to assist in the management of environmental flows (e-flows). For that, a water allocation model is applied, and hydrological alteration, habitat alteration and water supply indicators are quantified, normalized and integrated into a general basin management indicator. This basin management indicator is analyzed for four management approaches and seven e-flow scenarios in the Júcar River Basin (eastern Spain). Hydrological alteration indicators show a less pronounced alteration in the river sections located upstream of the basin while a higher alteration in the downstream sections. As for the habitat indicators, they experience an improvement compared to the natural regime. Based on the values of the basin management indicator, the best e-flow scenario to adopt in the Júcar River Basin is selected. The indicators proposed in this work are useful for supporting decision-making regarding the planning and management of e-flows in regulated river basins worldwide.</w:t>
      </w:r>
    </w:p>
    <w:p>
      <w:r>
        <w:t>POSSIBLE 2022: A hydrological model to estimate pollution from combined sewer overflows at the regional scale: Application to Europe — https://doi.org/10.1016/j.ejrh.2022.101080</w:t>
      </w:r>
    </w:p>
    <w:p>
      <w:r>
        <w:t>Shared claim-specific concepts: hydrological, first, order; EU scope visible. This is a provisional connection, not an outcome finding.</w:t>
      </w:r>
    </w:p>
    <w:p>
      <w:r>
        <w:t>Available abstract (not full text): Combined Sewer Overflows (CSO) of 671 Functional Urban Areas (FUAs) throughout the European Union + UK (EU28), representing almost half of the EU28 population. CSO loads can be quantified at the local scale through measurements, or with calibrated hydrological models. However, they are difficult to quantify at a large scale (e.g. regional or national), due to a lack of data, and the models used at local scale cannot be applied in the absence of knowledge of the combined sewer (CS) network. This paper presents a 6-parameter lumped hydrological model to simulate a CS network and its overflows, using population and rainfall data of 671 EU28 FUAs. When properly calibrated, the model can predict the CSO hydrographs as well as aggregated CSO descriptors of a catchment with known impervious surface area connected to a CS with a reasonable reliability. When model calibration is not possible, using default values of the parameters enables a first approximation estimate of CSOs, accurate within one order of magnitude, which can be used to support scenario analysis for regional and continental CSO management. At the EU28 scale, the estimated total CSO volume is 5.7·103 Mm3/y, with a dry weather flow content in CSOs of 460 Mm3/y (assuming a dry weather flow of 200 l/population equivalent (PE)/day including sanitary discharges, industrial discharge and infiltration). A collection of case st</w:t>
      </w:r>
    </w:p>
    <w:p>
      <w:r>
        <w:t>POSSIBLE 2020: Glacio‐hydrological model calibration and evaluation — https://doi.org/10.1002/wat2.1483</w:t>
      </w:r>
    </w:p>
    <w:p>
      <w:r>
        <w:t>Shared claim-specific concepts: hydrological, climate, simulations, water, streamflow, account; EU scope not established. This is a provisional connection, not an outcome finding.</w:t>
      </w:r>
    </w:p>
    <w:p>
      <w:r>
        <w:t>Available abstract (not full text): Abstract Glaciers are essential for downstream water resources. Hydrological modeling is necessary for a better understanding and for future projections of the water resources in these rapidly changing systems, but modeling glacierized catchments is especially challenging. Here we review a wealth of glacio‐hydrological modeling studies (145 publications) in catchments around the world. Major model challenges include a high uncertainty in the input data, mainly precipitation, due to scarce observations. Consequently, the risk of wrongly compensating input with model errors in competing snow and ice accumulation and melt process parameterization is particularly high. Modelers have used a range of calibration and validation approaches to address this issue. The review revealed that while a large part (~35%) of the reviewed studies used only streamflow data to evaluate model performances, most studies (~50%) have used additional data related to snow and glaciers to constrain model parameters. These data were employed in a variety of calibration strategies, including stepwise and multi‐signal calibration. Although the primary aim of glacio‐hydrological modeling studies is to assess future climate change impacts, long‐term changes have rarely been taken into account in model performance evaluations. Overall, a more precise description of which data are used how for model evaluation w</w:t>
      </w:r>
    </w:p>
    <w:p>
      <w:r>
        <w:t>POSSIBLE 2020: Review: Sources of Hydrological Model Uncertainties and Advances in Their Analysis — https://doi.org/10.3390/w13010028</w:t>
      </w:r>
    </w:p>
    <w:p>
      <w:r>
        <w:t>Shared claim-specific concepts: hydrological, uncertainty; EU scope not established. This is a provisional connection, not an outcome finding.</w:t>
      </w:r>
    </w:p>
    <w:p>
      <w:r>
        <w:t>Available abstract (not full text): Despite progresses in representing different processes, hydrological models remain uncertain. Their uncertainty stems from input and calibration data, model structure, and parameters. In characterizing these sources, their causes, interactions and different uncertainty analysis (UA) methods are reviewed. The commonly used UA methods are categorized into six broad classes: (i) Monte Carlo analysis, (ii) Bayesian statistics, (iii) multi-objective analysis, (iv) least-squares-based inverse modeling, (v) response-surface-based techniques, and (vi) multi-modeling analysis. For each source of uncertainty, the status-quo and applications of these methods are critiqued in gauged catchments where UA is common and in ungauged catchments where both UA and its review are lacking. Compared to parameter uncertainty, UA application for structural uncertainty is limited while input and calibration data uncertainties are mostly unaccounted. Further research is needed to improve the computational efficiency of UA, disentangle and propagate the different sources of uncertainty, improve UA applications to environmental changes and coupled human–natural-hydrologic systems, and ease UA’s applications for practitioners.</w:t>
      </w:r>
    </w:p>
    <w:p>
      <w:r>
        <w:t>POSSIBLE 2019: Improvement of surface run‐off in the hydrological model ParFlow by a scale‐consistent river parameterization — https://doi.org/10.1002/hyp.13448</w:t>
      </w:r>
    </w:p>
    <w:p>
      <w:r>
        <w:t>Shared claim-specific concepts: hydrological, simulations, water; EU scope not established. This is a provisional connection, not an outcome finding.</w:t>
      </w:r>
    </w:p>
    <w:p>
      <w:r>
        <w:t>Available abstract (not full text): Abstract We propose an improvement of the overland‐flow parameterization in a distributed hydrological model, which uses a constant horizontal grid resolution and employs the kinematic wave approximation for both hillslope and river channel flow. The standard parameterization lacks any channel flow characteristics for rivers, which results in reduced river flow velocities for streams narrower than the horizontal grid resolution. Moreover, the surface areas, through which these wider model rivers may exchange water with the subsurface, are larger than the real river channels potentially leading to unrealistic vertical flows. We propose an approximation of the subscale channel flow by scaling Manning's roughness in the kinematic wave formulation via a relationship between river width and grid cell size, following a simplified version of the Barré de Saint‐Venant equations (Manning–Strickler equations). The too large exchange areas between model rivers and the subsurface are compensated by a grid resolution‐dependent scaling of the infiltration/exfiltration rate across river beds. We test both scaling approaches in the integrated hydrological model ParFlow. An empirical relation is used for estimating the true river width from the mean annual discharge. Our simulations show that the scaling of the roughness coefficient and the hydraulic conductivity effectively corrects overland f</w:t>
      </w:r>
    </w:p>
    <w:p>
      <w:r>
        <w:t>POSSIBLE 2018: Coupling land-use change and hydrologic models for quantification of catchment ecosystem services — https://doi.org/10.1016/j.envsoft.2018.08.029</w:t>
      </w:r>
    </w:p>
    <w:p>
      <w:r>
        <w:t>Shared claim-specific concepts: coupling, use, first; EU scope not established. This is a provisional connection, not an outcome finding.</w:t>
      </w:r>
    </w:p>
    <w:p>
      <w:r>
        <w:t>Available abstract (not full text): Representation of land-use and hydrologic interactions in respective models has traditionally been problematic. The use of static land-use in most hydrologic models or that of the use of simple hydrologic proxies in land-use change models call for more integrated approaches. The objective of this study is to assess whether dynamic feedback between land-use change and hydrology can (1) improve model performances, and/or (2) produce a more realistic quantification of ecosystem services. To test this, we coupled a land-use change model and a hydrologic mode. First, the land-use change and the hydrologic models were separately developed and calibrated. Then, the two models were dynamically coupled to exchange data at yearly time-steps. The approach is applied to a catchment in South Africa. Performance of coupled models when compared to the uncoupled models were marginal, but the coupled models excelled at the quantification of catchment ecosystem services more robustly.</w:t>
      </w:r>
    </w:p>
    <w:p>
      <w:pPr>
        <w:pStyle w:val="Heading2"/>
      </w:pPr>
      <w:r>
        <w:t>Environmental water quantity projections under market-driven and sustainability-driven future scenarios in the Narew basin, Poland</w:t>
      </w:r>
    </w:p>
    <w:p>
      <w:r>
        <w:t>Original source (2014): https://doi.org/10.1080/02626667.2014.888068</w:t>
      </w:r>
    </w:p>
    <w:p>
      <w:r>
        <w:t>Original wording (abstract; indexed_source_text_not_full_document_verified): The aim of this article is to assess the impact of four scenarios combining possible changes in climate, atmospheric carbon dioxide, land use and water use by 2050, on the specific set of ecologically relevant flow regime indicators that define environmental flow requirements in a semi-natural river basin in Poland.</w:t>
      </w:r>
    </w:p>
    <w:p>
      <w:r>
        <w:t>POSSIBLE 2026: Assessing the quality of life in Central and Eastern Europe: a comparative analysis — https://doi.org/10.34659/eis.2026.96.1.1083</w:t>
      </w:r>
    </w:p>
    <w:p>
      <w:r>
        <w:t>Shared claim-specific concepts: aim, article, assess, indicators, environmental; EU scope visible. This is a provisional connection, not an outcome finding.</w:t>
      </w:r>
    </w:p>
    <w:p>
      <w:r>
        <w:t>Available abstract (not full text): The aim of this article is to assess the quality of life (QoL) in Central and Eastern Europe through a comparative analysis that identifies key determinants of well-being and evaluates their relative importance across countries. The study situates the assessment within the unique historical and socio-economic transformation of the region, from centrally planned economies to market-oriented systems and subsequent integration into the European Union. Using 42 indicators grouped into thematic domains, material living conditions, health, education, labour activity, safety, governance, and the environment, the research applies descriptive statistics and the TOPSIS (Technique for Order Preference by Similarity to Ideal Solution) method to construct a composite QoL index and rank eleven countries according to their performance. The findings reveal substantial disparities, with Estonia and Lithuania achieving the highest QoL scores, while Romania and Bulgaria lag behind. The results highlight the decisive influence of income levels, healthcare accessibility, educational attainment, and environmental quality on overall well-being. The paper concludes with evidence-based policy implications, emphasising investment in education, healthcare systems, sustainable infrastructure, and environmental protection as essential pathways to more balanced and inclusive development across the region.</w:t>
      </w:r>
    </w:p>
    <w:p>
      <w:r>
        <w:t>POSSIBLE 2024: Assessing Current Coastal Subsidence at Continental Scale: Insights From Europe Using the European Ground Motion Service — https://doi.org/10.1029/2024ef004523</w:t>
      </w:r>
    </w:p>
    <w:p>
      <w:r>
        <w:t>Shared claim-specific concepts: assess, climate, land; EU scope visible. This is a provisional connection, not an outcome finding.</w:t>
      </w:r>
    </w:p>
    <w:p>
      <w:r>
        <w:t>Available abstract (not full text): Abstract Beside climate‐change‐induced sea‐level rise (SLR), land subsidence can strongly amplify coastal risk in flood‐prone areas. Mapping and quantifying contemporary vertical land motion (VLM) at continental scales has long been a challenge due to the absence of gridded observational products covering these large domains. Here, we fill this gap by using the new European Ground Motion Service (EGMS) to assess the current state of coastal VLM in Europe. First, we compare the InSAR‐based EGMS Ortho (Level 3) with nearby global navigation satellite systems (GNSS) vertical velocity estimates and show that the geodetic reference frame used to calibrate EGMS strongly influences coastal vertical land velocity estimates at the millimeter per year level and this needs to be considered with caution. After adjusting the EGMS vertical velocity estimates to a more updated and accurate International Terrestrial Reference Frame (ITRF2014), we performed an assessment of VLM in European low elevation coastal flood plains (CFPs). We find that nearly half of the European CFP area is, on average, subsiding at a rate faster than 1 mm/yr. More importantly, we find that urban areas and populations located in the CFP experience a near −1 mm/yr VLM on average (excluding the uplifting Fennoscandia region). For harbors, the average VLM is even larger and increases to −1.5 mm/yr on average. This demons</w:t>
      </w:r>
    </w:p>
    <w:p>
      <w:r>
        <w:t>POSSIBLE 2023: Assessing the energy security of European Union countries from two perspectives – A new integrated approach based on MCDM methods — https://doi.org/10.1016/j.apenergy.2023.121443</w:t>
      </w:r>
    </w:p>
    <w:p>
      <w:r>
        <w:t>Shared claim-specific concepts: article, climate, use, environmental; EU scope visible. This is a provisional connection, not an outcome finding.</w:t>
      </w:r>
    </w:p>
    <w:p>
      <w:r>
        <w:t>Available abstract (not full text):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r>
        <w:t>POSSIBLE 2022: Governing artificial intelligence in China and the European Union: Comparing aims and promoting ethical outcomes — https://doi.org/10.1080/01972243.2022.2124565</w:t>
      </w:r>
    </w:p>
    <w:p>
      <w:r>
        <w:t>Shared claim-specific concepts: aim, article, use; EU scope visible. This is a provisional connection, not an outcome finding.</w:t>
      </w:r>
    </w:p>
    <w:p>
      <w:r>
        <w:t>Available abstract (not full text): In this article, we compare the artificial intelligence strategies of China and the European Union, assessing the key similarities and differences regarding what the high-level aims of each governance strategy are, how the development and use of AI is promoted in the public and private sectors, and whom these policies are meant to benefit. We characterize China’s strategy by its primary focus on fostering innovation and a more recent emphasis on “common prosperity,” and the EU’s on promoting ethical outcomes through protecting fundamental rights. Building on this comparative analysis, we consider the areas where the EU and China could learn from and improve upon each other’s approaches to AI governance to promote more ethical outcomes. We outline policy recommendations for both European and Chinese policymakers that would support them in achieving this aim.</w:t>
      </w:r>
    </w:p>
    <w:p>
      <w:r>
        <w:t>POSSIBLE 2022: Assessing the Effectiveness of Selected European Innovation Systems — https://doi.org/10.18778/1508-2008.25.15</w:t>
      </w:r>
    </w:p>
    <w:p>
      <w:r>
        <w:t>Shared claim-specific concepts: aim, article, assess, possible; EU scope visible. This is a provisional connection, not an outcome finding.</w:t>
      </w:r>
    </w:p>
    <w:p>
      <w:r>
        <w:t>Available abstract (not full text): The growing importance of innovation in the modern economy has revived the interest of economic sciences in studies on the mechanisms that govern innovation and its impact on economic development. This growth of interest induced the concept of the national system of innovation (NSI), which occupies an important place in the innovation policy of all developed market economies. The economic literature distinguishes various typologies of innovation systems. The aim of the article is to assess the effectiveness of the system of European integration, the socio‑democratic system, and the mutated system, measured by the level of innovation of the economies that belong to these systems, in 2014 and 2019. The article analyzes the literature on the subject of innovation systems. The method of linear ordering, which makes it possible to build a synthetic measure calculated using the Hellwig method, is used to assess the effectiveness of innovation systems. The article formulates a research hypothesis that the most effective innovation systems are the socio‑democratic system and the system of European integration. This hypothesis has been positively verified.</w:t>
      </w:r>
    </w:p>
    <w:p>
      <w:r>
        <w:t>POSSIBLE 2021: Assessing the Level of Renewable Energy Development in the European Union Member States. A 10-Year Perspective — https://doi.org/10.3390/en14133765</w:t>
      </w:r>
    </w:p>
    <w:p>
      <w:r>
        <w:t>Shared claim-specific concepts: article, assess, possible, set, indicators; EU scope visible. This is a provisional connection, not an outcome finding.</w:t>
      </w:r>
    </w:p>
    <w:p>
      <w:r>
        <w:t>Available abstract (not full text): The global economic development is, to a great extent, dependent on access to large amounts of cheap energy sources. The growing social awareness of ecology and the enormous damage to the Earth’s ecosystem due to the production of energy from conventional sources have forced fundamental changes in the energy sector. Renewable energy is considered to be an opportunity for such changes. The current state of the art allows such changes to be made without restricting economic development. Therefore, activities related to the energy transition are being taken all over the world. The European Union has definitely managed to achieve the most tangible effects in this regard. This article presents the findings of the research aimed at presenting the current state of renewable energy in the European Union and analyzing the changes reported in this sector in the last decade. The research was carried out using a selected set of 11 indicators characterizing renewable energy in individual countries. These indicators were selected on the basis of literature review and own studies of the state of renewable energy and its development prospects. Based on these indicators, changes in the energy structure of individual European Union countries between 2008–2018 were determined. The study is divided into two main stages. The principal components analysis (PCA) was used for the first analysis. In tu</w:t>
      </w:r>
    </w:p>
    <w:p>
      <w:r>
        <w:t>POSSIBLE 2021: Assessing the level of digital maturity of enterprises in the Central and Eastern European countries using the MCDM and Shannon’s entropy methods — https://doi.org/10.1371/journal.pone.0253965</w:t>
      </w:r>
    </w:p>
    <w:p>
      <w:r>
        <w:t>Shared claim-specific concepts: article, possible; EU scope visible. This is a provisional connection, not an outcome finding.</w:t>
      </w:r>
    </w:p>
    <w:p>
      <w:r>
        <w:t>Available abstract (not full text): The process of global economic digitalization is a natural stage of evolutionary changes resulting from a dynamic development of information and communication technologies. Having appreciated the importance and advantages of digital transformation, individual countries began to strive to introduce it as soon as possible. In this context, it is important to study the level of digital maturity in Central and Eastern Europe, where the level of digitization is relatively low. This article assesses the level of digital readiness of enterprises in these countries based on 14 determinants characterizing the most important areas of the digitalization process. The research was carried out for 11 countries from the region, both for all and manufacturing enterprises. Multi-criteria analysis aimed at assessing the digital maturity of countries were performed using the Multi-Criteria Decision-Making methods (the TOPSIS, MOORA, VIKOR), and entropy methods for delineating the weights of the determinants. In order to obtain an unambiguous assessment of the determined digital maturity, the mean-rank method was applied. The method of multidimensional scaling allowed for the analysis of similarities between the countries in question. The results showed that the level of digital maturity in the Central and Eastern Europe countries varies greatly and is lower than in other European Union countries.</w:t>
      </w:r>
    </w:p>
    <w:p>
      <w:r>
        <w:t>POSSIBLE 2019: A climate-sensitive forest model for assessing impacts of forest management in Europe — https://doi.org/10.1016/j.envsoft.2019.02.009</w:t>
      </w:r>
    </w:p>
    <w:p>
      <w:r>
        <w:t>Shared claim-specific concepts: climate, carbon, use; EU scope visible. This is a provisional connection, not an outcome finding.</w:t>
      </w:r>
    </w:p>
    <w:p>
      <w:r>
        <w:t>Available abstract (not full text):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r>
        <w:t>POSSIBLE 2019: The ‘political’ roles of the European Commission — https://doi.org/10.1080/07036337.2019.1572135</w:t>
      </w:r>
    </w:p>
    <w:p>
      <w:r>
        <w:t>Shared claim-specific concepts: aim, article, assess; EU scope visible. This is a provisional connection, not an outcome finding.</w:t>
      </w:r>
    </w:p>
    <w:p>
      <w:r>
        <w:t>Available abstract (not full text):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r>
        <w:t>POSSIBLE 2017: Life cycle assessment of chitosan production in India and Europe — https://doi.org/10.1007/s11367-017-1290-2</w:t>
      </w:r>
    </w:p>
    <w:p>
      <w:r>
        <w:t>Shared claim-specific concepts: aim, article, land, use, water, relevant; EU scope visible. This is a provisional connection, not an outcome finding.</w:t>
      </w:r>
    </w:p>
    <w:p>
      <w:r>
        <w:t>Available abstract (not full text): The aim of this article is to present the first life cycle assessment of chitosan production based on data from two real producers located in India and Europe. The goal of the life cycle assessment (LCA) was to understand the main hot spots in the two supply chains, which are substantially different in terms of raw materials and production locations. The LCA is based on consequential modelling principles, whereby allocation is avoided by means of substitution, and market mixes include only flexible, i.e. non-constrained suppliers. The product system is cradle to gate and includes the production of raw materials, namely waste shells from snow crab and shrimp in Canada and India, respectively, the processing of these in China and India and the manufacture of chitosan in Europe and India. Primary data for chitin and chitosan production were obtained from the actual producers, whereas raw material acquisition as well as waste management activities were based on literature sources. The effects of indirect land use change (iLUC) were also included. Impact assessment was carried out at midpoint level by means of the recommended methods in the International Life Cycle Data (ILCD) handbook. In the Indian supply chain, the production of chemicals (HCl and NaOH) appears as an important hot spot. The use of shrimp shells as raw material affects the market for animal feed, resulting in a cr</w:t>
      </w:r>
    </w:p>
    <w:p>
      <w:r>
        <w:t>POSSIBLE 2015: Innovation and Competitiveness in European Context — https://doi.org/10.1016/s2212-5671(15)01455-0</w:t>
      </w:r>
    </w:p>
    <w:p>
      <w:r>
        <w:t>Shared claim-specific concepts: article, assess, use, indicators; EU scope visible. This is a provisional connection, not an outcome finding.</w:t>
      </w:r>
    </w:p>
    <w:p>
      <w:r>
        <w:t>Available abstract (not full text): An almost unanimously accepted issue is that the path to competitiveness of economies, whose companies are exposed to international competition, goes through innovation. This enables companies to adapt quickly to the pace of the technological change, in order to increase competitiveness. This article aims to test the links between innovation and competitiveness having considered the results of the performance evaluation models in matters of innovation and competitiveness for different countries, such as the Innovation Union Scoreboard and IMD World Competitiveness Yearbook. Using these models we can evaluate the connection between the composite indicators calculated by using the methodologies mentioned above. To determine the connection we will use a panel-type econometric model. The econometric analysis aims to confirm a cause-effect relationship between innovation and competitiveness through which we will be able to assess the impact of innovation on competitiveness growth. In accordance with the European and national policies for stimulating innovation through increased R&amp;D funding intensity, raising the average level of spending in the EU of R&amp;D to 3% of GDP could significantly enhance the competitiveness of European economies compared to other states.</w:t>
      </w:r>
    </w:p>
    <w:p>
      <w:pPr>
        <w:pStyle w:val="Heading2"/>
      </w:pPr>
      <w:r>
        <w:t>European packaging industry foresight study—identifying global drivers and driven packaging industry implications of the global megatrends</w:t>
      </w:r>
    </w:p>
    <w:p>
      <w:r>
        <w:t>Original source (2014): https://doi.org/10.1007/s40309-014-0039-4</w:t>
      </w:r>
    </w:p>
    <w:p>
      <w:r>
        <w:t>Original wording (abstract; indexed_source_text_not_full_document_verified): The potential packaging implications of those trends and drivers are then evaluated to highlight potential future demands, opportunities and threats for packaging. The purpose of the research is to provide a common multi-client platform as a base for further applied foresight work in the packaging sector.</w:t>
      </w:r>
    </w:p>
    <w:p>
      <w:r>
        <w:t>POSSIBLE 2026: Environmental consequences of replacing polyethylene packaging in the United States and Europe — https://doi.org/10.1016/j.resenv.2026.100390</w:t>
      </w:r>
    </w:p>
    <w:p>
      <w:r>
        <w:t>Shared claim-specific concepts: potential, packaging, implications; EU scope visible. This is a provisional connection, not an outcome finding.</w:t>
      </w:r>
    </w:p>
    <w:p>
      <w:r>
        <w:t xml:space="preserve">Available abstract (not full text): Substituting plastic packaging with alternative materials is increasingly promoted as a strategy to reduce environmental burdens and support resource conservation, yet broader trade-offs remain insufficiently understood. This study evaluates potential environmental consequences of replacing polyethylene (PE) packaging with alternatives in the U.S. and Europe using comparative life cycle assessment. Cradle-to-end-of-life impacts were assessed for five major packaging applications using region-specific inventories and midpoint indicators for global warming potential, acidification, eutrophication, water use, land use, and fossil resource use. PE demand and substitution scenarios were projected to 2030 to examine implications for material demand and resource-related impacts. Across most applications and impact categories assessed, PE packaging showed lower potential environmental impacts than paper, glass, and metal alternatives. Substitution could increase packaging mass by up to five to six times and double global warming potential, with increases of 190% in the U.S. and 50% in Europe. These findings indicate that material substitution alone is not necessarily a resource-efficient or environmentally preferable strategy. Packaging decisions and policies should therefore be guided by functionally equivalent, region-specific life cycle data that accounts for burden shifting across </w:t>
      </w:r>
    </w:p>
    <w:p>
      <w:r>
        <w:t>POSSIBLE 2025: Impact of emerging packaging regulations on international trade and product safety with emphasis on plastic reuse and recycling in Europe and North America — https://doi.org/10.1111/jiec.70079</w:t>
      </w:r>
    </w:p>
    <w:p>
      <w:r>
        <w:t>Shared claim-specific concepts: potential, packaging, implications, those; EU scope visible. This is a provisional connection, not an outcome finding.</w:t>
      </w:r>
    </w:p>
    <w:p>
      <w:r>
        <w:t>Available abstract (not full text): Abstract The evolving global landscape of packaging regulations, driven by heightened public concern over single‐use packaging and plastic waste, signals a significant shift toward circular economy principles. These regulatory changes, including the United Nations Environmental Programme's endorsement of a legally binding international agreement on plastic waste management, are expected to have far‐reaching impacts on product safety, packaging design, and global trade. The newly adopted and emerging policies prioritize waste reduction, reuse, recycling, and the integration of recycled materials. However, the rapid introduction of environmentally driven packaging regulations—especially those targeting sensitive sectors like food and cosmetics—presents potential risks for product/packaging safety and food waste, alongside challenges for trade harmonization across regions with divergent regulatory goals. This forum article reviews key regulatory frameworks from Asia, Europe, and the Americas, detailing material bans, reuse and refill targets, recycling mandates, and extended producer responsibility initiatives. It examines the potential impact of these regulations on global trade dynamics and their implications for universally accepted safety standards. Despite the well‐meaning intent behind these laws, gaps in understanding the protective role of packaging and its broader environ</w:t>
      </w:r>
    </w:p>
    <w:p>
      <w:r>
        <w:t>POSSIBLE 2025: Assessing Ochratoxin A Contamination in Pre-Packaged Grated Cheese: Implications for Food Safety — https://doi.org/10.3390/foods14091504</w:t>
      </w:r>
    </w:p>
    <w:p>
      <w:r>
        <w:t>Shared claim-specific concepts: potential, implications, common, sector; EU scope visible. This is a provisional connection, not an outcome finding.</w:t>
      </w:r>
    </w:p>
    <w:p>
      <w:r>
        <w:t>Available abstract (not full text): Cheese is a globally consumed dairy product, with Europe leading the world in its consumption. Italy, as the third-largest cheese producer within the European Union, plays a crucial role in the sector, particularly through its production of Protected Designation of Origin (P.D.O.) cheeses, including Grana Padano and Parmigiano Reggiano. These hard cheeses are widely utilized in pre-packaged grated cheese products, owing to their broad appeal and recognized quality. While mold is a common and often necessary component in cheese production for the development of flavor and texture, fungal growth can also detrimentally affect the quality of cheese, potentially causing economic losses and posing food safety risks. Some molds are capable of producing mycotoxins, such as ochratoxin A (OTA), a toxic compound that has been identified in cheese. This study aims to quantitatively assess the prevalence of OTA contamination in various pre-packaged grated cheese products using the high-performance liquid chromatography method while also exploring the potential implications for food safety. The results revealed a high incidence of OTA, with 97.6% of the samples tested positive for contamination, ranging from below the limit of detection (</w:t>
      </w:r>
    </w:p>
    <w:p>
      <w:r>
        <w:t>POSSIBLE 2023: Youth Sport Participation Trends Across Europe: Implications for Policy and Practice — https://doi.org/10.1080/02701367.2022.2148623</w:t>
      </w:r>
    </w:p>
    <w:p>
      <w:r>
        <w:t>Shared claim-specific concepts: implications, trends, purpose; EU scope visible. This is a provisional connection, not an outcome finding.</w:t>
      </w:r>
    </w:p>
    <w:p>
      <w:r>
        <w:t>Available abstract (not full text):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r>
        <w:t>POSSIBLE 2023: Effects of Circularity Interventions in the European Plastic Packaging Sector — https://doi.org/10.1021/acs.est.2c08202</w:t>
      </w:r>
    </w:p>
    <w:p>
      <w:r>
        <w:t>Shared claim-specific concepts: potential, packaging, work, sector; EU scope visible. This is a provisional connection, not an outcome finding.</w:t>
      </w:r>
    </w:p>
    <w:p>
      <w:r>
        <w:t xml:space="preserve">Available abstract (not full text): High Resolution Image Download MS PowerPoint Slide Low levels of plastics circularity today reflect major challenges for the sector to reduce environmental impacts and a need for wider systemic change. In this work, we investigated the potential for climate and socioeconomic benefits of circular economy (CE) interventions in the plastic packaging system. By means of a mixed-unit input–output (IO) model, we performed a comparative scenario analysis for the development of demand and waste management up to 2030 within the EU-28 (EU27 + United Kingdom). We modeled the development of material flows and assessed the effects of both demand-side and end-of-life interventions. Different levels of ambition toward 2030 based on EU circular economy strategies were tested. Results showed that on reaching high levels of circularity, between 14 and 22 Mt CO 2 -eq/year could be reduced by 2030 (20–30% of the total sector impact in 2018) compared to business-as-usual. Demand change (e.g., by decreasing product packaging intensities) showed similar emission-saving potential as achieving the current recycling target of 55%, which emphasizes the role of demand-side actions. Most scenarios displayed moderate employment gains and potential economic losses, pertaining to both direct and indirect activity shifts in the economy. While considering model limitations, the approach is useful in indicating </w:t>
      </w:r>
    </w:p>
    <w:p>
      <w:r>
        <w:t>POSSIBLE 2023: Chitosan with Natural Additives as a Potential Food Packaging — https://doi.org/10.3390/ma16041579</w:t>
      </w:r>
    </w:p>
    <w:p>
      <w:r>
        <w:t>Shared claim-specific concepts: potential, packaging, common, further; EU scope not established. This is a provisional connection, not an outcome finding.</w:t>
      </w:r>
    </w:p>
    <w:p>
      <w:r>
        <w:t>Available abstract (not full text): Recently, the development of materials based on natural polymers have been observed. This is the result of increasing environmental degradation, as well as increased awareness and consumer expectations. Many industries, especially the packaging industry, face challenges resulting from legal regulations. Chitin is the most common biopolymer right after cellulose and is used to produce chitosan. Due to the properties of chitosan, such as non-toxicity, biocompatibility, as well as antimicrobial properties, chitosan-based materials are used in many industries. Many studies have been conducted to determine the suitability of chitosan materials as food packaging, and their advantages and limitations have been identified. Thanks to the possibility of modifying the chitosan matrix by using natural additives, it is possible to strengthen the antioxidant and antimicrobial activity of chitosan films, which means that, in the near future, chitosan-based materials will be a more environmentally friendly alternative to the plastic packaging used so far. The article presents literature data on the most commonly used natural additives, such as essential oils, plant extracts, or polysaccharides, and their effects on antimicrobial, antioxidant, mechanical, barrier, and optical properties. The application of chitosan as a natural biopolymer in food packaging extends the shelf-life of various food</w:t>
      </w:r>
    </w:p>
    <w:p>
      <w:r>
        <w:t>POSSIBLE 2022: An Overview of Packaging Waste Models in Some European Countries — https://doi.org/10.3390/recycling7030038</w:t>
      </w:r>
    </w:p>
    <w:p>
      <w:r>
        <w:t>Shared claim-specific concepts: packaging, implications, provide, base; EU scope visible. This is a provisional connection, not an outcome finding.</w:t>
      </w:r>
    </w:p>
    <w:p>
      <w:r>
        <w:t>Available abstract (not full text): Efficient packaging waste management systems are essential considering recent revisions of the European legislation on packaging waste management that sets ambitious targets. European rules aim to deal with the increasing quantities of packaging waste, which cause environmental problems. Consequently, it is necessary to identify functional packaging waste management systems to achieve these targets effectively and efficiently. However, given the heterogeneity of the different packaging management systems, policymakers, scholars, and industry operators struggle to have a comparative view. The number of non-harmonized laws in force across countries, autonomous recycling targets, and constant updates are prominent problems that make it difficult to obtain comparable information for research, business, and policymaking. To fill this gap, our research question consists of assigning responsibilities for prevention, collection, recycling, and recovery and an overview of some models at a glance with respect to the general governance and functioning of the system. We base our research on a multiple-case design since more cases are examined using complementary data collection methods, analysis of the previous literature, reports, legislation, and business and institutional websites. Our results provide insights from the following cases: Germany, France, the United Kingdom, the Netherland</w:t>
      </w:r>
    </w:p>
    <w:p>
      <w:r>
        <w:t>POSSIBLE 2021: Plastic packaging flows in Europe: A hybrid input‐output approach — https://doi.org/10.1111/jiec.13175</w:t>
      </w:r>
    </w:p>
    <w:p>
      <w:r>
        <w:t>Shared claim-specific concepts: potential, packaging, then, work; EU scope visible. This is a provisional connection, not an outcome finding.</w:t>
      </w:r>
    </w:p>
    <w:p>
      <w:r>
        <w:t>Available abstract (not full text): Abstract The European Union (EU) set ambitious goals toward more sustainable use of plastics, but the basis for measuring performance and monitoring progress toward these goals remains inadequate due to a limited understanding of the complex systems behind plastic consumption. In this work, we study the region‐wide material flows of plastics related to packaging in 2014 using a hybrid approach that combines data on the production and end‐of‐life management of plastic packaging with a monetary input‐output model for the EU. The approach enables us to gain insight into interindustry flows and the connection between production and final demand. We map supply chains with a relatively high resolution, including polymer types, packaging forms and application categories. Results estimate the total packaging placed on the market (POM) and then discarded amounted to 18,000 kt., excluding a net increase in stocks of 500 kt. This means that waste generation could have been up to 15% higher than accounted in official statistics, reinforcing potential underreporting accounts as well as remaining data gaps. Thirty‐five percent of postconsumer packaging waste was directed toward recycling. However, only 5% contributed to new domestic packaging production, a reflection of the broad challenges to plastic circularity. Although first steps are taken in this work, we point to an acute lack of info</w:t>
      </w:r>
    </w:p>
    <w:p>
      <w:r>
        <w:t>POSSIBLE 2020: The environmental benefits of improving packaging waste collection in Europe — https://doi.org/10.1016/j.wasman.2019.12.045</w:t>
      </w:r>
    </w:p>
    <w:p>
      <w:r>
        <w:t>Shared claim-specific concepts: potential, packaging, implications; EU scope visible. This is a provisional connection, not an outcome finding.</w:t>
      </w:r>
    </w:p>
    <w:p>
      <w:r>
        <w:t>Available abstract (not full text): Collecting more waste via source separation waste collection systems is an essential part of increasing resource efficiency, achieving European recycling targets and closing the loop in a circular economy. Huge variation in the capture rates of packaging waste (paper, plastic, metal, composite material and glass) exists in Europe, even between municipalities with similar characteristics, which suggests there is great potential to increase the amount of these materials that can be recovered. In order to assess the environmental impacts linked to higher collection rates, a Life Cycle Assessment model was built that considers the reduced need for virgin materials as the system's loops are closed. An extra 18 million tonnes of waste could be collected annually in Europe if best practice collection strategies were to be deployed, leading to a 13% reduction in greenhouse gas production associated with the packaging and packaging waste. Although high collection performance is crucial for efficient resource use, improving source separation waste collection systems alone will not be enough to achieve recycling targets; material losses must be reduced throughout the value chain, i.e. at the sorting and recycling stages. By evaluating the circularity and environmental implications of current waste management, it can be shown at which points in the system the most improvement needs to be m</w:t>
      </w:r>
    </w:p>
    <w:p>
      <w:r>
        <w:t>POSSIBLE 2020: A review of silver nanoparticles in food packaging technologies: Regulation, methods, properties, migration, and future challenges — https://doi.org/10.1002/jccs.202000179</w:t>
      </w:r>
    </w:p>
    <w:p>
      <w:r>
        <w:t>Shared claim-specific concepts: potential, packaging, implications; EU scope visible. This is a provisional connection, not an outcome finding.</w:t>
      </w:r>
    </w:p>
    <w:p>
      <w:r>
        <w:t>Available abstract (not full text): Abstract The development of antimicrobial food packaging is needed for food preservation and quality maintenance. Silver nanoparticles (AgNPs) have been widely used as an antimicrobial agent in food packaging technologies. However, the risks associated with their potential migration into foods are a major concern. This paper comprehensively reviews the use of AgNPs in food packaging technologies. The application of AgNPs in food packaging technologies has been regulated by the United States Food and Drug Administration and the European Food Safety Authority. The addition of AgNPs into food packaging can improve their barrier, mechanical, and antibacterial properties, as well as maintain the quality of foods. Migration of AgNPs from food packaging into foods is still a concern as it has implications for human health associated with their toxicity properties. A study on the toxicological properties of AgNPs released from food packaging needs to be carried out intensively to ensure their safety before being widely implemented. Moreover, comprehensive economic evaluation to implement AgNPs in food packaging is needed as such a study is missing in the literature.</w:t>
      </w:r>
    </w:p>
    <w:p>
      <w:r>
        <w:t>POSSIBLE 2016: Resource Efficiency: Potential and Economic Implications — https://openalex.org/W2547506595</w:t>
      </w:r>
    </w:p>
    <w:p>
      <w:r>
        <w:t>Shared claim-specific concepts: potential, implications, provide; EU scope not established. This is a provisional connection, not an outcome finding.</w:t>
      </w:r>
    </w:p>
    <w:p>
      <w:r>
        <w:t>Available abstract (not full text): Despite enormous progress in the past decades towards improving human prosperity and well-being, this has come at the lasting cost of degradation of the natural environment and depletion of natural resources. Meeting the needs of a growing and increasingly affluent population, will require natural resource extraction to increase from 85 to 186 billion tonnes by 2050. This can cause irreversible environmental damage and endanger the capacity of Earth to continue to provide resources which are essential for human survival and development. \n \nAnalysis in the report shows that policies and initiatives to improve resource efficiency and tackle climate change can reduce global resource extraction by up to 28 per cent while also boosting the value of world economic activity by 1 per cent in 2050, against the baseline. Such policy actions can also cut global greenhouse gas emissions by around 60 per cent in 2050 relative to 2015 levels. \n \nThis report has been produced by the UNEP’s International Resource Panel in response to a request by leaders of the G7 nations in the context of efforts to promote resource efficiency as a core element of sustainable development. The report conducts a rigorous survey to assess and articulate the prospects and solutions for resource efficiency. It considers how more efficient use of resources can contribute to economic growth, employment and devel</w:t>
      </w:r>
    </w:p>
    <w:p>
      <w:pPr>
        <w:pStyle w:val="Heading2"/>
      </w:pPr>
      <w:r>
        <w:t>Forecasting the Diffusion of Gigabit Home Networking In Europe</w:t>
      </w:r>
    </w:p>
    <w:p>
      <w:r>
        <w:t>Original source (2014): https://doi.org/10.4018/ijtd.2014070103</w:t>
      </w:r>
    </w:p>
    <w:p>
      <w:r>
        <w:t>Original wording (abstract; indexed_source_text_not_full_document_verified): Market stakeholders have cooperated to evolve home networking towards an integrated, converged Gigabit technology, which will completely change the Home Area Networks (HANs) landscape and will enable a wave of possibilities. However, the lack of historical data on which such a forecast could be based presents a barrier that existing literature has not successfully addressed.</w:t>
      </w:r>
    </w:p>
    <w:p>
      <w:r>
        <w:t>POSSIBLE 2026: Stakeholder engagement in hubs for circularity in Europe — https://doi.org/10.1051/mattech/2026012</w:t>
      </w:r>
    </w:p>
    <w:p>
      <w:r>
        <w:t>Shared claim-specific concepts: stakeholders, area, however; EU scope visible. This is a provisional connection, not an outcome finding.</w:t>
      </w:r>
    </w:p>
    <w:p>
      <w:r>
        <w:t>Available abstract (not full text): This research highlights the critical role of stakeholder engagement in the successful implementation of industrial symbiosis (IS) in the circular economy (CE). Although stakeholder engagement is recognised as a key driver in advancing circular economy models, research in this area is limited. In this paper, we examine four industrial hubs within the context of the IS2H4C project. These hubs are referred to as Hubs for Circularity (H4C) and are located in Spain, the Netherlands, Germany and Turkey. Qualitative interviews with key stakeholders from industry, policy, academia and society were used as the research method. The results show that a stakeholder analysis alone is insufficient for H4Cs. This research proved that active and continuous engagement is necessary, with a regional and local approach. Governance structures at these levels are key to long-term engagement. The results suggest that regulatory frameworks, such as the ReFuelEU Aviation Regulation in the German hub, are the main drivers of stakeholder participation, as well as infrastructure delays. Industrial clusters and companies also play an active role in promoting social acceptance, as do trade unions. However, in order to create a sustainable and inclusive environment involving all categories of stakeholders, including society, academia, industry and politics, it is essential to coordinate local and regional a</w:t>
      </w:r>
    </w:p>
    <w:p>
      <w:r>
        <w:t>POSSIBLE 2025: Logistics Market Stakeholders in the Context of Sustainable Development and ESG — https://doi.org/10.54740/ros.2025.067</w:t>
      </w:r>
    </w:p>
    <w:p>
      <w:r>
        <w:t>Shared claim-specific concepts: stakeholders, area; EU scope not established. This is a provisional connection, not an outcome finding.</w:t>
      </w:r>
    </w:p>
    <w:p>
      <w:r>
        <w:t>Available abstract (not full text): In recent years, ESG (Environmental, Social, Governance) criteria have gained significant importance in assessing the activities of entities operating in the logistics market. Dynamic regulatory changes, increasing stakeholder pressure, and the need to reduce negative environmental and social impacts have made ESG issues an integral element of logistics system management. This paper aims to identify and analyse key stakeholder groups in the logistics market and to determine their expectations across the environmental, social, and governance dimensions. The study proposes an original stakeholder classification that encompasses actors involved in the value chain and market, as well as institutional and societal stakeholders. The analysis reveals a diversified yet partially overlapping structure of stakeholder expectations across individual ESG dimensions, with corporate governance playing a crucial role as an integrating area that links environmental and social activities. The results may provide a basis for further empirical research and support logistics companies in designing and implementing sustainable development strategies.</w:t>
      </w:r>
    </w:p>
    <w:p>
      <w:r>
        <w:t>POSSIBLE 2023: Market shaping MNCs in emerging markets - stakeholder engagement and the role of embeddedness — https://doi.org/10.1016/j.indmarman.2023.06.015</w:t>
      </w:r>
    </w:p>
    <w:p>
      <w:r>
        <w:t>Shared claim-specific concepts: stakeholders, data, based; EU scope not established. This is a provisional connection, not an outcome finding.</w:t>
      </w:r>
    </w:p>
    <w:p>
      <w:r>
        <w:t>Available abstract (not full text): This study delves into the phenomenon of collective market shaping in the context of multinational corporations (MNCs) in emerging markets. The study examines the firm's engagement activities and the importance of embeddedness in market shaping undeveloped in the literature. Theoretically this study builds on the literature on collective market shaping, stakeholder engagement and stakeholder embeddedness. Based on a secondary data analysis of two in-depth case studies of MNCs in Brazil, India, and China, we have identified four roles of stakeholders reflecting their engagement and embeddedness: missionaries, catalysts, diffusers, and grassroot movers. Our findings show a recursive process involving stakeholders' structural embeddedness, relational embeddedness and their roles in market shaping. By impacting these dynamics via engagement activities, the MNC can deepen the firm's own embeddedness in the local market and facilitate market shaping. We conclude with introducing ‘embedded market shaping’ as a mode of collective market shaping. It describes the gradual embedding of the firm into a local market through a recursive process, which involves stakeholders who are aware of the MNC's market shaping vision and interested in its pursuit, as well as unaware stakeholders who unintentionally support the MNC's vision.</w:t>
      </w:r>
    </w:p>
    <w:p>
      <w:r>
        <w:t>POSSIBLE 2023: Cooperating for the Climate — https://doi.org/10.7551/mitpress/11959.001.0001</w:t>
      </w:r>
    </w:p>
    <w:p>
      <w:r>
        <w:t>Shared claim-specific concepts: stakeholders, technology, based; EU scope not established. This is a provisional connection, not an outcome finding.</w:t>
      </w:r>
    </w:p>
    <w:p>
      <w:r>
        <w:t>Available abstract (not full text): The intricacies, politics, and prospects of international cooperation, particularly with China, to address climate change. No country in the world releases more greenhouse gases than China. And no country has a greater capacity—and ambition—to mitigate climate change. This deeply informed, urgently needed book examines the global cooperation that such a monumental effort demands and inspires, necessarily focusing on China's outsize role in the development and dissemination of clean energy technologies. Drawing on decades of work in clean energy and climate technology and policy, Joanna Lewis provides a clear and thorough account of the motivations, science, and politics behind international clean energy technology collaboration—and an in-depth look at why different clean energy partnerships result in different political and technological outcomes. The first comprehensive analysis of international clean energy partnerships with China, Cooperating for the Climate is based on hundreds of interviews with government officials, researchers, and private companies involved in these collaborative initiatives around the world. Its insights into energy innovation and international relations, as well as global environmental politics, will help international stakeholders navigate the complex political bureaucracy governing clean energy development in China and perhaps chart a productive pat</w:t>
      </w:r>
    </w:p>
    <w:p>
      <w:r>
        <w:t>POSSIBLE 2022: Stakeholders of the Online Pharmaceutical Market — https://doi.org/10.5772/intechopen.108485</w:t>
      </w:r>
    </w:p>
    <w:p>
      <w:r>
        <w:t>Shared claim-specific concepts: stakeholders, landscape, however; EU scope not established. This is a provisional connection, not an outcome finding.</w:t>
      </w:r>
    </w:p>
    <w:p>
      <w:r>
        <w:t>Available abstract (not full text): During the past two decades, the pharmacy supply chain has developed a new segment besides traditional “brick and mortar” pharmacies. The expansion of the internet, consumer experience in online purchases, the ease of mail order trade, and distance selling have facilitated the growth of the internet pharmacy landscape. Changes in health-seeking behavior, patient empowerment, and openness to self-diagnosis and self-treatment have also contributed to the phenomenon and were further facilitated by the pandemic. Various types of online medicinal product sellers have been published previously, however, authors have classified online pharmacies mainly according to legality and patient safety considerations. As online pharmacies show great diversity, no distinct categories can be specified, rather pharmacies on the web can be categorized by multiple aspects. Admittedly, consumer preferences, regulatory environment, and legitimacy of operation are key influencing factors. In this chapter, key aspects of categorization and nomenclature are discussed to profile different vendors on the internet.</w:t>
      </w:r>
    </w:p>
    <w:p>
      <w:r>
        <w:t>POSSIBLE 2022: Interaction between market stakeholders in the process of business development in an innovative economy — https://doi.org/10.5281/zenodo.5909762</w:t>
      </w:r>
    </w:p>
    <w:p>
      <w:r>
        <w:t>Shared claim-specific concepts: stakeholders, based; EU scope not established. This is a provisional connection, not an outcome finding.</w:t>
      </w:r>
    </w:p>
    <w:p>
      <w:r>
        <w:t>Available abstract (not full text): Relevance of the research topic. The problem of interaction between market stakeholders in the development of entrepreneurship in an innovative economy is a prerequisite for the formation of a new type of economy based on knowledge. Transformational configurations in the institutional matrix require a systematic revision of these issues, taking into account the current state of development of the state economy. Formulation of the problem. There is a need to detail the directions of ensuring the interaction of market stakeholders in the process of developing entrepreneurship in an innovative economy. It is important to specify the infrastructural elements that will ensure continuous communication flows between individual market stakeholders. Setting the purpose and objectives of the study – to investigate the problems of interaction between market stakeholders in the development of entrepreneurship in an innovative economy and highlight the directions for improving communication between the scientific sector, production, infrastructure elements and government bodies. Research method or methodology. The article uses the methods of deduction, induction, systematization, analysis, synthesis and theoretical generalization. Presentation of the main material (research results). It is substantiated that the interaction of market stakeholders in the development of entrepreneurship in an</w:t>
      </w:r>
    </w:p>
    <w:p>
      <w:r>
        <w:t>POSSIBLE 2021: Stakeholder perspectives and requirements on cybersecurity in Europe — https://doi.org/10.1016/j.jisa.2021.102916</w:t>
      </w:r>
    </w:p>
    <w:p>
      <w:r>
        <w:t>Shared claim-specific concepts: stakeholders, data, presents; EU scope visible. This is a provisional connection, not an outcome finding.</w:t>
      </w:r>
    </w:p>
    <w:p>
      <w:r>
        <w:t>Available abstract (not full text): This article presents an overview and analysis of the key cybersecurity problems, challenges and requirements to be addressed in the future, which we derived through 63 interviews with European stakeholders from security-critical sectors including Open Banking, Supply Chain, Privacy-preserving Identity Management, Security Incident Reporting, Maritime Transport, Medical Data Exchange, and Smart Cities. We show that common problems, challenges and requirements across these sectors exist in relation to building trust, implementing privacy and identity management including secure and useable authentication, building resilient systems, standardisation and certification, achieving security and privacy by design, secure and privacy-compliant data and information sharing, and government regulations. Our results also indicate cybersecurity trends and allow to derive directions for future research and innovation activities that will be of high importance for Europe.</w:t>
      </w:r>
    </w:p>
    <w:p>
      <w:r>
        <w:t>POSSIBLE 2021: Market research and stakeholder mapping — https://doi.org/10.5281/zenodo.7116931</w:t>
      </w:r>
    </w:p>
    <w:p>
      <w:r>
        <w:t>Shared claim-specific concepts: stakeholders, evolve; EU scope not established. This is a provisional connection, not an outcome finding.</w:t>
      </w:r>
    </w:p>
    <w:p>
      <w:r>
        <w:t>Available abstract (not full text): As part of the 5GMETA project, WP6 (New Market Ecosystem) has the objective to support the strategy to create a new CCAM (Cooperative, Connected and Automated Mobility) market ecosystem. In particular, Task 6.1 (Market research and stakeholder mapping) aims to provide results after a market research and stakeholders analysis to understand which are the trends, segments and customers for the 5GMETA platform, and how the market will evolve in the CCAM market ecosystem. Moreover, a competitor analysis is performed which will be used as input for some deliverables to follow, such as D6.2 (New Business Model), thus creating a value proposition and a business model that better fits the customers and stakeholders needs. The work also identifies the key stakeholders that take part in use cases, which enriches the analysis by showing opportunities and barriers in such an innovative and technological context.</w:t>
      </w:r>
    </w:p>
    <w:p>
      <w:r>
        <w:t>POSSIBLE 2021: D3.1 – Stakeholders and market analysis report — https://doi.org/10.5281/zenodo.5552478</w:t>
      </w:r>
    </w:p>
    <w:p>
      <w:r>
        <w:t>Shared claim-specific concepts: stakeholders, data; EU scope not established. This is a provisional connection, not an outcome finding.</w:t>
      </w:r>
    </w:p>
    <w:p>
      <w:r>
        <w:t>Available abstract (not full text): State of the art review of the stakeholders and market analysis regarding PIXEL technologies and solutions. The aim of this deliverable is to provide an insight to the current and emerging situation of port related solutions focused on the interoperability between agents (cities, transportation companies, port agencies, etc.), the communication and storage of data of port activities, exploitation of this information and optimization of those operations from different points of view (namely environmentally).</w:t>
      </w:r>
    </w:p>
    <w:p>
      <w:r>
        <w:t>POSSIBLE 2021: Stakeholder perspectives to improve risk management in European farming systems — https://doi.org/10.1016/j.jrurstud.2021.04.004</w:t>
      </w:r>
    </w:p>
    <w:p>
      <w:r>
        <w:t>Shared claim-specific concepts: integrated, data, based; EU scope visible. This is a provisional connection, not an outcome finding.</w:t>
      </w:r>
    </w:p>
    <w:p>
      <w:r>
        <w:t>Available abstract (not full text): The challenges faced by agricultural systems call for an advance in risk management (RM) assessments. This research identifies and discusses potential improvements to RM across 11 European Union (EU) farming systems (FS). The paper proposes a comprehensive, participatory approach that accounts for multi-stakeholder perspectives relying on 11 focus groups for brainstorming and gathering suggestions to improve RM. Data analysis is based on content analysis and coding of suggested improvements, and their assessment through the lenses of main challenges faced, farms’ flexibility, and dependence on subsidies. First, the results show that necessary improvements differ depending on whether they have their origin in sudden shocks or long-term pressures. Second, farm dependence on direct payments determines a stronger need to improve financial instruments, whereas farm flexibility suggests a need for more accessible and tailored tools for low-flexibility FS, and increased know-what and know-how for high-flexibility FS. Third, our findings indicate a potential for extending stakeholder involvement in RM to new or unconventional roles. Underlying specific improvements, the paper suggests and discusses three main avenues to improve RM as a whole: i) a developed learning and knowledge network; ii) new forms of collaboration; and iii) integrated financial and policy instruments.</w:t>
      </w:r>
    </w:p>
    <w:p>
      <w:r>
        <w:t>POSSIBLE 2019: Market Orientation in NGDOs: Construction of a Scale Focused on Their Stakeholders — https://doi.org/10.3390/socsci8080237</w:t>
      </w:r>
    </w:p>
    <w:p>
      <w:r>
        <w:t>Shared claim-specific concepts: stakeholders, however, based; EU scope not established. This is a provisional connection, not an outcome finding.</w:t>
      </w:r>
    </w:p>
    <w:p>
      <w:r>
        <w:t>Available abstract (not full text): Nongovernmental development organizations (NGDOs) have traditionally enjoyed notable recognition and visibility within the field of nonprofit organizations. However, the situation of this sector is problematic in its need to respond to various threats whether programmatic, financial, or of social legitimacy. This study poses as a hypothesis that market orientation, as a management philosophy which many NGDOs could adopt, may be fundamental for them to deal successfully with the challenges they face. An analysis of the literature on market orientation in the nonprofit sector showed that the existing models of market orientation did not adequately capture NGDOs’ real working context, thus recommending a broader market approach based on proposals oriented to the stakeholder and to social aspects. For this reason, the objective of the study was to create a scale of market orientation adapted to the reality of the work of NGDOs. Analysis of a sample of 104 Spanish entities allowed an eight-factor market orientation scale for NGDOs to be created and validated, which reached optimal values of reliability and validity.</w:t>
      </w:r>
    </w:p>
    <w:p>
      <w:r>
        <w:t>POSSIBLE 2015: Stakeholder mapping of CSR in Switzerland — https://doi.org/10.1108/srj-06-2014-0071</w:t>
      </w:r>
    </w:p>
    <w:p>
      <w:r>
        <w:t>Shared claim-specific concepts: stakeholders, evolve, however, data, based; EU scope visible. This is a provisional connection, not an outcome finding.</w:t>
      </w:r>
    </w:p>
    <w:p>
      <w:r>
        <w:t>Available abstract (not full text): Purpose – This paper aims to investigate, using stakeholder map methodology, showing power, urgency, legitimacy and concerns of different actors, the current state of corporate social responsibility (CSR) in Switzerland. Previous research on CSR in Europe has made few attempts to identify stakeholders and their contribution to this topic. Design/methodology/approach – To derive this map, publicly available documents were explored, augmented by 27 interviews with key stakeholders (consumers, media, government, trade unions, non-profit organisations [NPOs], banks, certifiers and consultants) and management of different companies (multinational enterprises [MNEs], small- and medium-sized enterprises [SMEs] and large national companies). Using MAXQDA, the quantified codes given for power, legitimacy and urgency were triangulated between self-reporting, external assessments and statements from publicly available documents and subsequently transferred into stakeholder priorities or, in other words, into positions in the map. Further, the codes given in the interviews for different CSR interests and the results from the document analysis were linked between stakeholders. The identified concerns and priorities were quantitatively analysed in regard to centrality and salience using VennMaker. Findings – The paper identified SMEs, MNEs and cooperating NPOs as being the most significant s</w:t>
      </w:r>
    </w:p>
    <w:p>
      <w:pPr>
        <w:pStyle w:val="Heading2"/>
      </w:pPr>
      <w:r>
        <w:t>Future mobility in an ageing society – Where are we heading?</w:t>
      </w:r>
    </w:p>
    <w:p>
      <w:r>
        <w:t>Original source (2014): https://doi.org/10.1016/j.jth.2014.10.005</w:t>
      </w:r>
    </w:p>
    <w:p>
      <w:r>
        <w:t>Original wording (abstract; indexed_source_text_not_full_document_verified): This paper reports on a scenario planning exercise which has examined four different futures for living in later life, defined by considering two critical uncertainties: the extent to which older people in society engage with new healthcare technologies; and the extent to which the state provides care for people living in later life. Beyond these questions is one which is more explicitly pertinent to transport policy: how and where will older people live and how will this affect patterns of mobility and levels of travel demand?</w:t>
      </w:r>
    </w:p>
    <w:p>
      <w:r>
        <w:t>POSSIBLE 2025: The synergy of exercise and a planned diet in mitigating oxidative stress — https://doi.org/10.22271/journalofsport.2025.v10.i1d.3043</w:t>
      </w:r>
    </w:p>
    <w:p>
      <w:r>
        <w:t>Shared claim-specific concepts: planning, exercise, living; EU scope not established. This is a provisional connection, not an outcome finding.</w:t>
      </w:r>
    </w:p>
    <w:p>
      <w:r>
        <w:t xml:space="preserve">Available abstract (not full text): Living organisms maintain their structure and integrity via physiological homeostasis that in turn is maintained via various anabolic and catabolic reactions based on oxidation and reduction. During these aerobic cellular reactions free radicals are produced that play important roles in energy production and cellular communication as regulatory mediators in signalling process. Regular physical activity/exercise according to a number of comprehensive reviews is associated with positive short- and long-term health benefits. Exercise results in increased metabolic activity of contracting skeletal muscles leading to complex multidimensional changes in numerous cells, tissues and organs challenging whole body homeostasis. It is reported to induce generation of excessive free radicals that may enhance oxidative stress. Although free radicals generating exercise adaptations via signalling the upregulation of antioxidant defence have been reported, excess of radical generation can result in detrimental effects. The aim of this review is therefore to explore the synergistic effect of exercise and whole diet rich in antioxidants as it may provide multicomponent ingredients rather than single dosages of antioxidant to protect the body from oxidative stress. The finding suggests that the integration of a nutrient-dense, anti-oxidant rich diet with a structured exercise regimen can provide </w:t>
      </w:r>
    </w:p>
    <w:p>
      <w:r>
        <w:t>POSSIBLE 2025: Bodily maps of exercise-induced feelings — https://doi.org/10.1038/s41598-025-07246-5</w:t>
      </w:r>
    </w:p>
    <w:p>
      <w:r>
        <w:t>Shared claim-specific concepts: planning, exercise, different, two; EU scope not established. This is a provisional connection, not an outcome finding.</w:t>
      </w:r>
    </w:p>
    <w:p>
      <w:r>
        <w:t>Available abstract (not full text): Physical exercise is a strong physiological and mechanical stimulus that elicits various bodily sensations. They shape the emotional experience and contribute to the psychological benefits of exercise. Despite the centrality of subjective sensations stemming from altering bodily states during physical exercise, there is a paucity of data on bodily experiences and sensations evoked by physical exercise. Here, we mapped bodily sensations evoked by exercise in two studies. In the first proof-of-concept study, we asked participants (n = 305; 143 females) to imagine undergoing exercise training and report the expected bodily sensations. In the second field study, we mapped participants' (n = 133; 105 females) emotions and bodily sensations before and after actual exercise sessions. Both studies utilised visual analogue scales for sensation rating and a topographical self-report tool for mapping bodily sensations: participants were asked to colour on a human body silhouette all the bodily regions where each specified sensation (e.g. "Energized") was felt. The findings revealed a wide array of exercise-induced bodily sensations with mostly distinct topographies, that were consistent across individuals. The field experiment confirmed that bodily sensations of activeness and exhaustion intensified following exercise in topographically specific manner, and that the experience of exhausti</w:t>
      </w:r>
    </w:p>
    <w:p>
      <w:r>
        <w:t>POSSIBLE 2023: Forecasting pandemic quarantine in New Zealand and Australia: A scoping review of quarantine characteristics and capabilities within preparedness plans and pandemic exercise reports from 2002 to 2019 — https://doi.org/10.1016/j.jiph.2023.10.017</w:t>
      </w:r>
    </w:p>
    <w:p>
      <w:r>
        <w:t>Shared claim-specific concepts: reports, exercise, four, two, state; EU scope not established. This is a provisional connection, not an outcome finding.</w:t>
      </w:r>
    </w:p>
    <w:p>
      <w:r>
        <w:t>Available abstract (not full text): BACKGROUND: This scoping review aims to identify and critically review quarantine preparedness in New Zealand and Australia pre-COVID-19 by categorising, comparing, and evaluating quarantine information contained within pandemic plans and exercises from both countries. METHODS: Parliamentary websites, including Archives New Zealand, ParlInfo and Google Scholar, were searched for publicly available plans and exercise reports from 2002 to 2019. Data were extracted from documents meeting the inclusion criteria and analysed using directive content analysis based on the Australian Disaster Preparedness Framework categories. This scoping review followed the Joanna Briggs Institute methodology for scoping reviews, which guided the data extraction, analysis, and presentation of results. RESULTS: A total of 16 documents mentioned quarantine and were included in this scoping review. The emphasis and level of detail regarding quarantine characteristics and capabilities varied between New Zealand's five documents (one plan and four exercise reports) and Australia's 11 documents (one Influenza pandemic plan, eight state plans and two exercise reports). New Zealand's plan forecasted the need for both voluntary quarantine at home and involuntary quarantine in facilities for incoming travellers, whilst the Australian Influenza pandemic plan and state plans primarily considered voluntary quaran</w:t>
      </w:r>
    </w:p>
    <w:p>
      <w:r>
        <w:t>POSSIBLE 2019: Analysis of reporting completeness in exercise cancer trials: a systematic review — https://doi.org/10.1186/s12874-019-0871-0</w:t>
      </w:r>
    </w:p>
    <w:p>
      <w:r>
        <w:t>Shared claim-specific concepts: reports, exercise, four, two, healthcare; EU scope not established. This is a provisional connection, not an outcome finding.</w:t>
      </w:r>
    </w:p>
    <w:p>
      <w:r>
        <w:t>Available abstract (not full text): BACKGROUND: Exercise is an effective therapeutic intervention for cancer survivors. Concerns about the completeness of reporting of exercise interventions have been raised in the literature, but without any formal analysis. This study aimed to evaluate the completeness of reporting of exercise interventions for cancer survivors in a large sample of randomized clinical trials (RCTs). METHODS: We developed a pre-defined protocol. We searched MEDLINE, EMBASE, and CENTRAL for exercise trials in oncology between 2010 and 2017. Pairs of independent researchers screened the records, extracted study characteristics, and assessed 16 items on the TIDieR checklist (i.e., the 12 items, with item 5 divided into two and item 8 divided into four). For each of these items, the percentage of interventions in the included studies that reported the item was calculated. RESULTS: We included 131 RCTs reporting 138 interventions in the analysis. Breast cancer was the most common type of cancer (69, 50%), and aerobic exercise was the most studied exercise modality (43, 30%) followed by combined aerobic and resistance training (40, 28%). Completeness of reporting ranged from 42 to 96% among the TIDieR items; none of the items was fully reported. 'Intervention length' was the most reported item across interventions (133, 96%), followed by 'rationale' (131, 95%), whereas 'provider' (58, 42%) and 'how we</w:t>
      </w:r>
    </w:p>
    <w:p>
      <w:r>
        <w:t>POSSIBLE 2019: Adherence to Exercise Programs in Older Adults: Informative Report — https://doi.org/10.1177/2333721418823604</w:t>
      </w:r>
    </w:p>
    <w:p>
      <w:r>
        <w:t>Shared claim-specific concepts: exercise, living, life, older, people, care; EU scope not established. This is a provisional connection, not an outcome finding.</w:t>
      </w:r>
    </w:p>
    <w:p>
      <w:r>
        <w:t>Available abstract (not full text): This informative report focuses on filling information gaps regarding adherence to physical activity and exercise in the health care spectrum of older adults (OA) and an overview of the benefits of physical activity for OA. Healthy People 2000, 2010, and 2020 are public health programs from the U.S. Department of Health and Human Services that set national goals and objectives for promoting health and preventing disease. The programs include 10 leading health indicators that reflect major health problems, which concern OA. Exercise and physical activity are among the most important factors affecting health and longevity, but exercise adherence is a significant hindrance in achieving health goals in the OA. Exercise adherence in OA is a multifactorial problem encompassing many biopsychosocial factors. Factors affecting adherence in the OA include socioeconomic status, education level, living arrangements, health status, pacemakers, physical fitness, and depression. Improving adherence could have a significant impact on longevity, quality of life, and health care costs.</w:t>
      </w:r>
    </w:p>
    <w:p>
      <w:r>
        <w:t>POSSIBLE 2018: ARKANSAS GEOLOGICAL SURVEY PLANNING AND SUPPORT TO THE 2017 EARTHQUAKE EXERCISE — https://doi.org/10.1130/abs/2018sc-310158</w:t>
      </w:r>
    </w:p>
    <w:p>
      <w:r>
        <w:t>Shared claim-specific concepts: planning, exercise, state; EU scope not established. This is a provisional connection, not an outcome finding.</w:t>
      </w:r>
    </w:p>
    <w:p>
      <w:r>
        <w:t>Available abstract (not full text): The Arkansas Geological Survey (AGS) participated in the 2017 Earthquake Exercise on a full scale level (FSE) with its local, state and federal partners. The planning component consisted of compliance with the state’s NIMS policy, development of the AGS Clearinghouse and Emergency Operations Plans, Ham Radio training/licensure, earthquake and GIS training. The Clearinghouse Plan was developed by input from multiple partners including CUSEC state geological surveys. The exercise was designed to establish a learning environment for players to exercise the new Clearinghouse Plans, policies, and procedures as they pertained to the M7.7 New Madrid Seismic Zone (NMSZ) catastrophic earthquake scenario. This is the first time an information clearinghouse plan has been developed and exercised in the central United States Select GS Clearinghouse steering committee and members were the principle entities responsible for the exercise development, oversight and selection of core capabilities, exercise objectives, targets, and tasks. Those capabilities included Operations Communications, Operations Coordination, Situational Awareness, and Logistics and Supply Chain Management. An After Action Report, designed to identify the strengths and potential areas for improvement was prepared after exercise completion. As this is the first exercise focused on the Clearinghouse for a major earthquake r</w:t>
      </w:r>
    </w:p>
    <w:p>
      <w:r>
        <w:t>POSSIBLE 2017: Exercise interventions for cerebral palsy — https://doi.org/10.1002/14651858.cd011660.pub2</w:t>
      </w:r>
    </w:p>
    <w:p>
      <w:r>
        <w:t>Shared claim-specific concepts: reports, exercise, four, life, defined, two; EU scope visible. This is a provisional connection, not an outcome finding.</w:t>
      </w:r>
    </w:p>
    <w:p>
      <w:r>
        <w:t>Available abstract (not full text): BACKGROUND: Cerebral palsy (CP) is a neurodevelopmental disorder resulting from an injury to the developing brain. It is the most common form of childhood disability with prevalence rates of between 1.5 and 3.8 per 1000 births reported worldwide. The primary impairments associated with CP include reduced muscle strength and reduced cardiorespiratory fitness, resulting in difficulties performing activities such as dressing, walking and negotiating stairs.Exercise is defined as a planned, structured and repetitive activity that aims to improve fitness, and it is a commonly used intervention for people with CP. Aerobic and resistance training may improve activity (i.e. the ability to execute a task) and participation (i.e. involvement in a life situation) through their impact on the primary impairments of CP. However, to date, there has been no comprehensive review of exercise interventions for people with CP. OBJECTIVES: To assess the effects of exercise interventions in people with CP, primarily in terms of activity, participation and quality of life. Secondary outcomes assessed body functions and body structures. Comparators of interest were no treatment, usual care or an alternative type of exercise intervention. SEARCH METHODS: In June 2016 we searched CENTRAL, MEDLINE, Embase, nine other databases and four trials registers. SELECTION CRITERIA: We included randomised controll</w:t>
      </w:r>
    </w:p>
    <w:p>
      <w:r>
        <w:t>POSSIBLE 2017: Is a general or specific exercise recommendation more effective for promoting physical activity among postpartum mothers? — https://doi.org/10.1177/1359105316687627</w:t>
      </w:r>
    </w:p>
    <w:p>
      <w:r>
        <w:t>Shared claim-specific concepts: planning, exercise, examined; EU scope not established. This is a provisional connection, not an outcome finding.</w:t>
      </w:r>
    </w:p>
    <w:p>
      <w:r>
        <w:t>Available abstract (not full text): This comparative effectiveness trial examined the effects of a behavior change intervention supplemented by a general or specific exercise recommendation on physical activity among postpartum mothers. Participants ( N = 49) attended three workshop sessions that provided the exercise recommendation and taught self-regulatory skills. Physical activity, self-efficacy, planning, and barriers were assessed at baseline, post-intervention, and 6-month follow-up. Self-reported physical activity increased significantly in both groups ( p &lt; .001), but the increase was larger in the general condition ( p = .03). Both groups reported increased planning and decreased barriers. Postpartum mothers may benefit from interventions that teach strategies for overcoming barriers while allowing them to choose preferred activities.</w:t>
      </w:r>
    </w:p>
    <w:p>
      <w:r>
        <w:t>POSSIBLE 2016: Consensus on Exercise Reporting Template (CERT): Modified Delphi Study — https://doi.org/10.2522/ptj.20150668</w:t>
      </w:r>
    </w:p>
    <w:p>
      <w:r>
        <w:t>Shared claim-specific concepts: reports, exercise, defined; EU scope not established. This is a provisional connection, not an outcome finding.</w:t>
      </w:r>
    </w:p>
    <w:p>
      <w:r>
        <w:t xml:space="preserve">Available abstract (not full text): BACKGROUND: Exercise interventions are often incompletely described in reports of clinical trials, hampering evaluation of results and replication and implementation into practice. OBJECTIVE: The aim of this study was to develop a standardized method for reporting exercise programs in clinical trials: the Consensus on Exercise Reporting Template (CERT). DESIGN AND METHODS: Using the EQUATOR Network's methodological framework, 137 exercise experts were invited to participate in a Delphi consensus study. A list of 41 items was identified from a meta-epidemiologic study of 73 systematic reviews of exercise. For each item, participants indicated agreement on an 11-point rating scale. Consensus for item inclusion was defined a priori as greater than 70% agreement of respondents rating an item 7 or above. Three sequential rounds of anonymous online questionnaires and a Delphi workshop were used. RESULTS: There were 57 (response rate=42%), 54 (response rate=95%), and 49 (response rate=91%) respondents to rounds 1 through 3, respectively, from 11 countries and a range of disciplines. In round 1, 2 items were excluded; 24 items reached consensus for inclusion (8 items accepted in original format), and 16 items were revised in response to participant suggestions. Of 14 items in round 2, 3 were excluded, 11 reached consensus for inclusion (4 items accepted in original format), and 7 were </w:t>
      </w:r>
    </w:p>
    <w:p>
      <w:r>
        <w:t>POSSIBLE 2015: Exercise ASKARI SERPENT: enabling clinical data collection during exercises and operations to support future contingency planning and assurance of category-based reporting systems — https://doi.org/10.1136/jramc-2014-000369</w:t>
      </w:r>
    </w:p>
    <w:p>
      <w:r>
        <w:t>Shared claim-specific concepts: reports, planning, exercise, critical, healthcare, provides; EU scope not established. This is a provisional connection, not an outcome finding.</w:t>
      </w:r>
    </w:p>
    <w:p>
      <w:r>
        <w:t>Available abstract (not full text): INTRODUCTION: Exercise ASKARI SERPENT (Ex AS) is a British Army exercise that provides primary healthcare (PHC) to Kenyan civilians in support of local health authorities. It is conducted in partnership with the Kenya Defence Force Medical Services (KDFMS). Accurate epidemiological data is critical in planning the exercise and for any future short-notice contingency operations in similar environments. This paper reports epidemiological data for Ex AS using a novel data collection system. METHODS: PHC on Ex AS was delivered by trained and validated combat medical technicians (CMTs) using a set of Read-coded protocols. The CMTs were also directly supported and supervised by medical officers and nurses. RESULTS: A total of 3093 consultations were conducted over a 16-day period. Of these, 2707 (87.5%) consultations fell within the remit of the CMT protocols, with only 386 consultations (12.5%) being conducted exclusively by the medical officers or nurses. DISCUSSION: A Read-coded matrix built on CMT protocols is a simple and useful tool, particularly in civilian populations, for collecting morbidity data with the vast majority of conditions accounted for in the protocols. It is anticipated that such a system can better inform training, manning, medical material and pharmaceutical procurement than current category-based morbidity surveillance systems such as EPINATO (NATO epidemiolo</w:t>
      </w:r>
    </w:p>
    <w:p>
      <w:r>
        <w:t>POSSIBLE 2015: Exercise programs for people with dementia — https://doi.org/10.1002/14651858.cd006489.pub4</w:t>
      </w:r>
    </w:p>
    <w:p>
      <w:r>
        <w:t>Shared claim-specific concepts: exercise, examined, living, life, two, older; EU scope not established. This is a provisional connection, not an outcome finding.</w:t>
      </w:r>
    </w:p>
    <w:p>
      <w:r>
        <w:t xml:space="preserve">Available abstract (not full text): BACKGROUND: This is an update of our previous 2013 review. Several recent trials and systematic reviews of the impact of exercise on people with dementia are reporting promising findings. OBJECTIVES: Primary objectiveDo exercise programs for older people with dementia improve their cognition, activities of daily living (ADLs), neuropsychiatric symptoms, depression, and mortality? Secondary objectivesDo exercise programs for older people with dementia have an indirect impact on family caregivers' burden, quality of life, and mortality?Do exercise programs for older people with dementia reduce the use of healthcare services (e.g. visits to the emergency department) by participants and their family caregivers? SEARCH METHODS: We identified trials for inclusion in the review by searching ALOIS (www.medicine.ox.ac.uk/alois), the Cochrane Dementia and Cognitive Improvement Group's Specialised Register, on 4 September 2011, on 13 August 2012, and again on 3 October 2013. SELECTION CRITERIA: In this review, we included randomized controlled trials in which older people, diagnosed with dementia, were allocated either to exercise programs or to control groups (usual care or social contact/activities) with the aim of improving cognition, ADLs, neuropsychiatric symptoms, depression, and mortality. Secondary outcomes related to the family caregiver(s) and included caregiver burden, quality </w:t>
      </w:r>
    </w:p>
    <w:p>
      <w:pPr>
        <w:pStyle w:val="Heading2"/>
      </w:pPr>
      <w:r>
        <w:t>Future prospects for personal security in travel by public transport</w:t>
      </w:r>
    </w:p>
    <w:p>
      <w:r>
        <w:t>Original source (2014): https://doi.org/10.1080/03081060.2014.976980</w:t>
      </w:r>
    </w:p>
    <w:p>
      <w:r>
        <w:t>Original wording (abstract; indexed_source_text_not_full_document_verified): Four future scenario narratives (to a 2040 time horizon) were developed for each application area. A final workshop consolidated and reviewed the narrative scenarios and pulled out key themes and priority issues for policy, practice and research for the near term.</w:t>
      </w:r>
    </w:p>
    <w:p>
      <w:r>
        <w:t>POSSIBLE 2026: The Tension of Retention and Retirement: A Narrative Study of Full-Time Nursing Faculty Within Five Years of Retirement at Public, Four-Year Institutions in Texas — https://openalex.org/W7221400456</w:t>
      </w:r>
    </w:p>
    <w:p>
      <w:r>
        <w:t>Shared claim-specific concepts: four, each, narrative, pulled, themes; EU scope not established. This is a provisional connection, not an outcome finding.</w:t>
      </w:r>
    </w:p>
    <w:p>
      <w:r>
        <w:t>Available abstract (not full text): This narrative inquiry, qualitative study explored the retirement decision-making process of nursing faculty at public, four-year institutions who were within five years of retirement. Through purposive sampling, 11 participants across eight institutions consented to participate and were interviewed via Zoom. Due to the nursing faculty shortage, the researcher hypothesized that nursing faculty nearing retirement may be retiring not only as a natural progression of their career but also because of factors that lead other early and mid-career faculty members to leave academia. Through thematic analysis, four themes emerged: Finding Meaning and Fulfillment in the Nurse Faculty Role, Institutional Factors Shaping Retirement Decisions, Navigating Aging Across the Career Lifespan, and Practical and Emotional Dimensions of Retirement Transition. While some participants planned to retire due to the natural progression of their careers, many cited factors causing job dissatisfaction as reasons for retiring. An interesting phenomenon was discovered: Within each subtheme, participants described tensions between job demands and job resources, with some participants citing institutional factors as reasons to consider retirement and others as reasons to remain in academia. Participants also described feeling pulled between competing personal desires as they contemplated retirement. Universit</w:t>
      </w:r>
    </w:p>
    <w:p>
      <w:r>
        <w:t>POSSIBLE 2022: Time and Narrative in Augustine’s City of God and Confessions — https://openalex.org/W7217744295</w:t>
      </w:r>
    </w:p>
    <w:p>
      <w:r>
        <w:t>Shared claim-specific concepts: time, narrative, out; EU scope not established. This is a provisional connection, not an outcome finding.</w:t>
      </w:r>
    </w:p>
    <w:p>
      <w:r>
        <w:t>Available abstract (not full text): This paper examines the connections between Augustine ́s conception of Time in two of his main works: City of God and Confession. The issue of Time is crucial for Augustine ́s narrative purposes, and it appears in his account of the history of mankind – the City of God, just as it appears in his account of his own history – the Confessions. Book XI in both works discuss time and creation, and put the narrativeof the book in the context of time as a whole. The two accounts proceed from similar motivations and in a similar method. But they at the same time complete eachother: the account of the Confessions is more detailed in the way it presents the problem and works out the solution step by step; the City of God seems to pick it upfrom where Confessions leaves off and takes it a step further. In this paper, I first briefly sketch the concept of time as presented in Confessions XI. I continue bypointing out how it is completed in the account in City of God I conclude by indicating how these two accounts together put into perspective Augustine’s concern with narrative, as well as his use of it.</w:t>
      </w:r>
    </w:p>
    <w:p>
      <w:r>
        <w:t>POSSIBLE 2021: Time Machines: Artificial Intelligence, Process, and Narrative — https://doi.org/10.1007/s13347-021-00479-y</w:t>
      </w:r>
    </w:p>
    <w:p>
      <w:r>
        <w:t>Shared claim-specific concepts: narratives, time, narrative; EU scope not established. This is a provisional connection, not an outcome finding.</w:t>
      </w:r>
    </w:p>
    <w:p>
      <w:r>
        <w:t>Available abstract (not full text): Abstract While today there is much discussion about the ethics of artificial intelligence (AI), less work has been done on the philosophical nature of AI. Drawing on Bergson and Ricoeur, this paper proposes to use the concepts of time, process, and narrative to conceptualize AI and its normatively relevant impact on human lives and society. Distinguishing between a number of different ways in which AI and time are related, the paper explores what it means to understand AI as narrative, as process, or as the emergent outcome of processes and narratives. It pays particular attention to what it calls the “narrator” and “time machine” roles of AI and the normative implications of these roles. It argues that AI processes and narratives shape our time and link past, present, and future in particular ways that are ethically and politically significant.</w:t>
      </w:r>
    </w:p>
    <w:p>
      <w:r>
        <w:t>POSSIBLE 2020: Chapter Four. Narratives of Time — https://doi.org/10.3138/9781487536435-007</w:t>
      </w:r>
    </w:p>
    <w:p>
      <w:r>
        <w:t>Shared claim-specific concepts: four, narratives, time; EU scope not established. This is a provisional connection, not an outcome finding.</w:t>
      </w:r>
    </w:p>
    <w:p>
      <w:r>
        <w:t>Available abstract (not full text): Unavailable</w:t>
      </w:r>
    </w:p>
    <w:p>
      <w:r>
        <w:t>POSSIBLE 2020: Whose Narrative is it Anyway? Narratives of Social Innovation in Rural Areas – A Comparative Analysis of Community‐Led Initiatives in Scotland and Spain — https://doi.org/10.1111/soru.12321</w:t>
      </w:r>
    </w:p>
    <w:p>
      <w:r>
        <w:t>Shared claim-specific concepts: four, narratives, time, narrative, key, themes; EU scope visible. This is a provisional connection, not an outcome finding.</w:t>
      </w:r>
    </w:p>
    <w:p>
      <w:r>
        <w:t>Available abstract (not full text): Abstract Social innovation is a process in which local communities build social and cultural capital to address challenges and social needs. The diffusion of social innovation requires compelling narratives that encourage people to join them. Using qualitative techniques and a multiple case study methodology, this article examines the content of narratives of social innovation in rural areas and how actors construct, spread and change them. We propose a narrative analytical framework comprising four key components: problematisation; solutions and goals; actors; and plot, which we apply to three initiatives in Scotland and Spain. Our findings suggest that marginalisation, the natural environment and community activation are central themes in the content of narratives. In addition, we explain how policies and public actors can support social innovation as well as how collective leadership of social innovations can reduce imbalances in power relations, and contribute to a consistent evolution of narratives over time, enhancing the sustainability of social innovation projects overall.</w:t>
      </w:r>
    </w:p>
    <w:p>
      <w:r>
        <w:t>POSSIBLE 2020: To Be Black Women and Contingent Faculty: Four Scholarly Personal Narratives — https://doi.org/10.1080/00221546.2019.1700478</w:t>
      </w:r>
    </w:p>
    <w:p>
      <w:r>
        <w:t>Shared claim-specific concepts: four, narratives, practice; EU scope not established. This is a provisional connection, not an outcome finding.</w:t>
      </w:r>
    </w:p>
    <w:p>
      <w:r>
        <w:t>Available abstract (not full text): This study utilized scholarly personal narratives to explore the experiences and perceptions of four Black women who served as full-time contingent faculty members in higher education and student affairs graduate preparation programs. Authors drew upon Black feminist thought and intersectionality to frame this study. Specifically, authors extended Collin’s outsider-within status to outsider-outsider-within status to describe the unique experiences of Black women in contingent faculty appointments. Specific findings included: (1) marginalization of contingent faculty, (2) intersections of identities inextricably linked to teaching, and (3) devaluation of scholarly pursuits. Implications for institutional policy and practice are discussed.</w:t>
      </w:r>
    </w:p>
    <w:p>
      <w:r>
        <w:t>POSSIBLE 2019: Towards a Context-sensitive Theory of Nursing Ethics: Classification and Comparison of Nurses' Narratives from Four Time Periods (1934, 1979, 1989, and 1995) — https://openalex.org/W2977660801</w:t>
      </w:r>
    </w:p>
    <w:p>
      <w:r>
        <w:t>Shared claim-specific concepts: four, narratives, time; EU scope not established. This is a provisional connection, not an outcome finding.</w:t>
      </w:r>
    </w:p>
    <w:p>
      <w:r>
        <w:t>Available abstract (not full text): Unavailable</w:t>
      </w:r>
    </w:p>
    <w:p>
      <w:r>
        <w:t>POSSIBLE 2019: The Narrative of the Iliad: Time, Space, and Story — https://openalex.org/W2969998867</w:t>
      </w:r>
    </w:p>
    <w:p>
      <w:r>
        <w:t>Shared claim-specific concepts: four, time, narrative; EU scope not established. This is a provisional connection, not an outcome finding.</w:t>
      </w:r>
    </w:p>
    <w:p>
      <w:r>
        <w:t>Available abstract (not full text): Like its principal hero, the Iliad has a reputation for straightforwardness that it does not deserve and (unlike Achilles) does not pretend to. Contrary to Auerbach’s thesis that Homeric narrative “leave[s] nothing in obscurity” (1953: 4), this dissertation emphasizes how the Iliad’s narrative modulates the story that it represents—in ways that both helpfully guide and deceptively mislead the audience. In this dissertation, I offer a narratologically-informed study of how the narrator’s representation of the Iliad’s story in time and space meaningfully shapes the audience’s experience of it. Disentangling the time and space of the story from their representation in narrative, I argue that the narrator calls attention to the imperfect correspondence between the narrative and the story, and that the tension between the two—and the failure to recognize the distinction between them—lies at the heart of prominent Homeric problems, from antiquity to today. As I argue, the audience’s experience, as conditioned by the narrative, belies the narrator’s remarkably synoptic sense of both the story and the narrative that represents it. Though readers have long ascribed the difficulty of reading the Iliad to shortcomings of the narrator, I demonstrate that the narrator can see the forest for the trees, even when the audience is stuck in the weeds. Telling a story that is neither wholly new n</w:t>
      </w:r>
    </w:p>
    <w:p>
      <w:r>
        <w:t>POSSIBLE 2018: “Community of Common Destiny”: An Analysis on The Marriages between Zones Three, Four and Five from Narrative Time — https://doi.org/10.12677/wls.2018.62009</w:t>
      </w:r>
    </w:p>
    <w:p>
      <w:r>
        <w:t>Shared claim-specific concepts: four, time, narrative; EU scope not established. This is a provisional connection, not an outcome finding.</w:t>
      </w:r>
    </w:p>
    <w:p>
      <w:r>
        <w:t>Available abstract (not full text): Unavailable</w:t>
      </w:r>
    </w:p>
    <w:p>
      <w:r>
        <w:t>POSSIBLE 2018: Four: Memory and Narrative: Materializing Past and Future in the Present — https://doi.org/10.37862/aaeportal.00203.006</w:t>
      </w:r>
    </w:p>
    <w:p>
      <w:r>
        <w:t>Shared claim-specific concepts: four, time, narrative; EU scope not established. This is a provisional connection, not an outcome finding.</w:t>
      </w:r>
    </w:p>
    <w:p>
      <w:r>
        <w:t>Available abstract (not full text): Four: Memory and Narrative: Materializing Past and Future in the PresentFredrika JacobsAgents of Faith: Votive Objects in Time and PlaceSeveral years had passed since Gian Giacopo Grandone so dramatically entered the Sanctuary of the Madonna dell'Arco just beyond the gates of Naples;...AuthorFredrika JacobsPublisherBard Graduate CenterCopyright© 2018 Bard Graduate Center: Decorative Arts, Design History, Material CultureRelated print edition pages: pp.87-107 https://doi.org/10.37862/aaeportal.00203.006 Stable URL: https://aaeportal.com/?id=-20150Copy Chapter subject tags:Votive offeringsMadonna dell'ArcoBodies--partsHealing in art</w:t>
      </w:r>
    </w:p>
    <w:p>
      <w:r>
        <w:t>POSSIBLE 2017: Events in Time and the Rise of Narrative — https://doi.org/10.4324/9781315124520-6</w:t>
      </w:r>
    </w:p>
    <w:p>
      <w:r>
        <w:t>Shared claim-specific concepts: four, time, narrative; EU scope not established. This is a provisional connection, not an outcome finding.</w:t>
      </w:r>
    </w:p>
    <w:p>
      <w:r>
        <w:t>Available abstract (not full text): The idea of "the displacement of mimesis from its role in fictional representation" is simply going back to the antiquated view of fiction as a realm totally divorced from reality. But "collapse of fictionality into narrativity" holds promise. This chapter shows how works of painters, sculptors, and poets are susceptible to the touch of narrative and become subject to storytelling. It provides examples of a painter and four poets: van Gogh, Bidart, Blaga, Kelly, and Cardu. By representing in the medium of lines and color the dynamic relations of both space and time, the moment of the conjunction of the landscape and the celestial body, van Gogh creates a simple narrative within the heart of reality. In his long poem "The Third Hour of the Night," Bidart retells the story of Benvenuto Cellini&amp;s;s life and follows the narrative of the sculptor&amp;s;s own account in his autobiography, The Life of Benvenuto Cellini Written by Himself , and translated by John Addington Symonds.</w:t>
      </w:r>
    </w:p>
    <w:p>
      <w:r>
        <w:t>POSSIBLE 2017: Quiet in time and narrative — https://doi.org/10.7765/9781526108883.00009</w:t>
      </w:r>
    </w:p>
    <w:p>
      <w:r>
        <w:t>Shared claim-specific concepts: four, time, each, narrative; EU scope not established. This is a provisional connection, not an outcome finding.</w:t>
      </w:r>
    </w:p>
    <w:p>
      <w:r>
        <w:t>Available abstract (not full text): This chapter examines the discrepancy between the prize-winning success of quiet fiction and repeated critical surprise at the trend's existence. Through analysis of texts by Marilynne Robinson and Paul Harding, the chapter makes two propositions about what quiet fiction might be in its contemporary American form. First, it defines quiet as a narrative aesthetic through analysis of Robinson's Gilead and its partner novels, Home and Lila. Building on the aesthetic conditions, the author reads each text for four quiet criteria and argues that a quiet text privileges the depiction of quiet characters, locations and interior life. The second strand deals with time and temporality in Robinson's and Harding's quiet texts. A quiet novel where narrative duration is based on the movement of thought and the invocation of memory is liberated, the author argues from the linear representation of time and otherwise committed to the portrayal of subjective experience.</w:t>
      </w:r>
    </w:p>
    <w:p>
      <w:pPr>
        <w:pStyle w:val="Heading2"/>
      </w:pPr>
      <w:r>
        <w:t>How climate, migration ability and habitat fragmentation affect the projected future distribution of European beech</w:t>
      </w:r>
    </w:p>
    <w:p>
      <w:r>
        <w:t>Original source (2014): https://doi.org/10.1111/gcb.12771</w:t>
      </w:r>
    </w:p>
    <w:p>
      <w:r>
        <w:t>Original wording (abstract; indexed_source_text_not_full_document_verified): Here, we projected the range shift of European beech over the 21st century using a process-based SDM coupled to a phenomenological migration model accounting for population dynamics, according to two climate change scenarios and one land use change scenario. As a result, the realized distribution of beech is projected to strongly contract by 2100 (by 36-61%) mainly due to a substantial increase in climate variability after 2050, which generates local extinctions, even at the core of the distribution, the frequency of which prevents beech recolonization during more favourable years.</w:t>
      </w:r>
    </w:p>
    <w:p>
      <w:r>
        <w:t>POSSIBLE 2026: Marine fish ranges are expanding and shifting deeper across the European continental shelf — https://doi.org/10.1038/s41467-026-74371-8</w:t>
      </w:r>
    </w:p>
    <w:p>
      <w:r>
        <w:t>Shared claim-specific concepts: here, range, over, population, climate, distribution; EU scope visible. This is a provisional connection, not an outcome finding.</w:t>
      </w:r>
    </w:p>
    <w:p>
      <w:r>
        <w:t>Available abstract (not full text): Understanding how climate change and exploitation affect marine species distribution is key for biodiversity conservation. While warming is typically expected to drive species poleward and into deeper waters, unexpected patterns such as equatorward shifts and shallowing also occur. Fishing pressure may further contract species' ranges. Yet, the mechanisms underpinning these 3-dimensional range shifts remain largely unresolved. Using 92,961 bottom trawl samples across the European continental shelf, covering 607 fish species over four decades, we show that deepening is predominant, with 60% of populations experiencing an increase in their average depth. Contrary to expectations, latitudinal shifts are balanced, with 49% of populations shifting poleward and 51% equatorward. Here, we quantify how population relocations are driven by the interplay between environmental factors and species traits as species track their optimal ecological niches. We also highlight that the recent reduction in fishing pressure has likely facilitated spatial expansions and increases in populations abundance.</w:t>
      </w:r>
    </w:p>
    <w:p>
      <w:r>
        <w:t>POSSIBLE 2024: Unexpected westward range shifts in European forest plants link to nitrogen deposition — https://doi.org/10.1126/science.ado0878</w:t>
      </w:r>
    </w:p>
    <w:p>
      <w:r>
        <w:t>Shared claim-specific concepts: here, range, dynamics, climate, distribution; EU scope visible. This is a provisional connection, not an outcome finding.</w:t>
      </w:r>
    </w:p>
    <w:p>
      <w:r>
        <w:t>Available abstract (not full text): Climate change is commonly assumed to induce species' range shifts toward the poles. Yet, other environmental changes may affect the geographical distribution of species in unexpected ways. Here, we quantify multidecadal shifts in the distribution of European forest plants and link these shifts to key drivers of forest biodiversity change: climate change, atmospheric deposition (nitrogen and sulfur), and forest canopy dynamics. Surprisingly, westward distribution shifts were 2.6 times more likely than northward ones. Not climate change, but nitrogen-mediated colonization events, possibly facilitated by the recovery from past acidifying deposition, best explain westward movements. Biodiversity redistribution patterns appear complex and are more likely driven by the interplay among several environmental changes than due to the exclusive effects of climate change alone.</w:t>
      </w:r>
    </w:p>
    <w:p>
      <w:r>
        <w:t>POSSIBLE 2024: Range and climate niche shifts in European and North American breeding birds — https://doi.org/10.1098/rstb.2023.0013</w:t>
      </w:r>
    </w:p>
    <w:p>
      <w:r>
        <w:t>Shared claim-specific concepts: here, range, dynamics, two, climate, land; EU scope visible. This is a provisional connection, not an outcome finding.</w:t>
      </w:r>
    </w:p>
    <w:p>
      <w:r>
        <w:t>Available abstract (not full text): Species respond dynamically to climate change and exhibit time lags. Consequently, species may not occupy their full climatic niche during range shifting. Here, we assessed climate niche tracking during recent range shifts of European and United States (US) birds. Using data from two European bird atlases and from the North American Breeding Bird Survey between the 1980s and 2010s, we analysed range overlap and climate niche overlap based on kernel density estimation. Phylogenetic multiple regression was used to assess the effect of species morphological, ecological and biogeographic traits on range and niche metrics. European birds shifted their ranges north and north-eastwards, US birds westwards. Range unfilling was lower than expected by null models, and niche expansion was more common than niche unfilling. Also, climate niche tracking was generally lower in US birds and poorly explained by species traits. Overall, our results suggest that dispersal limitations were minor in range shifting birds in Europe and the USA while delayed extinctions from unfavourable areas seem more important. Regional differences could be related to differences in land use history and monitoring schemes. Comparative analyses of range and niche shifts provide a useful screening approach for identifying the importance of transient dynamics and time-lagged responses to climate change. This article i</w:t>
      </w:r>
    </w:p>
    <w:p>
      <w:r>
        <w:t>POSSIBLE 2023: Niche and Range Shifts of the Fall Webworm (Hyphantria cunea Dury) in Europe Imply Its Huge Invasion Potential in the Future — https://doi.org/10.3390/insects14040316</w:t>
      </w:r>
    </w:p>
    <w:p>
      <w:r>
        <w:t>Shared claim-specific concepts: here, range, result; EU scope visible. This is a provisional connection, not an outcome finding.</w:t>
      </w:r>
    </w:p>
    <w:p>
      <w:r>
        <w:t>Available abstract (not full text): Dury) has a strong impact on agricultural systems in Europe. However, its invasive potential, which was inherited from its native niche in North America, remains unknown. Here, we investigated the climatic niche and range shifts of the fall webworm in Europe and compared them with those in native North America, then assessed the worms' invasive potential in Europe. Compared with the fall webworm in Europe, those in North America survived in more diverse climatic conditions, which was closely associated with their broader niche and larger potential ranges in Europe. If the fall webworm in Europe could exploit the native niche inherited from those in North America to adapt to climatic conditions in Europe, their potential ranges in Europe could be 5.5-fold those based on the niche as introduced in Europe. The potentially unfilled ranges of the fall webworm in Europe were mainly detected in vast regions of Europe, excluding Norway, Sweden, Finland, North Russia, Hungary, Croatia, Romania, and Ukraine, suggesting that, without strict control, these vast regions might be preferably invaded by the fall webworm in Europe in the future. Therefore, strict control against its invasion is needed. Given that small niche shifts in this invasive insect could result in large range shifts, the niche shifts represent a more sensitive indicator of invasion risk than range shifts.</w:t>
      </w:r>
    </w:p>
    <w:p>
      <w:r>
        <w:t>POSSIBLE 2023: Recent range shifts of moths, butterflies, and birds are driven by the breadth of their climatic niche — https://doi.org/10.1093/evlett/qrad004</w:t>
      </w:r>
    </w:p>
    <w:p>
      <w:r>
        <w:t>Shared claim-specific concepts: here, range, shift, over, climate, realized; EU scope visible. This is a provisional connection, not an outcome finding.</w:t>
      </w:r>
    </w:p>
    <w:p>
      <w:r>
        <w:t>Available abstract (not full text): Species are altering their ranges as a response to climate change, but the magnitude and direction of observed range shifts vary considerably among species. The ability to persist in current areas and colonize new areas plays a crucial role in determining which species will thrive and which decline as climate change progresses. Several studies have sought to identify characteristics, such as morphological and life-history traits, that could explain differences in the capability of species to shift their ranges together with a changing climate. These characteristics have explained variation in range shifts only sporadically, thus offering an uncertain tool for discerning responses among species. As long-term selection to past climates have shaped species' tolerances, metrics describing species' contemporary climatic niches may provide an alternative means for understanding responses to on-going climate change. Species that occur in a broader range of climatic conditions may hold greater tolerance to climatic variability and could therefore more readily maintain their historical ranges, while species with more narrow tolerances may only persist if they are able to shift in space to track their climatic niche. Here, we provide a first-filter test of the effect of climatic niche dimensions on shifts in the leading range edges in three relatively well-dispersing species groups. Base</w:t>
      </w:r>
    </w:p>
    <w:p>
      <w:r>
        <w:t>POSSIBLE 2022: Climate Change Is Driving Shifts in Dragonfly Species Richness across Europe via Differential Dynamics of Taxonomic and Biogeographic Groups — https://doi.org/10.3390/d14121066</w:t>
      </w:r>
    </w:p>
    <w:p>
      <w:r>
        <w:t>Shared claim-specific concepts: here, range, dynamics, climate, result, distribution; EU scope visible. This is a provisional connection, not an outcome finding.</w:t>
      </w:r>
    </w:p>
    <w:p>
      <w:r>
        <w:t>Available abstract (not full text): Understanding how changes in species richness pattern correlate with range changes in different taxonomic and biogeographic groups is important for conservation because it allows for generalizations about which species are at greatest risk. Here, we assessed whether changes in species richness patterns result from generalized range shifts across taxonomic and biogeographic groups or from changes in specific subsets of species. Using data from 1988 and from 2010, we studied changes in distributional range of European dragonfly species, using outline distribution maps for all dragonflies combined and separately for taxonomic suborders (Zygoptera and Anisoptera) and biogeographic groups (Boreo-alpine, Eurasian, Mediterranean, and Tropical). The results demonstrated differing range dynamics for Zygoptera and Anisoptera, with Anisoptera driving local turnover in species richness to a greater extent than Zygoptera. The distributional range of Tropical and Mediterranean species had expanded to a much greater extent than that of Eurasian and Boreo-alpine species. Large-scale changes in species richness arose from several divergent, group-specific processes. Overall, local diversity especially declined in parts of southern and south-eastern Europe, reflecting local losses in multiple species rather than major range contractions among Mediterranean or Eurasian species. In fact, among the</w:t>
      </w:r>
    </w:p>
    <w:p>
      <w:r>
        <w:t>POSSIBLE 2022: Ticks on the move—climate change-induced range shifts of three tick species in Europe: current and future habitat suitability for Ixodes ricinus in comparison with Dermacentor reticulatus and Dermacentor marginatus — https://doi.org/10.1007/s00436-022-07556-x</w:t>
      </w:r>
    </w:p>
    <w:p>
      <w:r>
        <w:t>Shared claim-specific concepts: range, climate, result, distribution; EU scope visible. This is a provisional connection, not an outcome finding.</w:t>
      </w:r>
    </w:p>
    <w:p>
      <w:r>
        <w:t>Available abstract (not full text): Tick-borne diseases are a major health problem worldwide and could become even more important in Europe in the future. Due to changing climatic conditions, ticks are assumed to be able to expand their ranges in Europe towards higher latitudes and altitudes, which could result in an increased occurrence of tick-borne diseases.There is a great interest to identify potential (new) areas of distribution of vector species in order to assess the future infection risk with vector-borne diseases, improve surveillance, to develop more targeted monitoring program, and, if required, control measures.Based on an ecological niche modelling approach we project the climatic suitability for the three tick species Ixodes ricinus, Dermacentor reticulatus and Dermacentor marginatus under current and future climatic conditions in Europe. These common tick species also feed on humans and livestock and are vector competent for a number of pathogens.For niche modelling, we used a comprehensive occurrence data set based on several databases and publications and six bioclimatic variables in a maximum entropy approach. For projections, we used the most recent IPCC data on current and future climatic conditions including four different scenarios of socio-economic developments.Our models clearly support the assumption that the three tick species will benefit from climate change with projected range expans</w:t>
      </w:r>
    </w:p>
    <w:p>
      <w:r>
        <w:t>POSSIBLE 2021: Climate Connectivity of European Forests for Species Range Shifts — https://doi.org/10.3390/f12070940</w:t>
      </w:r>
    </w:p>
    <w:p>
      <w:r>
        <w:t>Shared claim-specific concepts: here, range, climate; EU scope visible. This is a provisional connection, not an outcome finding.</w:t>
      </w:r>
    </w:p>
    <w:p>
      <w:r>
        <w:t>Available abstract (not full text): Forest connectivity is important for the range shifts and long-term persistence of forest-dependent species, especially in the context of climate change. This study assessed the climate connectivity of European forests for species to track suitable climate conditions as the climate warms. Here, climate connectivity was calculated as the temperature difference between each forest patch and the coolest patch that can be reached along temperature gradients. We found that, overall, about 36% of the total forested area in Europe has achieved successful climate connectivity under the moderate emission scenario (SSP245), whereby species range shifts could circumvent the impact of climate warming. The percentage is much lower under the highest emission scenario (SSP585), which is only 12%. To identify forest areas of high importance for climate connectivity, we further evaluated the potential of each forest patch to serve as a stepping stone for species range shifts. Our results showed that about 94% of the European forested area is expected to experience species range shifts. Our study identified sites of high conservation value for improving and sustaining forest connectivity to facilitate climate-driven range shifts and thus could provide information for climate-smart management of European forests.</w:t>
      </w:r>
    </w:p>
    <w:p>
      <w:r>
        <w:t>POSSIBLE 2020: Black locust (Robinia pseudoacaciaL.) range contraction and expansion in Europe under changing climate — https://doi.org/10.1111/gcb.15486</w:t>
      </w:r>
    </w:p>
    <w:p>
      <w:r>
        <w:t>Shared claim-specific concepts: here, range, shift, climate, one, distribution; EU scope visible. This is a provisional connection, not an outcome finding.</w:t>
      </w:r>
    </w:p>
    <w:p>
      <w:r>
        <w:t xml:space="preserve">Available abstract (not full text): Robinia pseudoacacia is one of the most frequent non-native species in Europe. It is a fast-growing tree of high economic and cultural importance. On the other hand, it is an invasive species, causing changes in soil chemistry and light regime, and consequently altering the plant communities. Previously published models developed for the potential distribution of R. pseudoacacia concerned 2070, and were based mainly on data from Western and Central Europe; here we extended these findings and included additional data from Eastern Europe. To fill the gap in current knowledge of R. pseudoacacia distribution and improve the reliability of forecasts, we aimed to (i) determine the extent to which the outcome of range modeling will be affected by complementing R. pseudoacacia occurrence data with sites from Central, Southeastern, and Eastern Europe, (ii) identify and quantify the changes in the availability of climate niches for 2050 and 2070, and discuss their impacts on forest management and nature conservation. We showed that the majority of the range changes expected in 2070 will occur as early as 2050. In comparison to previous studies, we demonstrated a greater eastward shift of potential niches of this species and a greater decline of potential niches in Southern Europe. Consequently, future climatic conditions will likely favor the occurrence of R. pseudoacacia in Central and </w:t>
      </w:r>
    </w:p>
    <w:p>
      <w:r>
        <w:t>POSSIBLE 2020: Consistent population declines but idiosyncratic range shifts in Alpine orchids under global change — https://doi.org/10.1038/s41467-020-19680-2</w:t>
      </w:r>
    </w:p>
    <w:p>
      <w:r>
        <w:t>Shared claim-specific concepts: here, range, over, population, dynamics, climate; EU scope visible. This is a provisional connection, not an outcome finding.</w:t>
      </w:r>
    </w:p>
    <w:p>
      <w:r>
        <w:t>Available abstract (not full text): Mountains are plant biodiversity hotspots considered particularly vulnerable to multiple environmental changes. Here, we quantify population changes and range-shift dynamics along elevational gradients over the last three decades for c. two-thirds of the orchid species of the European Alps. Local extinctions were more likely for small populations, after habitat alteration, and predominated at the rear edge of species' ranges. Except for the most thermophilic species and wetland specialists, population density decreased over time. Declines were more pronounced for rear-edge populations, possibly due to multiple pressures such as climate warming, habitat alteration, and mismatched ecological interactions. Besides these demographic trends, different species exhibited idiosyncratic range shifts with more than 50% of the species lagging behind climate warming. Our study highlights the importance of long-term monitoring of populations and range distributions at fine spatial resolution to be able to fully understand the consequences of global change for orchids.</w:t>
      </w:r>
    </w:p>
    <w:p>
      <w:r>
        <w:t>POSSIBLE 2020: Late Quaternary range shifts of marcescent oaks unveil the dynamics of a major biogeographic transition in southern Europe — https://doi.org/10.1038/s41598-020-78576-9</w:t>
      </w:r>
    </w:p>
    <w:p>
      <w:r>
        <w:t>Shared claim-specific concepts: here, range, dynamics, two, climate, distribution; EU scope visible. This is a provisional connection, not an outcome finding.</w:t>
      </w:r>
    </w:p>
    <w:p>
      <w:r>
        <w:t>Available abstract (not full text): Marcescent forests are ecotones distributed across southern Europe that host increased levels of biodiversity but their persistence is threatened by global change. Here we study the range dynamics of these forests in the Iberian Peninsula (IP) during the Late Quaternary, a period of profound climate and anthropic changes. We modeled and compared the distribution of eight oak taxa for the present and two paleoclimatic environments, the Last Glacial Maximum (LGM, ~ 21 kya) and the Mid-Holocene (MH, ~ 6 kya). Presence records were combined with bioclimatic and topographic data in an ensemble modelling framework to obtain spatial projections for present and past conditions across taxa. Substantial distribution shifts were projected between the three studied periods, that were explained by precipitation, winter cold and terrain ruggedness. Results were congruent with paleoclimatic records of the IP and showed that range shifts of these contact zones concurred with range dynamics of both Submediterranean and Temperate oaks. Notably, the distribution ranges of hybrid oaks and marcescent forests matched throughout the late Quaternary. This study contributes to unveil the complex Late-Quaternary biogeography of the ecotone belt occupied by marcescent forests and, more broadly, of Mediterranean oaks. Improved knowledge of species' responses to climate dynamics will allow us to anticipate</w:t>
      </w:r>
    </w:p>
    <w:p>
      <w:r>
        <w:t>POSSIBLE 2019: Climate change induced range shifts in seaweeds distributions in Europe — https://doi.org/10.1016/j.marenvres.2019.04.012</w:t>
      </w:r>
    </w:p>
    <w:p>
      <w:r>
        <w:t>Shared claim-specific concepts: range, climate; EU scope visible. This is a provisional connection, not an outcome finding.</w:t>
      </w:r>
    </w:p>
    <w:p>
      <w:r>
        <w:t>Available abstract (not full text): Unavailable</w:t>
      </w:r>
    </w:p>
    <w:p>
      <w:pPr>
        <w:pStyle w:val="Heading2"/>
      </w:pPr>
      <w:r>
        <w:t>International migration by 2030: impact of immigration policies scenarios on growth and employment</w:t>
      </w:r>
    </w:p>
    <w:p>
      <w:r>
        <w:t>Original source (2014): https://doi.org/10.1108/fs-06-2012-0045</w:t>
      </w:r>
    </w:p>
    <w:p>
      <w:r>
        <w:t>Original wording (abstract; indexed_source_text_not_full_document_verified): The third scenario, the mass migration scenario, allows letting go of the growth related constraints and getting out of the deflationist spiral. Purpose – The aim of this paper is to estimate the dynamic of international migration between the different regions of the world for 2030 and to measure the impact of different kind of migration policies on the economic and social evolution.</w:t>
      </w:r>
    </w:p>
    <w:p>
      <w:r>
        <w:t>POSSIBLE 2025: Exceptionality and Common Features of Migration Law in the Age Of Mass Migration * — https://doi.org/10.4324/9781003560937-19</w:t>
      </w:r>
    </w:p>
    <w:p>
      <w:r>
        <w:t>Shared claim-specific concepts: mass, migration, different; EU scope not established. This is a provisional connection, not an outcome finding.</w:t>
      </w:r>
    </w:p>
    <w:p>
      <w:r>
        <w:t>Available abstract (not full text): This chapter suggests that the tensions and arguments underlying migration law at the turn of the 20 th century were mainly driven by two key ideas: the priority of state sovereignty over individual freedom and the extraordinariness of mass mobility. Common features of the development of migration law in the age of mass migration in different Western countries will be explored, including: the exceptionality of migration law and its derogation from constitutional rules; the administrativisation of migration law; the criminalisation of migrants; and the key role played by racial identities in the building of border control regulations.</w:t>
      </w:r>
    </w:p>
    <w:p>
      <w:r>
        <w:t>POSSIBLE 2022: Mass Migration and Technological Change — https://doi.org/10.1093/jeea/jvac017</w:t>
      </w:r>
    </w:p>
    <w:p>
      <w:r>
        <w:t>Shared claim-specific concepts: mass, migration, related; EU scope visible. This is a provisional connection, not an outcome finding.</w:t>
      </w:r>
    </w:p>
    <w:p>
      <w:r>
        <w:t>Available abstract (not full text): Abstract This paper studies the effect of emigration on technological change in sending locations after one of the largest migration events in human history, the mass migration from Europe to the United States in the 19th century. To establish causality, we adopt an instrumental variable strategy that combines local growing-season frost shocks with proximity to emigration ports. Using data on patents, we find that emigration led to an increase in innovative activity in sending localities. Using data on capital and labor inputs in agriculture and industry, we find evidence of an increased capital intensity related to new technologies in both sectors. We argue that these results are consistent with theories of induced (labor-saving) innovation due to high labor costs following emigration.</w:t>
      </w:r>
    </w:p>
    <w:p>
      <w:r>
        <w:t>POSSIBLE 2022: The impact of mass migration of Syrians on the Turkish labor market — https://doi.org/10.1016/j.labeco.2022.102183</w:t>
      </w:r>
    </w:p>
    <w:p>
      <w:r>
        <w:t>Shared claim-specific concepts: mass, migration; EU scope not established. This is a provisional connection, not an outcome finding.</w:t>
      </w:r>
    </w:p>
    <w:p>
      <w:r>
        <w:t>Available abstract (not full text): Unavailable</w:t>
      </w:r>
    </w:p>
    <w:p>
      <w:r>
        <w:t>POSSIBLE 2022: Educational Problems of Mass Migration — https://doi.org/10.4324/9781003172246-22</w:t>
      </w:r>
    </w:p>
    <w:p>
      <w:r>
        <w:t>Shared claim-specific concepts: third, mass, migration, world; EU scope not established. This is a provisional connection, not an outcome finding.</w:t>
      </w:r>
    </w:p>
    <w:p>
      <w:r>
        <w:t>Available abstract (not full text): This chapter argues that philosophy of education should avoid the sedentary bias, that is, the assumption that those who are educated will stay and live in the country and society in which they were educated. It adopts a pluralist and non-ideal approach to address three challenges. The first challenge is the relevance of citizenship education for children and teenagers who, once they reach adulthood, will not get citizenship in their country of residence. The second challenge is equality of opportunity for students whose families do not possess the linguistic and cultural capital needed to strive in the countries they arrive in. The third challenge is the problem of fair distribution of educational costs and benefits, in a world in which people do not always work and pay taxes in the countries that paid for their education.</w:t>
      </w:r>
    </w:p>
    <w:p>
      <w:r>
        <w:t>POSSIBLE 2022: Struggles With Mass-Migrations, National- and State-Interests in the Late Habsburg Empire — https://doi.org/10.4324/9781003246619-13</w:t>
      </w:r>
    </w:p>
    <w:p>
      <w:r>
        <w:t>Shared claim-specific concepts: third, mass, migration, different, policies; EU scope visible. This is a provisional connection, not an outcome finding.</w:t>
      </w:r>
    </w:p>
    <w:p>
      <w:r>
        <w:t>Available abstract (not full text): The 18th- and 19th-century spatial political mobilization of masses not only was a concern of self-defense of the affected communities themselves but appeared also as a tool for different “third party” actors to solve different security issues. The southern and eastern parts of the Habsburg Empire, liberated from Ottoman Turkish rule, offered an opportunity for the centralized administration to utilize mobility, namely mass migration for economic revival and other security-related goals and interests against the Hungarian nobility estate, thus planting the seeds of later security struggles. The Austro-Hungarian era’s nation-building policies used methods of mass mobilization as well. This chapter will cover three phenomena that are all implementations of the mass mobilization processes in the late Habsburg Empire. The church-led “great Serb migration” was not only a result of basic self-defense in the face of a possible Ottoman retaliation after the Great Turkish War but also a core interest of the war-torn Habsburg Monarchy. The already militarized Serb masses served a farseeing imperial political goal by gathering more loyal elements facing the Turkish border and encircling an inner threat: The Hungarian noble estate. However, this mobility of masses, with privileges, later became a wider security, by viewing the “descendants of immigrants” and their undefined status as a thr</w:t>
      </w:r>
    </w:p>
    <w:p>
      <w:r>
        <w:t>POSSIBLE 2021: Migration and invention in the Age of Mass Migration — https://doi.org/10.1093/jeg/lbab032</w:t>
      </w:r>
    </w:p>
    <w:p>
      <w:r>
        <w:t>Shared claim-specific concepts: mass, migration, between, regions; EU scope not established. This is a provisional connection, not an outcome finding.</w:t>
      </w:r>
    </w:p>
    <w:p>
      <w:r>
        <w:t>Available abstract (not full text): Abstract More than 30 million people migrated to the USA between late-ninetieth and early-twentieth century, and thousands became inventors. Drawing on a novel dataset of immigrant inventors in the USA, we assess the city-level impact of immigrants’ patenting and their contribution to the technological specialization of the receiving US regions between 1870 and 1940. Our results show that native inventors benefited from the inventive activity of immigrants. In addition, we show that the knowledge transferred by immigrants gave rise to new and previously not exiting technological fields in the US regions where immigrants moved to.</w:t>
      </w:r>
    </w:p>
    <w:p>
      <w:r>
        <w:t>POSSIBLE 2021: Migration Networks and Location Decisions: Evidence from US Mass Migration — https://doi.org/10.1257/app.20180294</w:t>
      </w:r>
    </w:p>
    <w:p>
      <w:r>
        <w:t>Shared claim-specific concepts: mass, migration, estimate; EU scope not established. This is a provisional connection, not an outcome finding.</w:t>
      </w:r>
    </w:p>
    <w:p>
      <w:r>
        <w:t>Available abstract (not full text): This paper studies how birth town migration networks affected long-run location decisions during historical US migration episodes. We develop a new method to estimate the strength of migration networks for each receiving and sending location. Our estimates imply that when one randomly chosen African American moved from a Southern birth town to a destination county, then 1.9 additional Black migrants made the same move on average. For White migrants from the Great Plains, the average is only 0.4. Networks were particularly important in connecting Black migrants with attractive employment opportunities and played a larger role in less costly moves. (JEL J15, J61, N32, N92, R23, Z13)</w:t>
      </w:r>
    </w:p>
    <w:p>
      <w:r>
        <w:t>POSSIBLE 2021: Is There 'Mass Migration' in Canada? — https://doi.org/10.32920/ryerson.14641026.v1</w:t>
      </w:r>
    </w:p>
    <w:p>
      <w:r>
        <w:t>Shared claim-specific concepts: mass, migration, allows, world; EU scope not established. This is a provisional connection, not an outcome finding.</w:t>
      </w:r>
    </w:p>
    <w:p>
      <w:r>
        <w:t>Available abstract (not full text): Immigration in Canada has been a topic of great debate in recent years. Canadian public opinion polls have raised problematic issues around immigration and the increasing diversity of the Canadian population. Some feel that Canada accepts far too many immigrants from diverse backgrounds, too many refugees from crisis-ridden parts of the world and allows large numbers of asylum seekers from the United States.</w:t>
      </w:r>
    </w:p>
    <w:p>
      <w:r>
        <w:t>POSSIBLE 2021: Mass Migration as a Hybrid Threat? – A Legal Perspective — https://doi.org/10.15804/ppsy202122</w:t>
      </w:r>
    </w:p>
    <w:p>
      <w:r>
        <w:t>Shared claim-specific concepts: mass, migration, between, policies; EU scope visible. This is a provisional connection, not an outcome finding.</w:t>
      </w:r>
    </w:p>
    <w:p>
      <w:r>
        <w:t>Available abstract (not full text): Migration as a weapon sounds like a policy statement by resurgent nationalistic parties (and governments) in the West. However, politics and the human cost aside, what if an adversary (both state and non-state actor) does exploit the current global crisis of mass migration due to globalization, war, and political unrest? This article will look at the ongoing mass migration to the European Union within the wider security context of the so-called hybrid threats and/or ‘grey zone’ tactics. It looks at the various legal categories of migration as how the law can be weaponized as so-called ‘lawfare’ to undermine the existing legal frameworks distinguishing between legal and illegal migration. The authors recognize the possibility that this article will be used as an argument by the political actors involved for their nationalistic and anti-migration politics and policies. Yet, we believe that the potential of abusing the current vacuum for political gains along ideological party lines makes it necessary to provide a wider legal-security focused perspective on mass migration.</w:t>
      </w:r>
    </w:p>
    <w:p>
      <w:r>
        <w:t>POSSIBLE 2020: The Age of Mass Migration, 1840–1937 — https://doi.org/10.1017/9781316841211.004</w:t>
      </w:r>
    </w:p>
    <w:p>
      <w:r>
        <w:t>Shared claim-specific concepts: third, mass, migration; EU scope visible. This is a provisional connection, not an outcome finding.</w:t>
      </w:r>
    </w:p>
    <w:p>
      <w:r>
        <w:t>Available abstract (not full text): Chapter 3 surveys the vast expansion, both in the numbers of migrants and in the range of destinations, of Chinese migration during the age of mass migration, processes driven in part by industrialization and imperialism. The chapter both traces the expansion of existing diasporic trajectories, such as migration from Shandong to Manchuria and the Hokkien diaspora in Southeast Asia, and introduces new diasporic trajectories, such as the Teochiu migrants to Thailand, Cantonese migrants to Australasia and the Americas, and Zhejiang migrants to Europe. The chapter also draws attention to diasporic trajectories made up of female migrants, to Shanghai and Singapore, representing the beginnings of the feminization of migration. The chapter then introduces institutions unique to the age of mass migration: treaty ports, indentured servitude and the “coolie” trade. The chapter argues that while the age of migration was the heyday of such Chinese institutions as native-place associations and brotherhoods, it also witnessed the emergence of new types of migration services. The chapter concludes with a third example of a Chinese diasporic community, this one made up of Teochiu farmers in a village on the Malay Peninsula.</w:t>
      </w:r>
    </w:p>
    <w:p>
      <w:r>
        <w:t>POSSIBLE 2018: The age of mass migration in Latin America — https://doi.org/10.1111/ehr.12787</w:t>
      </w:r>
    </w:p>
    <w:p>
      <w:r>
        <w:t>Shared claim-specific concepts: mass, migration, between, different, policies; EU scope visible. This is a provisional connection, not an outcome finding.</w:t>
      </w:r>
    </w:p>
    <w:p>
      <w:r>
        <w:t>Available abstract (not full text): Abstract The experiences of Latin American countries are not fully incorporated into current debates concerning the age of mass migration, even though 13 million Europeans migrated to the region between 1870 and 1930. This survey draws together different aspects of the Latin America immigration experience. Its main objective is to rethink the role of European migration to the region, addressing several major questions in the economics of migration: whether immigrants were positively selected from their sending countries, how immigrants assimilated into the host economies, the role of immigration policies, and the long‐run effects of immigration. Immigrants came from the economically backward areas of southern and eastern Europe, yet their adjustment to the host labour markets in Latin America seems to have been successful. The possibility of rapid social upgrading made Latin America attractive for European immigrants. Migrants were positively selected from origin according to literacy. The most revealing aspect of new research is showing the positive long‐run effects that European immigrants had in Latin American countries. The political economy of immigration policies deserves new research, particularly for Brazil and Cuba. The case of Argentina shows a more complex scenario than the classic representation of landowners constantly supporting an open‐door policy.</w:t>
      </w:r>
    </w:p>
    <w:p>
      <w:r>
        <w:t>POSSIBLE 2018: Migration — https://doi.org/10.1093/oxfordhb/9780199696826.013.14</w:t>
      </w:r>
    </w:p>
    <w:p>
      <w:r>
        <w:t>Shared claim-specific concepts: third, mass, migration, dynamic; EU scope visible. This is a provisional connection, not an outcome finding.</w:t>
      </w:r>
    </w:p>
    <w:p>
      <w:r>
        <w:t>Available abstract (not full text): Abstract Migration has long been one of the defining themes of the pre-Roman Iron Age in Europe. Classical authors record migrations by Celtic peoples into Italy and Greece in the fourth and third centuries BC and their testimonies are corroborated by archaeological evidence. Much work has focused on these events and on mass migration in particular. As a result the archaeological study of migration and mobility is weakly theorized and the subject has been unfashionable in most recent western European scholarship. However, migration and mobility in the pre-Roman Iron Age took many forms, from individual marriages to the establishment of Greek colonies in western Europe and the mass migration of Germanic peoples in the second and first centuries BC. The reasons for mobility are varied, but the archaeological and historical sources are clear and consistent in showing that migration was a dynamic and important feature of the pre-Roman Iron Age.</w:t>
      </w:r>
    </w:p>
    <w:p>
      <w:pPr>
        <w:pStyle w:val="Heading2"/>
      </w:pPr>
      <w:r>
        <w:t>Investigating syndromes of agricultural land degradation through past trajectories and future scenarios</w:t>
      </w:r>
    </w:p>
    <w:p>
      <w:r>
        <w:t>Original source (2014): https://doi.org/10.1080/00380768.2013.843438</w:t>
      </w:r>
    </w:p>
    <w:p>
      <w:r>
        <w:t>Original wording (abstract; indexed_source_text_not_full_document_verified): In concrete terms, LD determines a reduction in the productivity of a territory and in its capacity of providing ecosystem goods and services. “Syndromes” of LD can be assessed in the past, and scenarios, conversely, can be developed for the future, as information baselines for sustainable land management strategies and interventions. The identification of such spatially explicit LD syndromes, which can also be projected on the basis of future scenarios, allows proposing and evaluating focussed measures of sustainable land management.</w:t>
      </w:r>
    </w:p>
    <w:p>
      <w:r>
        <w:t>POSSIBLE 2023: Impact resistance of concrete and fibre-reinforced concrete: A review — https://doi.org/10.1016/j.ijimpeng.2023.104722</w:t>
      </w:r>
    </w:p>
    <w:p>
      <w:r>
        <w:t>Shared claim-specific concepts: concrete, determines, assessed; EU scope not established. This is a provisional connection, not an outcome finding.</w:t>
      </w:r>
    </w:p>
    <w:p>
      <w:r>
        <w:t>Available abstract (not full text): This paper summarises the research carried out to date on the impact resistance of concrete subjected to different impact load regimes, with a focus on high-velocity projectile impact load. An experimental database is compiled on the response of concrete elements to high-speed projectile impacts, which is used to identify the critical failure modes of concrete under impact loads (i.e. spalling, scabbing, penetration, and perforation of the targeted specimens) and the parameters influencing the impact resistance of concrete (i.e. velocity, mass and shape of the projectile, concrete compressive strength, type and size of aggregate, and type and ratio of reinforcement). In addition, the adequacy of existing empirical formulas to predict the penetration depth is assessed by using the experimental database. A critical discussion highlights the effect of various design parameters on the impact resistance of concrete and determines the key aspects that should be addressed in future research.</w:t>
      </w:r>
    </w:p>
    <w:p>
      <w:r>
        <w:t>POSSIBLE 2023: Influence of Graphene oxide on abrasion resistance and strength of concrete — https://doi.org/10.1016/j.conbuildmat.2023.133280</w:t>
      </w:r>
    </w:p>
    <w:p>
      <w:r>
        <w:t>Shared claim-specific concepts: concrete, terms, determines; EU scope not established. This is a provisional connection, not an outcome finding.</w:t>
      </w:r>
    </w:p>
    <w:p>
      <w:r>
        <w:t>Available abstract (not full text): Graphene Oxide (GO) has recently gained significant attention as a new carbon-based nanomaterial (CBN) in the civil engineering industry due to its exceptional mechanical and functional properties. It has been increasingly gaining popularity due to its superior dispersibility characteristics in aqueous solutions compared to the other graphene-based derivatives due to attached oxygen functional groups. A majority of current studies are focused on investigating the effect of GO in cement composites. However, the more useful applications of GO lie in its incorporation into concrete, as it is the most widely used construction material. Therefore, the current study determines the performance of GO-incorporated concrete in terms of strength and abrasion characteristics. Industrially produced GO was added to the concrete mixes at percentages varying from 0.02% to 0.08% by weight of cement (bwoc). A polycarboxylate-ether-based superplasticiser (PS) was used to enhance the dispersibility of GO within the mix and the workability of concrete mixtures. The Standard slump tests were performed to evaluate the workability of the mixes. Compression and indirect tensile strength tests were conducted to obtain the mechanical properties, while abrasion tests were employed to investigate the durability properties. In addition, microstructural properties were obtained using scanning electron micros</w:t>
      </w:r>
    </w:p>
    <w:p>
      <w:r>
        <w:t>POSSIBLE 2021: Concrete Is as Concrete Doesn’t — https://doi.org/10.1215/9781478021971-001</w:t>
      </w:r>
    </w:p>
    <w:p>
      <w:r>
        <w:t>Shared claim-specific concepts: concrete, terms, past; EU scope not established. This is a provisional connection, not an outcome finding.</w:t>
      </w:r>
    </w:p>
    <w:p>
      <w:r>
        <w:t>Available abstract (not full text): Introduction: Concrete Is as Concrete Doesn'tWhen I think of my body and ask what it does to earn that name, two things stand out.It moves.It feels.In fact, it does both at the same time.It moves as it feels, and it feels itself moving.Can we think a body without this: an intrinsic connection between movement and sensation whereby each immediately summons the other?If you start from an intrinsic connection between movement and sensation, the slightest, most literal displacement convokes a qualitative difference, because as directly as it conducts itself it beckons a feeling, and feelings have a way of folding into each other, resonating together, interfering with each other, mutually intensifying, all in unquantifiable ways apt to unfold again in action, often unpredictably.Qualitative difference: immediately the issue is change.Felt and unforeseen.The proj ect of this book is to explore the implications for cultural theory of this simple conceptual displacement: body-(movement/ sensation)-change.Cultural theory of the past two de cades has tended to bracket the middle terms and their unmediated connection.It can be argued that in doing so it has significantly missed the two outside terms, even though they have been of consistent concern-perhaps the central concerns in the humanities.Attention to the literality of movement was deflected by fears of falling into a "naive realism</w:t>
      </w:r>
    </w:p>
    <w:p>
      <w:r>
        <w:t>POSSIBLE 2019: Prediction of Compressive Strength of Concrete: Critical Comparison of Performance of a Hybrid Machine Learning Model with Standalone Models — https://doi.org/10.1061/(asce)mt.1943-5533.0002902</w:t>
      </w:r>
    </w:p>
    <w:p>
      <w:r>
        <w:t>Shared claim-specific concepts: concrete, terms, past; EU scope not established. This is a provisional connection, not an outcome finding.</w:t>
      </w:r>
    </w:p>
    <w:p>
      <w:r>
        <w:t xml:space="preserve">Available abstract (not full text): The use of machine learning (ML) techniques to model quantitative composition–property relationships in concrete has received substantial attention in the past few years. This paper presents a novel hybrid ML model (RF-FFA) for prediction of compressive strength of concrete by combining the random forests (RF) model with the firefly algorithm (FFA). The firefly algorithm is utilized to determine optimum values of two hyper-parameters (i.e., number of trees and number of leaves per tree in the forest) of the RF model in relation to the nature and volume of the dataset. The RF-FFA model was trained to develop correlations between input variables and output of two different categories of datasets; such correlations were subsequently leveraged by the model to make predictions in previously untrained data domains. The first category included two separate datasets featuring highly nonlinear and periodic relationship between input variables and output, as given by trigonometric functions. The second category included two real-world datasets, composed of mixture design variables of concretes as inputs and their age-dependent compressive strengths as outputs. The prediction performance of the hybrid RF-FFA model was benchmarked against commonly used standalone ML models—support vector machine (SVM), multilayer perceptron artificial neural network (MLP-ANN), M5Prime model tree algorithm </w:t>
      </w:r>
    </w:p>
    <w:p>
      <w:pPr>
        <w:pStyle w:val="Heading2"/>
      </w:pPr>
      <w:r>
        <w:t>Living within the safe operating space: a vision for a resource efficient Europe</w:t>
      </w:r>
    </w:p>
    <w:p>
      <w:r>
        <w:t>Original source (2014): https://doi.org/10.1007/s40309-014-0048-3</w:t>
      </w:r>
    </w:p>
    <w:p>
      <w:r>
        <w:t>Original wording (abstract; indexed_source_text_not_full_document_verified): We review and build on recent sustainability visions to develop a holistic reflection on what life in 2050 could look like, and explore the key changes in the economy needed to get there.</w:t>
      </w:r>
    </w:p>
    <w:p>
      <w:r>
        <w:t>POSSIBLE 2025: Barriers to healthcare for racialised populations in Europe: a scoping review of reviews — https://doi.org/10.1186/s12939-025-02577-1</w:t>
      </w:r>
    </w:p>
    <w:p>
      <w:r>
        <w:t>Shared claim-specific concepts: review, key, there; EU scope visible. This is a provisional connection, not an outcome finding.</w:t>
      </w:r>
    </w:p>
    <w:p>
      <w:r>
        <w:t>Available abstract (not full text): BACKGROUND: Racism is a significant barrier to equitable healthcare, yet it remains under-researched in Europe. Barriers across various stages of the healthcare process limit the equitable realisation of the right to health for racialised populations. This review synthesises existing literature on the barriers to healthcare faced by racialised populations in Europe. METHODS: We conducted a scoping review of reviews to identify barriers to healthcare for racialised populations in Europe. We systematically searched across four databases (PubMed, Scopus, Web of Science, and PsycINFO) for review articles published from January 2010 to September 2024. We obtained data from 30 eligible reviews and classified them according to the dimensions of healthcare access. RESULTS: Our review identified multiple, interrelated barriers across the dimensions of availability, accessibility, acceptability, and quality. Key barriers include insufficient interpretation and intercultural mediation services, complex and restrictive administrative procedures, economic costs, and cultural insensitivity in clinical practices. Racialised individuals also reported experiencing interpersonal racism and stereotypes, which affected their healthcare experiences and outcomes. The review highlights a significant lack of cultural competence among healthcare professionals, as well as inadequate adaptation of servic</w:t>
      </w:r>
    </w:p>
    <w:p>
      <w:r>
        <w:t>POSSIBLE 2023: A scoping review of seismic risk communication in Europe — https://doi.org/10.3389/feart.2023.1155576</w:t>
      </w:r>
    </w:p>
    <w:p>
      <w:r>
        <w:t>Shared claim-specific concepts: review, build, recent, explore, key; EU scope visible. This is a provisional connection, not an outcome finding.</w:t>
      </w:r>
    </w:p>
    <w:p>
      <w:r>
        <w:t>Available abstract (not full text): Although earthquakes are a threat in many countries and considerable resources have been invested in safety regulations, communities at risk often lack awareness and preparedness. Risk communication is a key tool for building resilient communities, raising awareness, and increasing preparedness. Over the past 2 decades, seismic risk communication has evolved significantly. This has led to a reorientation from a predominantly “one-way”, top-down communication model to the promotion of new models in which people, their needs, and their participation in disaster risk management are central elements. The 2015–2030 Sendai Framework recommendations, recent disaster experiences and research have highlighted that new models can improve communication effectiveness. In this paper, we critically explore this transition by conducting a scoping review (n=109 publications) of seismic risk communication in Europe. We analyse the approaches, messages, tools, and channels used for seismic risk communication and how they have changed over time. The results reveal that the stated goals of seismic risk communication are, in decreasing order, to share information, raise awareness, change behaviours/beliefs, and increase preparedness. Pupils, students, and citizens are the primary recipients of communication activities. Over the years, two trends have emerged. First, “two-way”, transdisciplinary and</w:t>
      </w:r>
    </w:p>
    <w:p>
      <w:r>
        <w:t>POSSIBLE 2022: Building climate resilience through nature-based solutions in Europe: A review of enabling knowledge, finance and governance frameworks — https://doi.org/10.1016/j.crm.2022.100450</w:t>
      </w:r>
    </w:p>
    <w:p>
      <w:r>
        <w:t>Shared claim-specific concepts: review, build, recent, reflection, key, needed; EU scope visible. This is a provisional connection, not an outcome finding.</w:t>
      </w:r>
    </w:p>
    <w:p>
      <w:r>
        <w:t>Available abstract (not full text): The European Union (EU) has firmly positioned itself as a global leader in promoting and implementing nature-based solutions (NBS). The recently released EU Biodiversity Strategy for 2030, Strategy on Adaptation to Climate Change, and Forest Strategy - all representing key pillars of the ambitious European Green Deal (EGD) - rely on NBS to both preserve and restore ecosystem integrity and increase climate resilience. Although research and policy in Europe have advanced the conceptualization and operationalization of NBS, a much wider adoption is needed to reach the ambitious goals of the EGD and fulfil its vision of transforming into a sustainable, climate-neutral, climate resilient, fair, and prosperous EU by 2050. In this paper, we review recent EU-supported research, policy, and practices to identify critical dimensions that still need to be addressed for greater uptake of NBS. While recognising the multiple societal challenges NBS can target, we build on the key messages from the ‘5th European Climate Change Adaptation conference ECCA 2021’ and focus our analysis on NBS for climate change adaptation and disaster risk reduction. We screen a wide range of NBS cases across the EU and identify three core challenges to implementation: the lack of a comprehensive evidence base on the effectiveness of NBS to address targeted challenges; the need for a greater involvement of the pr</w:t>
      </w:r>
    </w:p>
    <w:p>
      <w:r>
        <w:t>POSSIBLE 2020: Review of the evidence for oceans and human health relationships in Europe: A systematic map — https://doi.org/10.1016/j.envint.2020.106275</w:t>
      </w:r>
    </w:p>
    <w:p>
      <w:r>
        <w:t>Shared claim-specific concepts: review, build, recent, key, there; EU scope visible. This is a provisional connection, not an outcome finding.</w:t>
      </w:r>
    </w:p>
    <w:p>
      <w:r>
        <w:t>Available abstract (not full text): BACKGROUND: Globally, there is increasing scientific evidence of critical links between the oceans and human health, with research into issues such as pollution, harmful algal blooms and nutritional contributions. However, Oceans and Human Health (OHH) remains an emerging discipline. As such these links are poorly recognized in policy efforts such as the Sustainable Development Goals, with OHH not included in either marine (SDG14) or health (SDG3) goals. This is arguably short-sighted given recent development strategies such as the EU Blue Growth Agenda. OBJECTIVES: In this systematic map we aim to build on recent efforts to enhance OHH in Europe by setting a baseline of existing evidence, asking: What links have been researched between marine environments and the positive and negative impacts to human health and wellbeing? METHODS: We searched eight bibliographic databases and queried 57 organizations identified through stakeholder consultation. Results include primary research and systematic reviews which were screened double blind against pre-defined inclusion criteria as per a published protocol. Studies were limited to Europe, US, Australia, New Zealand and Canada. Data was extracted according to a stakeholder-defined code book. A narrative synthesis explores the current evidence for relationships between marine exposures and human health outcomes, trends in knowledge gaps</w:t>
      </w:r>
    </w:p>
    <w:p>
      <w:r>
        <w:t>POSSIBLE 2019: HPV vaccination in a context of public mistrust and uncertainty: a systematic literature review of determinants of HPV vaccine hesitancy in Europe — https://doi.org/10.1080/21645515.2018.1564436</w:t>
      </w:r>
    </w:p>
    <w:p>
      <w:r>
        <w:t>Shared claim-specific concepts: review, build, develop; EU scope visible. This is a provisional connection, not an outcome finding.</w:t>
      </w:r>
    </w:p>
    <w:p>
      <w:r>
        <w:t>Available abstract (not full text): Europe is increasingly described as the region in the world with the least confidence in vaccination, and particularly in the safety of vaccines. The aim of this systematic literature review was to gather and summarise all peer-reviewed and grey literature published about determinants of Human Papillomavirus (HPV) vaccine hesitancy in Europe. Ten thematic categories were identified across the 103 articles which were included in the review. Participants from European studies most commonly reported issues with the quantity and quality of information available about HPV vaccination; followed by concerns about potential side effects of the vaccine; and mistrust of health authorities, healthcare workers, and new vaccines. Comparative analyses indicated that confidence determinants differed by country and population groups. This evidence supports the need to develop context-specific interventions to improve confidence in HPV vaccination and design community engagement strategies aiming to build public trust.</w:t>
      </w:r>
    </w:p>
    <w:p>
      <w:r>
        <w:t>POSSIBLE 2018: Farming for Life Quality and Sustainability: A Literature Review of Green Care Research Trends in Europe — https://doi.org/10.3390/ijerph15061282</w:t>
      </w:r>
    </w:p>
    <w:p>
      <w:r>
        <w:t>Shared claim-specific concepts: review, sustainability, life; EU scope visible. This is a provisional connection, not an outcome finding.</w:t>
      </w:r>
    </w:p>
    <w:p>
      <w:r>
        <w:t xml:space="preserve">Available abstract (not full text): Green care is an innovative approach that combines simultaneously caring for people and caring for land through three elements that have not been previously connected: (1) multifunctional agriculture and recognition of the plurality of agricultural system values; (2) social services and health care; and (3) the possibility of strengthening the farming sector and local communities. The current research provides a comprehensive overview of green care in Europe as a scientific discipline through a literature review (n = 98 studies). According to our results, the Netherlands, the UK, Norway and Sweden followed by Italy have led the scientific studies published in English. Green care research comprises a wide range of perspectives and frameworks (social farming, care farming, nature-based solutions, etc.) with differences in their specificities. Green care studies have mainly focused on measuring the effectiveness of therapeutic interventions. Studies that evaluate its relevance in socio-economic and environmental terms are still limited. According to our results, the most common users studied were people suffering from psychological and mental ill health, while the most common activities were horticulture, animal husbandry and gardening. Finally, we discuss the potential of green care to reconnect people with nature and to diversify the farming sector providing new public services </w:t>
      </w:r>
    </w:p>
    <w:p>
      <w:r>
        <w:t>POSSIBLE 2017: The bystander approach to violence prevention: Considerations for implementation in Europe. — https://doi.org/10.1037/vio0000104</w:t>
      </w:r>
    </w:p>
    <w:p>
      <w:r>
        <w:t>Shared claim-specific concepts: review, build, recent, develop, needed, there; EU scope visible. This is a provisional connection, not an outcome finding.</w:t>
      </w:r>
    </w:p>
    <w:p>
      <w:r>
        <w:t>Available abstract (not full text): Abstract \nObjective: In recent years there has been a growing awareness of the prevalence of sexual violence in UK university student populations yet prevention efforts are in their infancy. Evidence from the US shows that empowering bystanders to intervene to prevent violence rather than focussing on perpetrators or victims is a promising strategy particularly suited to university settings. Public Health England commissioned a bystander program, The Intervention Initiative, for UK universities. This paper discusses the theoretical underpinnings of the bystander approach and the challenges for practical implementation in Europe. Method: We review findings from research relating to bystander theories, social norms theory and effective prevention programming which inform the development of maximally effective bystander programs. Results: Bystander programs are complex, multi-faceted interventions based on taking participants through the different stages required for an individual to move from inaction to action as described by Latané and Darley, 1969; 1970 in their organising framework for bystander intervention, and incorporating a social norms element. Programs which adhere to the principles for effective prevention as set out by Nation et al. (2003) are most likely to be effective. We demonstrate how these criteria informed the cultural specificity of The Intervention Initiat</w:t>
      </w:r>
    </w:p>
    <w:p>
      <w:r>
        <w:t>POSSIBLE 2016: Review of the state of the art and future prospects of the ground-based GNSS meteorology in Europe — https://doi.org/10.5194/amt-9-5385-2016</w:t>
      </w:r>
    </w:p>
    <w:p>
      <w:r>
        <w:t>Shared claim-specific concepts: review, develop, life; EU scope visible. This is a provisional connection, not an outcome finding.</w:t>
      </w:r>
    </w:p>
    <w:p>
      <w:r>
        <w:t>Available abstract (not full text): Abstract. Global Navigation Satellite Systems (GNSS) have revolutionised positioning, navigation, and timing, becoming a common part of our everyday life. Aside from these well-known civilian and commercial applications, GNSS is now an established atmospheric observing system, which can accurately sense water vapour, the most abundant greenhouse gas, accounting for 60–70 % of atmospheric warming. In Europe, the application of GNSS in meteorology started roughly two decades ago and today it is a well-established research field. This review covers the state-of-the-art in GNSS meteorology in Europe. Discussed are the advances in GNSS processing for derivation of tropospheric products, application of GNSS tropospheric products in operational weather prediction and application of GNSS tropospheric products for climate monitoring. Reviewed are the GNSS processing techniques and tropospheric products. Given is a summary of the use of the products for validation and impact studies with operational Numerical Weather Prediction (NWP) models as well as very short weather prediction (nowcasting) case studies. Climate research with GNSS is an emerging field of research, the studies so far have been limited to comparison with the climate models and derivation of trends. More than 15 years of GNSS meteorology in Europe has already achieved outstanding cooperation between the atmospheric and g</w:t>
      </w:r>
    </w:p>
    <w:p>
      <w:pPr>
        <w:pStyle w:val="Heading2"/>
      </w:pPr>
      <w:r>
        <w:t>Making or breaking climate targets: The AMPERE study on staged accession scenarios for climate policy</w:t>
      </w:r>
    </w:p>
    <w:p>
      <w:r>
        <w:t>Original source (2014): https://doi.org/10.1016/j.techfore.2013.09.021</w:t>
      </w:r>
    </w:p>
    <w:p>
      <w:r>
        <w:t>Original wording (abstract; indexed_source_text_not_full_document_verified): The addition of China to the front runner coalition can reduce pre-2050 excess emissions by 20–30%, increasing the likelihood of staying below 2 degrees.</w:t>
      </w:r>
    </w:p>
    <w:p>
      <w:r>
        <w:t>POSSIBLE 2024: China Image Construction during the Covid-19 Epidemic: Multimodal Discourse Analysis based on the China-Related Front Cover of The Economist — https://doi.org/10.61935/asder.1.1.2023.p194</w:t>
      </w:r>
    </w:p>
    <w:p>
      <w:r>
        <w:t>Shared claim-specific concepts: addition, china, front; EU scope not established. This is a provisional connection, not an outcome finding.</w:t>
      </w:r>
    </w:p>
    <w:p>
      <w:r>
        <w:t>Available abstract (not full text): The paper adopts Kress &amp; van Leeuwen’s grammar framework of visual image to carry out a multimodal discourse analysis on China-Related Front Covers of The Economist, in order to disclose the representative of the western media, British media’s attitude towards China after the outbreak of COVID-19, and further dissect the constructed China’s image. The research has noticed that The Economist, hostile to China, mainly built negative national image in related front covers; in addition, the magazine has also demonstrated some positive image about China’s active resistance to epidemic.</w:t>
      </w:r>
    </w:p>
    <w:p>
      <w:r>
        <w:t>POSSIBLE 2024: Observations of near-inertial oscillations trapped at inclined front on continental shelf of the northwestern South China Sea — https://doi.org/10.5194/egusphere-2024-3909</w:t>
      </w:r>
    </w:p>
    <w:p>
      <w:r>
        <w:t>Shared claim-specific concepts: addition, china, front; EU scope not established. This is a provisional connection, not an outcome finding.</w:t>
      </w:r>
    </w:p>
    <w:p>
      <w:r>
        <w:t>Available abstract (not full text): Abstract. Interactions of near-inertial oscillations (NIOs) with other oceanic processes have been broadly investigated in recent years. This study presents observed NIOs from a seabed-based platform, which are trapped at an inclined front with strong stratification on the continental shelf of the northern South China Sea (NSCS) during January–February 2021. The current observations reveal that four NIO events occurred induced by wind bursting. Under the same wind forcing, NIO currents in the third event increased from &lt;0.05 m s−1 to about 0.08 m s−1. The mechanism analysis shows that the amplitude of NIOs was modulated by the shoaling depth of the mix-layer induced by the inclined front, and trapped in the upper layer. More important, the energy transferred from front to NIOs provides a new insight into the NIO dynamics. In addition, a remarkable non-linear interaction (fD1) between NIOs and diurnal spring tide occurred at the front zone owing to a strong vertical current shear at the depths of 20–50 m. The underlying physical phenomenon of this observation would be important for energy exchanges in the oceans.</w:t>
      </w:r>
    </w:p>
    <w:p>
      <w:r>
        <w:t>POSSIBLE 2023: the diaspora: China's united front work and the hyperlink networks of diasporic Chinese websites in cyberspace — https://doi.org/10.1080/2474736x.2023.2179409</w:t>
      </w:r>
    </w:p>
    <w:p>
      <w:r>
        <w:t>Shared claim-specific concepts: addition, china, front; EU scope not established. This is a provisional connection, not an outcome finding.</w:t>
      </w:r>
    </w:p>
    <w:p>
      <w:r>
        <w:t>Available abstract (not full text): In recent years concerns have emerged regarding the loyalty of ethnic Chinese residing outside of China and whether they are agents of foreign influence.China has also recently declared its ambition to be an 'Internet superpower' and use the internet for political goals.This article will therefore explore the role of the internet in China's diaspora engagement efforts.By adopting an Information Technology (IT)-informed approach, this article seeks to provide insights to the following question(s): Does China engage in diaspora engagement on the internet, to what extent, and what are the implications of such?An in-depth look at a representative sample of Chinese-language websites outside of China reveals 'dual-track messaging' approaches where nonpolitical (i.e.business) news exists alongside overtly political messages.This strongly suggests that the Communist Party of China's (CPC) United Front work to co-opt the diaspora is also taking place via cyberspace, in addition to traditional media sources.</w:t>
      </w:r>
    </w:p>
    <w:p>
      <w:r>
        <w:t>POSSIBLE 2023: The Vertical Distribution of Ice-Nucleating Particles over the North China Plain: A Case of Cold Front Passage — https://doi.org/10.3390/rs15204989</w:t>
      </w:r>
    </w:p>
    <w:p>
      <w:r>
        <w:t>Shared claim-specific concepts: addition, china, front; EU scope not established. This is a provisional connection, not an outcome finding.</w:t>
      </w:r>
    </w:p>
    <w:p>
      <w:r>
        <w:t>Available abstract (not full text): Ice-nucleating particles (INPs) are crucial for cloud freezing processes in the atmosphere. Given the limited knowledge about the vertical distribution of INPs and its relation to aerosols in China, we present two aircraft observations of INPs over the North China Plain on 23 October 2019 and 25 October 2019, before and after a cold front passage. We used a well-established method to identify the INPs on a silicon wafer and then performed single-particle chemical composition analysis using an environmental scanning electron microscope-energy dispersive spectrometer (ESEM-EDS). The INP concentrations range from 0.1 to 9.2 L−1 within activation temperatures from −20 to −29 °C. INPs are mostly concentrated within the boundary layer, and their concentration shows a decreasing trend with height (0.5~6 km) before the cold front passage. However, the highest INP concentration always appears at higher altitudes (4~5 km) after the cold front passage. The cold front passage also significantly weakens the correlations between the concentrations of INPs and aerosol particles at different sizes. The activated fraction (AF) of total aerosols increases from 10−6 to 10−4 with height from near ground to 6 km, reflecting a better nucleating capacity of the aerosols at higher altitudes. There is no obvious variation in AF after the cold front passage. Chemical analysis reveals that the INPs conta</w:t>
      </w:r>
    </w:p>
    <w:p>
      <w:r>
        <w:t>POSSIBLE 2022: The effect of Chinese Gigacity on weather fronts — https://doi.org/10.5194/ems2022-550</w:t>
      </w:r>
    </w:p>
    <w:p>
      <w:r>
        <w:t>Shared claim-specific concepts: addition, china, front, increasing; EU scope not established. This is a provisional connection, not an outcome finding.</w:t>
      </w:r>
    </w:p>
    <w:p>
      <w:r>
        <w:t>Available abstract (not full text): The rapid, large-scale urbanization in northeast China during the last few decades has been unique. Recently, Kulmala et al (2021) proposed that in eastern China, a cluster of individual megacities, located roughly inside a triangle Beijing-Xian-Shanghai, could be classified as one huge continuous urban area – a gigacity. In a such gigacity region, combined effect of pollution, vast area of increased surface roughness and urban heat island can strongly interact with the local, synoptic, and even continental scale meteorological conditions. Therefore, the complex interactions between multi-scale meteorological processes and the anthropogenic effects of gigacity bring great challenges to the understanding of environmental and climate systems, air quality forecast and weather prediction in the gigacity region. There are many studies about the interaction of urban areas and local and regional scale atmospheric circulation. However, it is still poorly understood how these very large urban areas interact with meso- and synoptic-scale meteorology. The objective of this study was to analyse the effect of gigacity area to the weather fronts. The study period was 1980-2010 when most of the rapid urbanization occurred in the gigacity region. The identification of weather fronts was performed following the principles by Jenkner et al (2010) and Berry et al (2011). However, we further devel</w:t>
      </w:r>
    </w:p>
    <w:p>
      <w:r>
        <w:t>POSSIBLE 2022: Interannual, Seasonal, and Monthly Variability of Sea Surface Temperature Fronts in Offshore China from 1982–2021 — https://doi.org/10.3390/rs14215336</w:t>
      </w:r>
    </w:p>
    <w:p>
      <w:r>
        <w:t>Shared claim-specific concepts: addition, china, front, increasing; EU scope not established. This is a provisional connection, not an outcome finding.</w:t>
      </w:r>
    </w:p>
    <w:p>
      <w:r>
        <w:t>Available abstract (not full text): The offshore China (OC) region is a significant sea area in the Western Pacific and many researchers have been interested in the distribution of sea surface temperature (SST) fronts in this area. In this study, the Cayula and Cornillon single image edge detection algorithm was used to detect SST fronts using the Daily Optimum Interpolation Sea Surface Temperature data from 1982 to 2021. The results revealed that there are eighteen SST fronts in OC— three in the Bohai Sea, seven in the Yellow Sea, two in the East China Sea, five in the South China Sea, one in the Pacific Ocean east of Taiwan province, China—and among them a new front was detected in the Yellow Sea and named the Yellow Sea Ring Front. The frequency of most fronts showed a tendency of initially increasing and then decreasing from January to September, followed by a trend of growing steadily from October to December. The frequency of a few fronts showed a decreasing tendency from January to September and an increasing tendency from October to December. The frequency of most fronts is highest in winter and lowest in summer. In spring and autumn, the frequency of most fronts is lower than that in winter and higher than that in summer. The annual average frontal probability of five-ninths of the fronts showed an upward trend, and the annual average frontal probability value of one-third of the fronts showed a downward</w:t>
      </w:r>
    </w:p>
    <w:p>
      <w:r>
        <w:t>POSSIBLE 2018: Phytoplankton response to a plume front in the northern South China Sea — https://doi.org/10.5194/bg-15-2551-2018</w:t>
      </w:r>
    </w:p>
    <w:p>
      <w:r>
        <w:t>Shared claim-specific concepts: addition, china, front; EU scope not established. This is a provisional connection, not an outcome finding.</w:t>
      </w:r>
    </w:p>
    <w:p>
      <w:r>
        <w:t>Available abstract (not full text): Abstract. Due to a strong river discharge during April–June 2016, a persistent salinity front, with freshwater flushing seaward on the surface but seawater moving landward at the bottom, was formed in the coastal waters west of the Pearl River Estuary (PRE) over the Northern South China Sea (NSCS) shelf. Hydrographic measurements revealed that the salinity front was influenced by both river plume and coastal upwelling. Shipboard nutrient-enrichment experiments with size-fractionation chlorophyll-a measurements were performed on both sides of the front as well as the front zone to diagnose the spatial variations of phytoplankton physiology across the frontal system. We also assessed the size-fractionated responses of phytoplankton to the treatment of plume water at the frontal zone and the seaside of the front. Biological impact of vertical mixing or upwelling was further examined by the response of surface phytoplankton to the addition of local bottom water. Our results suggested that there was a large variation of phytoplankton physiology on the seaside of the front driven by dynamic nutrient fluxes, although P-limitation was prevailing on the shore-side of the front and at the frontal zone. The spreading of plume water at the frontal zone would directly improve the growth of micro-phytoplankton, while nano- and pico-phytoplankton growths could become saturated at high percent</w:t>
      </w:r>
    </w:p>
    <w:p>
      <w:r>
        <w:t>POSSIBLE 2015: Structure and Type Characteristics of the Winter Quasi-stationary Front in South China — https://openalex.org/W2384076123</w:t>
      </w:r>
    </w:p>
    <w:p>
      <w:r>
        <w:t>Shared claim-specific concepts: addition, china, front, below; EU scope not established. This is a provisional connection, not an outcome finding.</w:t>
      </w:r>
    </w:p>
    <w:p>
      <w:r>
        <w:t xml:space="preserve">Available abstract (not full text): Using the daily National Centers for Environmental Prediction(NCEP) global final analysis(FNL) data and daily station rainfall data in China for the winters of 2000–2011, we first define an index to measure the strength of the South China quasi-stationary front(SCSF), and strong SCSF cases are then selected. The structure and characteristic circulation of strong SCSFs in relation to winter precipitation over South China are analyzed by composite analysis. The results show that strong SCSFs are nearly west–east oriented, are more common in January and February, and their frequency of occurrence shows a clear upward trend over the past 12 winters. The frontal zone of a strong SCSF is indicated by a dense band of potential pseudo-equivalent temperatures in the lower troposphere, slanting northward with altitude, with obvious differences across the band in temperature rather than in moisture. In addition, the frontal zone is often associated with a great temperature inversion, positive relative vorticity, and moisture flux convergence of north and south winds. Updrafts mainly appear above the slanted frontal zone, and disturbance zonal circulations with sub-frontal scale updrafts and downdrafts exist at about 850 h Pa below the upper–level westerlies. Strong SCSFs can be classified into three types according to their wind convergence patterns in the frontal zone at 850 h Pa. Among </w:t>
      </w:r>
    </w:p>
    <w:p>
      <w:pPr>
        <w:pStyle w:val="Heading2"/>
      </w:pPr>
      <w:r>
        <w:t>Making sense of the future: visions and transition pathways of laypeople and professionals from six EU countries</w:t>
      </w:r>
    </w:p>
    <w:p>
      <w:r>
        <w:t>Original source (2014): https://doi.org/10.1080/11287462.2014.957010</w:t>
      </w:r>
    </w:p>
    <w:p>
      <w:r>
        <w:t>Original wording (abstract; indexed_source_text_not_full_document_verified): The paper concludes with an evaluation of the pathways developed by comparing them to the UK 2050 pathways. For the transition pathway development of these futures, backcasting workshops were held with the participation of young people and experts to develop suitable pathways towards each of the three visions with regard to three specific sectors, namely, household energy, individual mobility and food.</w:t>
      </w:r>
    </w:p>
    <w:p>
      <w:r>
        <w:t>POSSIBLE 2026: Friedreich's ataxia patient pathway in Europe — https://doi.org/10.3389/frhs.2026.1817584</w:t>
      </w:r>
    </w:p>
    <w:p>
      <w:r>
        <w:t>Shared claim-specific concepts: pathways, pathway, people, each, three; EU scope visible. This is a provisional connection, not an outcome finding.</w:t>
      </w:r>
    </w:p>
    <w:p>
      <w:r>
        <w:t>Available abstract (not full text): Background: Friedreich's ataxia (FA) is a rare progressive and multi systemic neurodegenerative disorder characterized by loss of coordination, typically resulting in loss of ambulation. Cardiomyopathy, diabetes mellitus, and scoliosis are common and serious manifestations of the disease. This project explores the FA patient pathways, healthcare use and costs, and compares people's care experiences attending specialist ataxia centres (SAC) with care in non-specialist settings in three European countries. Methods: We collected data in the UK, Germany and Italy using a patient survey, to gather information about the diagnosis and the management of the ataxias in SAC and non-SAC settings, healthcare visits, and patient's satisfaction. We compared per-patient mean resource use for each contact type and health service cost, stratifying patients by SAC attendance. Results: = 56) with a confirmed diagnosis of FA. This cohort valued the SAC services in understanding their condition, offering opportunities to take part in research, and delivering care adapted to their needs. Our results highlight the patient's appreciation for SAC services compared to non-SAC without any significant change in costs. We identified similar barriers for patients in accessing SACs in the selected countries. Conclusions: This study shows the value of SAC specifically for the management of complex rare condit</w:t>
      </w:r>
    </w:p>
    <w:p>
      <w:r>
        <w:t>POSSIBLE 2024: Nonlinearity and Asymmetry of the ENSO Stratospheric Pathway to North Atlantic and Europe, Revisited — https://doi.org/10.1029/2023jd039992</w:t>
      </w:r>
    </w:p>
    <w:p>
      <w:r>
        <w:t>Shared claim-specific concepts: them, pathway, develop, each, three; EU scope visible. This is a provisional connection, not an outcome finding.</w:t>
      </w:r>
    </w:p>
    <w:p>
      <w:r>
        <w:t>Available abstract (not full text): Abstract Nonlinearities and asymmetries of El Niño Southern Oscillation (ENSO) stratospheric pathway to the North Atlantic and Europe are examined in large ensembles conducted with fully coupled climate models during wintertime. The analysis is centered on historical experiments of the Max Planck Institute Grand Ensemble (MPI‐GE, 95 members) and expanded to six other ensembles of more limited size. In MPI‐GE, significant responses are obtained for each ENSO phase and three different intensities (weak, moderate and strong). Overall, linear relationships are found for either El Niño or La Niña key diagnostics that characterize the pathway. These relationships are generally weaker for the cold La Niña than for the warm El Niño so that asymmetries between them develop as the events intensify. Specifically for strong events, the extra‐tropical North Pacific and stratospheric responses are asymmetric, with larger responses for El Niño. In addition, the stratospheric asymmetry in strong events seems to contribute to the asymmetry in strong events in the North Atlantic—Europe response in the troposphere in late winter. The extra‐tropical North Pacific response shows general agreement between MPI‐GE and the other large ensembles. However, this agreement is not as large when other parts of the pathway are compared. Relatively high inter‐model response spread confirms the typical model un</w:t>
      </w:r>
    </w:p>
    <w:p>
      <w:r>
        <w:t>POSSIBLE 2024: The impacts of decarbonization pathways on Sustainable Development Goals in the European Union — https://doi.org/10.1038/s43247-024-01309-7</w:t>
      </w:r>
    </w:p>
    <w:p>
      <w:r>
        <w:t>Shared claim-specific concepts: pathways, specific; EU scope visible. This is a provisional connection, not an outcome finding.</w:t>
      </w:r>
    </w:p>
    <w:p>
      <w:r>
        <w:t>Available abstract (not full text): Abstract Climate action to achieve the Paris Agreement should respect the United Nations Sustainable Development Goals. Here, we use an integrated assessment modelling framework comprising nine climate policy models and quantify the impacts of decarbonisation pathways on Sustainable Development Goals in the European Union at regional and national levels. We show that scenario-consistent assumptions of future socio-economic trends and current climate policies would improve energy- and carbon-related aspects of sustainability and reduce inequalities. Ambitious net-zero emissions pathways would further improve health and agricultural productivity. Furthermore, countries currently lagging in achieving sustainable development goals would see the greatest benefits from ambitious climate action. Negative socio-economic impacts from climate action on poverty, hunger, and economic growth will require specific corrective policies. While our analysis does not quantify the negative effects of less ambitious climate policy, it demonstrates where co-benefits and trade-offs of greenhouse gas mitigation and sustainable development agenda exist and can guide policy formulation.</w:t>
      </w:r>
    </w:p>
    <w:p>
      <w:r>
        <w:t>POSSIBLE 2023: Exploring pathways to 100% renewable energy in European industry — https://doi.org/10.1016/j.energy.2023.126687</w:t>
      </w:r>
    </w:p>
    <w:p>
      <w:r>
        <w:t>Shared claim-specific concepts: pathways, transition, each, sectors; EU scope visible. This is a provisional connection, not an outcome finding.</w:t>
      </w:r>
    </w:p>
    <w:p>
      <w:r>
        <w:t>Available abstract (not full text): Industry poses one of the biggest challenges in the renewable energy transition. In this paper, fossil fuels in the European industrial sector are replaced by renewable energy using a novel tool, IndustryPLAN, a planning tool for the assessment of national industrial sectors. In a bottom-up approach, each industry sub-sector is addressed with energy efficiency and fossil fuel replacement measures based on best available and innovative technologies, and in a top-down approach, the fuel and electricity consumption per country is analysed and decarbonised. The results indicate that: 1. Known technologies can decarbonise most of the industrial sector; 2. Costs and efficiencies are improved by energy savings and electrification; 3. Limiting bioenergy consumption is a critical challenge, emphasising the key role of energy savings and electrification, and the alternative of using hydrogen or hydrogen-based electrofuels will make the transition more expensive and induce energy losses. A full transition to renewable energy and a decarbonised industry sector may be possible before 2050, however, this requires that all investments are sustainable from 2030 onwards and that grid electricity is fully decarbonised. This paper presents several pathways toward 100% renewable energy supply in the European industrial sector and discusses the implications of the outlined scenarios.</w:t>
      </w:r>
    </w:p>
    <w:p>
      <w:r>
        <w:t>POSSIBLE 2023: The Future of HSR Program Evaluation: A European Perspective — https://doi.org/10.1093/eurpub/ckad160.052</w:t>
      </w:r>
    </w:p>
    <w:p>
      <w:r>
        <w:t>Shared claim-specific concepts: evaluation, developed; EU scope visible. This is a provisional connection, not an outcome finding.</w:t>
      </w:r>
    </w:p>
    <w:p>
      <w:r>
        <w:t>Available abstract (not full text): Abstract There is a long tradition of program evaluation in public health, due to the influence of medical approaches and the development of evidence-based medicine. Health services research have thus provided substantial evidence and built itself partially on the evaluation of organizational innovations over time in various international healthcare settings. What is new here? What is the future of HSR from an evaluation perspective? Since the turn of the century, two main shifts in the resources and methods available to public health researchers could provide a significant leap for HSR research in Europe, and in France especially. First, more data are being produced and made available to researchers. Most healthcare systems in Europe have implemented DRGs and for doing so, information systems have been developed incidentally. This led to the routine production of data initially used for payment schemes, that are now increasingly being used for research. Although this is similar to what happened in the US, the main difference with European healthcare systems lies in the generalized approach of the welfare system to the whole population. Second, evaluation methods recently evolved towards the framework of what is known as “realist evaluation” based on the causal analysis of programs or public policies while incorporating contextual effects and a theoretical perspective to explai</w:t>
      </w:r>
    </w:p>
    <w:p>
      <w:r>
        <w:t>POSSIBLE 2020: Recycling of European plastic is a pathway for plastic debris in the ocean — https://doi.org/10.1016/j.envint.2020.105893</w:t>
      </w:r>
    </w:p>
    <w:p>
      <w:r>
        <w:t>Shared claim-specific concepts: pathway, three; EU scope visible. This is a provisional connection, not an outcome finding.</w:t>
      </w:r>
    </w:p>
    <w:p>
      <w:r>
        <w:t>Available abstract (not full text): Polyethylene (PE) is one of the most common types of plastic. Whilst an increasing share of post-consumer plastic waste from Europe is collected for recycling, 46% of separated PE waste is exported outside of the source country (including intra-EU trade). The fate of this exported European plastic is not well known. This study integrated data on PE waste flows in 2017 from UN Comtrade, an open repository providing detailed international trade data, with best available information on waste management in destination countries, to model the fate of PE exported for recycling from Europe (EU-28, Norway and Switzerland) into: recycled high-density PE (HDPE) and low-density PE (LDPE) resins, "landfill", incineration and ocean debris. Data uncertainty was reflected in three scenarios representing high, low and average recovery efficiency factors in material recovery facilities and reprocessing facilities, and different ocean debris fate factors. The fates of exported PE were then linked back to the individual European countries of export. Our study estimated that 83,187 Mg (tonnes) (range: 32,115-180,558 Mg), or 3% (1-7%) of exported European PE in 2017 ended up in the ocean, indicating an important and hitherto undocumented pathway of plastic debris entering the oceans. The countries with the greatest percentage of exported PE ending up as recycled HDPE or LDPE were Luxembourg and Swi</w:t>
      </w:r>
    </w:p>
    <w:p>
      <w:r>
        <w:t>POSSIBLE 2019: A protocol to develop Shared Socio-economic Pathways for European agriculture — https://doi.org/10.1016/j.jenvman.2019.109701</w:t>
      </w:r>
    </w:p>
    <w:p>
      <w:r>
        <w:t>Shared claim-specific concepts: evaluation, pathways, develop, suitable, each, sectors; EU scope visible. This is a provisional connection, not an outcome finding.</w:t>
      </w:r>
    </w:p>
    <w:p>
      <w:r>
        <w:t>Available abstract (not full text): Moving towards a more sustainable future requires concerted actions, particularly in the context of global climate change. Integrated assessments of agricultural systems (IAAS) are considered valuable tools to provide sound information for policy and decision-making. IAAS use storylines to define socio-economic and environmental framework assumptions. While a set of qualitative global storylines, known as the Shared Socio-economic Pathways (SSPs), is available to inform integrated assessments at large scales, their spatial resolution and scope is insufficient for regional studies in agriculture. We present a protocol to operationalize the development of Shared Socio-economic Pathways for European agriculture - Eur-Agri-SSPs - to support IAAS. The proposed design of the storyline development process is based on six quality criteria: plausibility, vertical and horizontal consistency, salience, legitimacy, richness and creativity. Trade-offs between these criteria may occur. The process is science-driven and iterative to enhance plausibility and horizontal consistency. A nested approach is suggested to link storylines across scales while maintaining vertical consistency. Plausibility, legitimacy, salience, richness and creativity shall be stimulated in a participatory and interdisciplinary storyline development process. The quality criteria and process design requirements are comb</w:t>
      </w:r>
    </w:p>
    <w:p>
      <w:r>
        <w:t>POSSIBLE 2018: Evaluating perceptions of risk in mosquito experts and identifying undocumented pathways for the introduction of invasive mosquito species into Europe — https://doi.org/10.1111/mve.12344</w:t>
      </w:r>
    </w:p>
    <w:p>
      <w:r>
        <w:t>Shared claim-specific concepts: pathways, pathway, experts, specific; EU scope visible. This is a provisional connection, not an outcome finding.</w:t>
      </w:r>
    </w:p>
    <w:p>
      <w:r>
        <w:t>Available abstract (not full text): In several reported cases of the entry of invasive mosquito species (IMSs) into Europe, the introduction was associated with a specific pathway of introduction or dispersal. The identification of potential pathways for the introduction of IMSs and evaluations of the importance of the different pathways are key to designing proper surveillance strategies to promptly detect and control introductions in non-infested areas. The main goals of the present study were to identify other, previously undocumented, pathways of introduction into Europe, and to identify mosquito experts' perceptions regarding control measures against IMS introductions via different documented pathways. At the European Mosquito Control Association (EMCA) conference in Montenegro in March 2017, a questionnaire was distributed among meeting participants to collect expert data. Results showed that ground transportation (by cars, trucks, etc.), passive natural dispersal and the shipping of used tyres are perceived as the most likely pathways. Introduction via aircraft did not appear to be well known and was not perceived as probable. This study shows that there were no pathways unknown to European experts that could lead to cryptic introductions into the experts' countries. Furthermore, the findings demonstrated that the perceived efficacy of surveillance and control is key to overcoming the constraints experienc</w:t>
      </w:r>
    </w:p>
    <w:p>
      <w:r>
        <w:t>POSSIBLE 2017: Integration of psycho-oncology through the whole care pathway for breast cancer patients in Europe — https://doi.org/10.1016/j.breast.2017.03.004</w:t>
      </w:r>
    </w:p>
    <w:p>
      <w:r>
        <w:t>Shared claim-specific concepts: developed, pathway, specific; EU scope visible. This is a provisional connection, not an outcome finding.</w:t>
      </w:r>
    </w:p>
    <w:p>
      <w:r>
        <w:t>Available abstract (not full text): We are grateful to Drs Bahcivan and Altundag [ [1] Bahcivan O. Altundag K. Considerations to include while setting policy and standards for psycho oncological care in breast cancer services in Europe. Breast. 2017; https://doi.org/10.1016/j.breast.2017.02.007 Abstract Full Text Full Text PDF Scopus (1) Google Scholar ] for providing valuable complementary information to our paper [ [2] Neamtiu L. Deandrea S. Pylkkanen L. et al. Psycho-oncological support for breast cancer patients: a brief overview of breast cancer services certification schemes and national health policies in Europe. Breast. 2016; 29: 178-180 Abstract Full Text Full Text PDF PubMed Scopus (5) Google Scholar ]. We agree that there is a need for harmonisation as training in psycho-oncologyvaries greatly across Europe. However, we propose to look at psycho-oncology as part of comprehensive cancer care rather than merely as a sub-discipline of psychology [ [1] Bahcivan O. Altundag K. Considerations to include while setting policy and standards for psycho oncological care in breast cancer services in Europe. Breast. 2017; https://doi.org/10.1016/j.breast.2017.02.007 Abstract Full Text Full Text PDF Scopus (1) Google Scholar ]. Looking at the cancer care pathway, psycho-oncology addresses the psychological responses to cancer and the psychological, behavioural and social factors that may influence the disease proces</w:t>
      </w:r>
    </w:p>
    <w:p>
      <w:r>
        <w:t>POSSIBLE 2015: Report of a European Society of Cardiology-European Association of Percutaneous Cardiovascular Interventions task force on the evaluation of coronary stents in Europe: executive summary — https://doi.org/10.1093/eurheartj/ehv203</w:t>
      </w:r>
    </w:p>
    <w:p>
      <w:r>
        <w:t>Shared claim-specific concepts: evaluation, pathway, develop, specific; EU scope visible. This is a provisional connection, not an outcome finding.</w:t>
      </w:r>
    </w:p>
    <w:p>
      <w:r>
        <w:t>Available abstract (not full text): The evaluation for European Union market approval of coronary stents falls under the Medical Device Directive that was adopted in 1993. Specific requirements for the assessment of coronary stents are laid out in supplementary advisory documents. In response to a call by the European Commission to make recommendations for a revision of the advisory document on the evaluation of coronary stents (Appendix 1 of MEDDEV 2.7.1), the European Society of Cardiology (ESC) and the European Association of Percutaneous Cardiovascular Interventions (EAPCI) established a Task Force to develop an expert advisory report. As basis for its report, the ESC-EAPCI Task Force reviewed existing processes, established a comprehensive list of all coronary drug-eluting stents that have received a CE mark to date, and undertook a systematic review of the literature of all published randomized clinical trials evaluating clinical and angiographic outcomes of coronary artery stents between 2002 and 2013. Based on these data, the TF provided recommendations to inform a new regulatory process for coronary stents. The main recommendations of the task force include implementation of a standardized non-clinical assessment of stents and a novel clinical evaluation pathway for market approval. The two-stage clinical evaluation plan includes recommendation for an initial pre-market trial with objective performance c</w:t>
      </w:r>
    </w:p>
    <w:p>
      <w:r>
        <w:t>POSSIBLE 2015: Transition Pathways to Sustainable Pastoral Systems in Europe — https://doi.org/10.2174/1874331501509010006</w:t>
      </w:r>
    </w:p>
    <w:p>
      <w:r>
        <w:t>Shared claim-specific concepts: pathways, developed, transition, experts, specific; EU scope visible. This is a provisional connection, not an outcome finding.</w:t>
      </w:r>
    </w:p>
    <w:p>
      <w:r>
        <w:t>Available abstract (not full text): Large Scale Grazing Systems (LSGSs) in Europe are extensive systems of grassland management, which have developed from the interaction of historical background, human behaviour and natural resources, and are mainly located in the Less Favoured Areas (LFAs). LSGSs currently face competing threats towards intensification and/or abandonment but, at the same time, they harbour a significant part of European nature values. Socio-economic driving forces of land abandonment and intensification are poorly addressed. The current system assumes that these LSGSs are inherently uneconomic and only payments for the potential delivery of environmental services and side line activities are the source of continuity and justification of support. Our conceptual approach, however, is based on the assumptions that endogenous development and targeted policy schemes cannot be disregarded. A framework profile is provided for the identification and description of European LSGSs where regeneration plans can be more cost-effective. Under this conceptual approach, operational tools such as pastoral strategies for survival and system-specific management alternatives can be devised for interplay of environmental and socio-economic functions, facilitating interdisciplinary research within and across systems. From the empirical perspective, we show how the trend of abandonment of LSGS in the last 60 years is</w:t>
      </w:r>
    </w:p>
    <w:p>
      <w:pPr>
        <w:pStyle w:val="Heading2"/>
      </w:pPr>
      <w:r>
        <w:t>Modelling Soil Organic Carbon Changes Under Different Maize Cropping Scenarios for Cellulosic Ethanol in Europe</w:t>
      </w:r>
    </w:p>
    <w:p>
      <w:r>
        <w:t>Original source (2014): https://doi.org/10.1007/s12155-014-9529-2</w:t>
      </w:r>
    </w:p>
    <w:p>
      <w:r>
        <w:t>Original wording (abstract; indexed_source_text_not_full_document_verified): In particular, every tonne of C residue converted to bioethanol was predicted to have an additional impact on SOC loss almost ranging from 0.2 to 0.5 CO 2 eq. ha −1 year −1 , considering a continuous biofuel scenario by 2050. Using a recently developed simulation platform, SOC changes were estimated at European level (EU + candidate and potential candidate countries) under two scenarios of low (R30) and high (R90) maize stover removal for cellulosic ethanol production (i.e. 30 and 90 % of stover removal, respectively).</w:t>
      </w:r>
    </w:p>
    <w:p>
      <w:r>
        <w:t>POSSIBLE 2022: A Global Overview of Aquaculture Food Production with a Focus on the Activity’s Development in Transitional Systems—The Case Study of a South European Country (Portugal) — https://doi.org/10.3390/jmse10030417</w:t>
      </w:r>
    </w:p>
    <w:p>
      <w:r>
        <w:t>Shared claim-specific concepts: particular, every, developed; EU scope visible. This is a provisional connection, not an outcome finding.</w:t>
      </w:r>
    </w:p>
    <w:p>
      <w:r>
        <w:t>Available abstract (not full text): World aquaculture food production rises every year, amounting, by 2018, to another all-time record of 82.1 million tonnes of farmed seafood, with Asia leading global production. In Europe, although coastal countries present historical fishing habits, aquaculture is in true expansion. Norway, the leading European producer, is the eighth main producer worldwide. Portugal is a traditional fishing country but has invested in the development of aquaculture for the past decade, attaining, by 2018, 13.3 tonnes produced, making Portugal the 16th main producer amongst European Union member states that year. Most Portuguese aquaculture facilities operate in coastal systems, resorting to extensive and semi-intensive rearing techniques. In Portugal, marine food production in transitional systems is particularly interesting as the practice has, worldwide, been continuously substituted by intensive methods. In fact, facilities in transitional systems have developed over time and products gained higher commercial value. Clams and oysters corresponded, together, to over three quarters of total mollusc production in Portugal in 2018, while gilthead seabream and European seabass made up nearly all fish production in coastal environments. The state of aquaculture practices worldwide is reviewed in the present work, providing a particular focus on Portugal, where considerable development of the aq</w:t>
      </w:r>
    </w:p>
    <w:p>
      <w:r>
        <w:t>POSSIBLE 2019: The Human Cost of Anthropogenic Global Warming: Semi-Quantitative Prediction and the 1,000-Tonne Rule — https://doi.org/10.3389/fpsyg.2019.02323</w:t>
      </w:r>
    </w:p>
    <w:p>
      <w:r>
        <w:t>Shared claim-specific concepts: every, tonne, predicted; EU scope not established. This is a provisional connection, not an outcome finding.</w:t>
      </w:r>
    </w:p>
    <w:p>
      <w:r>
        <w:t>Available abstract (not full text): Greenhouse-gas emissions are indirectly causing future deaths by multiple mechanisms. For example, reduced food and water supplies will exacerbate hunger, disease, violence, and migration. How will anthropogenic global warming (AGW) affect global mortality due to poverty around and beyond 2100? Roughly how much burned fossil carbon corresponds to one future death? What are the psychological, medical, political, and economic implications? Predicted death tolls are crucial for policy formulation, but uncertainty increases with temporal distance from the present and estimates may be biased. Order-of-magnitude estimates should refer to literature from diverse relevant disciplines. The carbon budget for 2°C AGW (roughly 10^12 tonnes carbon) will indirectly cause roughly 10^9 future premature deaths (10% of projected maximum global population), spread over one to two centuries. This zeroth-order prediction is relative and in addition to existing preventable death rates. It lies between likely best- and worst-case scenarios of roughly 3 x 10^8 and 3 x 10^9, corresponding to plus/minus one standard deviation on a logarithmic scale in a Gaussian probability distribution. It implies that one future premature death is caused every time roughly 1000 (300 to 3000) tonnes of carbon are burned. Therefore, any fossil-fuel project that burns millions of tons of carbon is probably indirectly kil</w:t>
      </w:r>
    </w:p>
    <w:p>
      <w:r>
        <w:t>POSSIBLE 2016: Health Impacts of Active Transportation in Europe — https://doi.org/10.1371/journal.pone.0149990</w:t>
      </w:r>
    </w:p>
    <w:p>
      <w:r>
        <w:t>Shared claim-specific concepts: level, potential; EU scope visible. This is a provisional connection, not an outcome finding.</w:t>
      </w:r>
    </w:p>
    <w:p>
      <w:r>
        <w:t>Available abstract (not full text): Policies that stimulate active transportation (walking and bicycling) have been related to heath benefits. This study aims to assess the potential health risks and benefits of promoting active transportation for commuting populations (age groups 16-64) in six European cities. We conducted a health impact assessment using two scenarios: increased cycling and increased walking. The primary outcome measure was all-cause mortality related to changes in physical activity level, exposure to fine particulate matter air pollution with a diameter &lt;2.5 μm, as well as traffic fatalities in the cities of Barcelona, Basel, Copenhagen, Paris, Prague, and Warsaw. All scenarios produced health benefits in the six cities. An increase in bicycle trips to 35% of all trips (as in Copenhagen) produced the highest benefits among the different scenarios analysed in Warsaw 113 (76-163) annual deaths avoided, Prague 61 (29-104), Barcelona 37 (24-56), Paris 37 (18-64) and Basel 5 (3-9). An increase in walking trips to 50% of all trips (as in Paris) resulted in 19 (3-42) deaths avoided annually in Warsaw, 11(3-21) in Prague, 6 (4-9) in Basel, 3 (2-6) in Copenhagen and 3 (2-4) in Barcelona. The scenarios would also reduce carbon dioxide emissions in the six cities by 1,139 to 26,423 (metric tonnes per year). Policies to promote active transportation may produce health benefits, but these depend of the exi</w:t>
      </w:r>
    </w:p>
    <w:p>
      <w:r>
        <w:t>POSSIBLE 2016: Big Data for Supporting Low-Carbon Road Transport Policies in Europe: Applications, Challenges and Opportunities — https://doi.org/10.1016/j.bdr.2016.04.003</w:t>
      </w:r>
    </w:p>
    <w:p>
      <w:r>
        <w:t>Shared claim-specific concepts: every, developed, platform, potential; EU scope visible. This is a provisional connection, not an outcome finding.</w:t>
      </w:r>
    </w:p>
    <w:p>
      <w:r>
        <w:t>Available abstract (not full text): Big data is among the most promising research trends of the decade, drawing attention from every segment of the market and society. This paper provides the scientific community with a comprehensive overview of the applications of a data processing platform designed to harness the potential of big data in the field of road transport policies in Europe. This platform relies on datasets of driving and mobility patterns collected by means of navigation systems. Two datasets from conventional fuel vehicles collected with on-board GPS systems have been used to perform an initial pilot study and develop its core algorithms. They consist of 4.5 million trips and parking events recorded by monitoring 28,000 vehicles over one month. The presented analyses address: (1) large-scale mobility statistics, (2) potential of electric vehicles in replacing conventional fuel vehicles and related modal shift, (3) energy demand coming from electric vehicles, (4) smart design of the recharge infrastructure and Vehicle-to-Grid, and (5) real-world driving and evaporative emissions assessment and mapping. The developed methodology and the presented outcomes demonstrate the potential of big data for policy assessment and better governance, focusing on the challenges and on the huge opportunities offered for future developments. This paper ultimately aims to show how big data can inspire smart policies to</w:t>
      </w:r>
    </w:p>
    <w:p>
      <w:pPr>
        <w:pStyle w:val="Heading2"/>
      </w:pPr>
      <w:r>
        <w:t>Modelling sustainable energy futures for the UK</w:t>
      </w:r>
    </w:p>
    <w:p>
      <w:r>
        <w:t>Original source (2014): https://doi.org/10.1016/j.futures.2014.01.005</w:t>
      </w:r>
    </w:p>
    <w:p>
      <w:r>
        <w:t>Original wording (abstract; indexed_source_text_not_full_document_verified): As a result of signing the Kyoto Agreement the UK will need to reduce carbon emissions to 20% of their 1990 value by 2050. The model allows us to explore different possible pathways to 2050 and the difficulty of the overall endeavour.</w:t>
      </w:r>
    </w:p>
    <w:p>
      <w:r>
        <w:t>POSSIBLE 2023: A Comprehensive Analysis of Kyoto Protocol — https://openalex.org/W7216616326</w:t>
      </w:r>
    </w:p>
    <w:p>
      <w:r>
        <w:t>Shared claim-specific concepts: kyoto, reduce, emissions; EU scope visible. This is a provisional connection, not an outcome finding.</w:t>
      </w:r>
    </w:p>
    <w:p>
      <w:r>
        <w:t>Available abstract (not full text): “We think that the Kyoto Protocol is a necessary document, necessary process. I am convinced that we will agree to disagree about substance” - Goran Persson (Former Prime Minister of Sweden) The Kyoto Protocol was established on December 11th, 1997. Due to a complicated ratification procedure, it went into effect on February 16, 2005. The Kyoto Protocol makes the United Nations Framework Convention on Climate Change operative by obligating industrialised nations and economies in transition to limit and decrease greenhouse gas (GHG) emissions according to the specified objectives. The Convention itself only requires these nations to implement mitigation policies and actions and to submit periodic reports of their progress. It exclusively binds industrialised nations and lays a higher burden on them in accordance with the notion of "common but differentiated responsibility and distinct capacities," recognising that they are primarily responsible for the present high levels of GHG emissions in the atmosphere. Under Annex B of the Kyoto Protocol, 37 industrialised nations, economies in transition, and the European Union are obligated to reduce their emissions.</w:t>
      </w:r>
    </w:p>
    <w:p>
      <w:r>
        <w:t>POSSIBLE 2022: Pledge-and-Review Bargaining: from Kyoto to Paris — https://doi.org/10.1093/ej/ueac076</w:t>
      </w:r>
    </w:p>
    <w:p>
      <w:r>
        <w:t>Shared claim-specific concepts: kyoto, agreement; EU scope not established. This is a provisional connection, not an outcome finding.</w:t>
      </w:r>
    </w:p>
    <w:p>
      <w:r>
        <w:t>Available abstract (not full text): Abstract A tractable dynamic model of international climate policies is analysed. The choice of bargaining game influences participation levels, emission quotas and technology investment levels. I derive several predictions that are arguably consistent with the differences between the 1997 Kyoto Protocol and the 2015 Paris Agreement—including the transitioning from the former to the latter.</w:t>
      </w:r>
    </w:p>
    <w:p>
      <w:r>
        <w:t>POSSIBLE 2022: The Wistar Kyoto Rat: A Model of Depression Traits — https://doi.org/10.2174/1570159x21666221129120902</w:t>
      </w:r>
    </w:p>
    <w:p>
      <w:r>
        <w:t>Shared claim-specific concepts: kyoto, value; EU scope not established. This is a provisional connection, not an outcome finding.</w:t>
      </w:r>
    </w:p>
    <w:p>
      <w:r>
        <w:t xml:space="preserve">Available abstract (not full text): There is an ongoing debate about the value of animal research in psychiatry with valid lines of reasoning stating the limits of individual animal models compared to human psychiatric illnesses. Human depression is not a homogenous disorder; therefore, one cannot expect a single animal model to reflect depression heterogeneity. This limited review presents arguments that the Wistar Kyoto (WKY) rats show intrinsic depression traits. The phenotypes of WKY do not completely mirror those of human depression but clearly indicate characteristics that are common with it. WKYs present despair- like behavior, passive coping with stress, comorbid anxiety, and enhanced drug use compared to other routinely used inbred or outbred strains of rats. The commonly used tests identifying these phenotypes reflect exploratory, escape-oriented, and withdrawal-like behaviors. The WKYs consistently choose withdrawal or avoidance in novel environments and freezing behaviors in response to a challenge in these tests. The physiological response to a stressful environment is exaggerated in WKYs. Selective breeding generated two WKY substrains that are nearly isogenic but show clear behavioral differences, including that of depression-like behavior. WKY and its substrains may share characteristics of subgroups of depressed individuals with social withdrawal, low energy, weight loss, sleep disturbances, and </w:t>
      </w:r>
    </w:p>
    <w:p>
      <w:r>
        <w:t>POSSIBLE 2020: Environmental and economic effectiveness of the Kyoto Protocol — https://doi.org/10.1371/journal.pone.0236299</w:t>
      </w:r>
    </w:p>
    <w:p>
      <w:r>
        <w:t>Shared claim-specific concepts: kyoto, carbon, emissions; EU scope not established. This is a provisional connection, not an outcome finding.</w:t>
      </w:r>
    </w:p>
    <w:p>
      <w:r>
        <w:t>Available abstract (not full text): This study investigates the environmental and economic impacts of the Kyoto Protocol on Annex I parties through an impact assessment by combining the propensity score matching and the difference-in-difference methods. We establish a country-level panel data set including CO2 emissions, gross domestic product (GDP), and other socioeconomic data for 1997-2008 and 2005-2008. Based on the impact evaluation, we conduct the simulation predicting the impacts of the Protocol to capture the differences of marginal damage cost of carbon emissions between the actual and counterfactual situations. The results suggest that participating as an Annex I party has a significant positive impact on CO2 emission reductions, but a negative impact on the GDP of the participants in the long run. The predicted marginal benefit of the Protocol based on the marginal damage cost of carbon emissions shows that the marginal benefit of emission reductions mitigates a limited portion of the GDP loss. Future global climate change frameworks should focus on balancing the impact on economic and environmental performance in order to ensure sustainable development, especially for developing countries that have low capacity to mitigate emissions.</w:t>
      </w:r>
    </w:p>
    <w:p>
      <w:r>
        <w:t>POSSIBLE 2017: The impact of the US retreat from the Paris Agreement: Kyoto revisited? — https://doi.org/10.1080/14693062.2017.1412934</w:t>
      </w:r>
    </w:p>
    <w:p>
      <w:r>
        <w:t>Shared claim-specific concepts: kyoto, agreement, reduce, emissions, different, possible; EU scope not established. This is a provisional connection, not an outcome finding.</w:t>
      </w:r>
    </w:p>
    <w:p>
      <w:r>
        <w:t>Available abstract (not full text): The United States’ decision to withdraw from the Paris Agreement (pending possible re-engagement under different terms) may have significant ramifications for international climate policy, but the implications of this decision remain contested. This commentary illustrates how comparative analysis of US participation in multilateral environmental agreements can inform predictions and future assessments of the decision. We compare and contrast US non-participation in the Kyoto Protocol and the Paris Agreement, focusing on four key areas that may condition the influence of US treaty decisions on international climate policy: (i) global momentum on climate change mitigation; (ii) the possibility of US non-participation giving rise to alternative forms of international collaboration on climate policy; (iii) the timing and circumstances of the US decision to exit; and (iv) the influence of treaty design on countries’ incentives to participate and comply. We find that differences across the two treaties relating to the first three factors are more likely to reduce the negative ramifications of US withdrawal from the Paris Agreement compared to the Kyoto Protocol. However, the increased urgency of deep decarbonization renders US non-participation a major concern despite its declining share of global emissions. Moreover, key design features of the Paris Agreement suggest that other coun</w:t>
      </w:r>
    </w:p>
    <w:p>
      <w:pPr>
        <w:pStyle w:val="Heading2"/>
      </w:pPr>
      <w:r>
        <w:t>More green infrastructure is required to maintain ecosystem services under current trends in land-use change in Europe</w:t>
      </w:r>
    </w:p>
    <w:p>
      <w:r>
        <w:t>Original source (2014): https://doi.org/10.1007/s10980-014-0083-2</w:t>
      </w:r>
    </w:p>
    <w:p>
      <w:r>
        <w:t>Original wording (abstract; indexed_source_text_not_full_document_verified): This scenario is established by the European Commission to assess the impact of energy and climate policy up to 2050. TESI8 is expected to decrease across Europe between 0 and 5 % by 2020 and between 10 and 15 % by 2050 relative to the base year 2010.</w:t>
      </w:r>
    </w:p>
    <w:p>
      <w:r>
        <w:t>POSSIBLE 2026: European Citizens Panels: Assessing their Legitimacy and Meaning for the European Commission — https://openalex.org/W7222989255</w:t>
      </w:r>
    </w:p>
    <w:p>
      <w:r>
        <w:t>Shared claim-specific concepts: established, commission, across; EU scope visible. This is a provisional connection, not an outcome finding.</w:t>
      </w:r>
    </w:p>
    <w:p>
      <w:r>
        <w:t>Available abstract (not full text): The European Commission has been institutionalising models of deliberative democracy since the conclusion of the Conference on the Future of Europe, trying to address its democratic deficit. Despite recent developments in the field of deliberative democracy at the European level, the democratic legitimacy of European Citizens' Panels (ECPs) is hitherto lacking a comprehensive assessment. This research examines the extent to which ECPs fulfil a democratic legitimacy mandate through the well- established input-throughput-output theoretical framework. An uneven achievement of democratic legitimacy is observed across the three criteria, suggesting that ECPs fall short of fully meeting their democratic mandate. Nevertheless, it is argued that the observed positive outcomes contribute to legitimising deliberation itself. The causes of this manifested uneven distribution of legitimacy are traced to the risk-averse and technocratic nature of the Commission, as well as its decision to outsource the design and facilitation of deliberation. Consequently, ECPs are believed to be a direct result of these dynamics and are conceptualised under the novel label of 'strategically sincere' policy instruments.</w:t>
      </w:r>
    </w:p>
    <w:p>
      <w:r>
        <w:t>POSSIBLE 2024: Health impacts methodology in the European Commission — https://doi.org/10.1093/eurpub/ckae144.120</w:t>
      </w:r>
    </w:p>
    <w:p>
      <w:r>
        <w:t>Shared claim-specific concepts: commission, across, between; EU scope visible. This is a provisional connection, not an outcome finding.</w:t>
      </w:r>
    </w:p>
    <w:p>
      <w:r>
        <w:t>Available abstract (not full text): Abstract The state of play in the implementation of health impacts methodology within European Commission impact assessments reveals both advancements and challenges. The Commission has acknowledged the significance of assessing health impacts and has provided a generic methodological description, as outlined in Tool #32 of the Better Regulation guidelines. However, translating this guidance into practical application encounters obstacles stemming from challenges intrinsic to the policy in question, a lack of skills and knowledge, data gaps, and complexities in establishing causal links. In EU policymaking, health impacts are consistently appraised in relevant Impact Assessments across various policy areas, but the methodological intricacy varies. In the fields of public health, occupational safety, and environmental protection, econometric modelling is often employed to quantify potential health impacts rigorously. This involves sophisticated analytical tools designed to capture the complexity of the interactions. Conversely, in areas where the link between policies and health outcomes is less direct (e.g. food safety) or where data limitations pose challenges, a more qualitative appraisal is applied. This acknowledges the limitations in precisely quantifying health impacts and focuses on providing a nuanced understanding of potential health effects based on available informat</w:t>
      </w:r>
    </w:p>
    <w:p>
      <w:r>
        <w:t>POSSIBLE 2024: Assessing pesticide residues occurrence and risks in water systems: A Pan-European and Argentina perspective — https://doi.org/10.1016/j.watres.2024.121419</w:t>
      </w:r>
    </w:p>
    <w:p>
      <w:r>
        <w:t>Shared claim-specific concepts: established, between; EU scope visible. This is a provisional connection, not an outcome finding.</w:t>
      </w:r>
    </w:p>
    <w:p>
      <w:r>
        <w:t>Available abstract (not full text): Freshwater ecosystems face a particularly high risk of biodiversity loss compared to marine and terrestrial systems. The use of pesticides in agricultural fields is recognized as a relevant stressor for freshwater environments, exerting a negative impact worldwide on the overall status and health of the freshwater communities. In the present work, part of the Horizon 2020 funded SPRINT project, the occurrence of 193 pesticide residues was investigated in 64 small water bodies of distinct typology (creeks, streams, channels, ditches, rivers, lakes, ponds and reservoirs), located in regions with high agricultural activity in 10 European countries and in Argentina. Mixtures of pesticide residues were detected in all water bodies (20, median; 8-40 min-max). Total pesticide levels found ranged between 6.89 and 5860 ng/L, highlighting herbicides as the dominant type of pesticides. Glyphosate was the compound with the highest median concentration followed by 2,4-D and MCPA, and in a lower degree by dimethomorph, fluopicolide, prothioconazole and metolachlor(-S). Argentina was the site with the highest total pesticide concentration in water bodies followed by The Netherlands, Portugal and France. One or more pesticides exceeded the threshold values established in the European Water Framework Directive for surface water in 9 out of 11 case study sites (CSS), and the total pesticide conc</w:t>
      </w:r>
    </w:p>
    <w:p>
      <w:r>
        <w:t>POSSIBLE 2023: Access to European Commission Guidance — https://doi.org/10.21552/estal/2023/3/2</w:t>
      </w:r>
    </w:p>
    <w:p>
      <w:r>
        <w:t>Shared claim-specific concepts: commission, assess, between; EU scope visible. This is a provisional connection, not an outcome finding.</w:t>
      </w:r>
    </w:p>
    <w:p>
      <w:r>
        <w:t>Available abstract (not full text): The Treaty on the Functioning of the European Union (TFEU) grants unique powers to the European Commission in the field of State aid.In no other policy field does the TFEU require Member States to inform the Commission of plans to implement a measure and confer to the Commission the right to assess those measures without obtaining the prior consent of the Council or EU courts.Even under Article 258, where the TFEU empowers the Commission to initiate action against Member States that infringe EU law, the TFEU still obliges the Commission to "bring the matter before the Court of Justice".The TFEU establishes this system of prior control of State aid because public subsidies can distort competition in the internal EU market.The integrity of this system depends on the Commission being able to distinguish between subsidies that remedy market failure and subsidies that worsen market failure.However, the effectiveness of prior control is conditional on compliance by Member States.And, compliance by Member States, in turn, depends on the rules being clear and comprehensible.</w:t>
      </w:r>
    </w:p>
    <w:p>
      <w:r>
        <w:t>POSSIBLE 2023: Assessing the role of the European Council and the European Commission during the migration and COVID-19 crises — https://doi.org/10.1080/01402382.2023.2225403</w:t>
      </w:r>
    </w:p>
    <w:p>
      <w:r>
        <w:t>Shared claim-specific concepts: commission, between; EU scope visible. This is a provisional connection, not an outcome finding.</w:t>
      </w:r>
    </w:p>
    <w:p>
      <w:r>
        <w:t>Available abstract (not full text): Over the past decades, ‘emergency politics’ has become a quasi-permanent feature of the European Union (EU). According to some, this has reinforced the trend towards a greater role for the European Council (EUCO) in EU agenda-setting, to the detriment of the European Commission (Commission). In this article, this claim is critically assessed by analysing two major crises: the 2015-2016 migration crisis and the COVID-19 pandemic. By systematically tracing the various agenda-setting roles played by EU actors in these crises, two claims are made. First, using a more fine-grained typology of agenda-setting roles, the relationship between EUCO and the Commission is shown to be more nuanced than is often suggested. Second, EUCO and the Commission cannot be considered monolithic players. Instead, actors within these institutions operate outside of formal channels to purse their own policy goals. This puts in doubt the usefulness of focussing on the EUCO-Commission relationship in a purely inter-institutional sense.</w:t>
      </w:r>
    </w:p>
    <w:p>
      <w:r>
        <w:t>POSSIBLE 2023: The European Commission: a climate policy entrepreneur — https://doi.org/10.4337/9781789906981.00013</w:t>
      </w:r>
    </w:p>
    <w:p>
      <w:r>
        <w:t>Shared claim-specific concepts: commission, energy, climate; EU scope visible. This is a provisional connection, not an outcome finding.</w:t>
      </w:r>
    </w:p>
    <w:p>
      <w:r>
        <w:t>Available abstract (not full text): The European Commission is a crucial actor in EU climate policy in three regards. First, based on its unique role in the EU system as an initiator of policy proposals, it acts as a policy entrepreneur, contributing to the gradual advancement of EU climate policy. In this role, it has promoted commitments to ever more ambitious greenhouse gas emission reduction targets (compared to 1990 levels) that, once agreed, served as the basis for the Commission’s legislative initiatives. Second, as ‘guardian of the treaties’, the Commission monitors EU countries’ compliance with the adopted legislation. To this end, it has constantly improved coordination processes with national governments. Finally, the Commission is actively involved in EU international climate policy, coordinating bi-lateral and multilateral partnerships on climate change and energy with third countries, contributing to knowledge transfer and policy learning.</w:t>
      </w:r>
    </w:p>
    <w:p>
      <w:r>
        <w:t>POSSIBLE 2022: Overseeing the European Commission in the European Semester — https://doi.org/10.1017/9781108886611.005</w:t>
      </w:r>
    </w:p>
    <w:p>
      <w:r>
        <w:t>Shared claim-specific concepts: commission, between; EU scope visible. This is a provisional connection, not an outcome finding.</w:t>
      </w:r>
    </w:p>
    <w:p>
      <w:r>
        <w:t>Available abstract (not full text): This chapter depicts the accountability relationship between the European Parliament and the European Commission in the framework of the European Semester. During the euro crisis, the introduction of the European Semester gave the Commission a stronger implementing role in the coordination of Member States’ economic, fiscal, and social policies. Subsequently, the Parliament gained the right to question the Commission on the Semester not only via letters but also in committee meetings known as ‘Economic Dialogues.’ During the period 2010-2019, Members of the European Parliament have shown diverse interests in the activities of the Commission in the European Semester – with few follow-up questions pushing on specific topics. Given the relationship between the two institutions in the EU political system, oversight focused on requests for the justification of decisions and demands to make concrete changes to policy priorities. For its part, the Commission engaged with most questions openly, albeit there was a clear tendency to defend its conduct and maintain previous courses of action – regardless of requests from the European Parliament.</w:t>
      </w:r>
    </w:p>
    <w:p>
      <w:r>
        <w:t>POSSIBLE 2021: The EASL–Lancet Liver Commission: protecting the next generation of Europeans against liver disease complications and premature mortality — https://doi.org/10.1016/s0140-6736(21)01701-3</w:t>
      </w:r>
    </w:p>
    <w:p>
      <w:r>
        <w:t>Shared claim-specific concepts: commission, across; EU scope visible. This is a provisional connection, not an outcome finding.</w:t>
      </w:r>
    </w:p>
    <w:p>
      <w:r>
        <w:t xml:space="preserve">Available abstract (not full text):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r>
        <w:t>POSSIBLE 2020: The European climate law: too much power for the Commission? — https://openalex.org/W3015455640</w:t>
      </w:r>
    </w:p>
    <w:p>
      <w:r>
        <w:t>Shared claim-specific concepts: established, commission, assess, climate; EU scope visible. This is a provisional connection, not an outcome finding.</w:t>
      </w:r>
    </w:p>
    <w:p>
      <w:r>
        <w:t>Available abstract (not full text): On March 4 2020, the European Commission presented its proposal for a European Climate Law in which a framework for achieving the objective of climate neutrality by 2050 would be legally established. At a political level, this goal has already been endorsed by the European Parliament in its resolution of 14 March 2019 and by the European Council in its conclusions of 12 December 2019. The Commission had hardly tabled its proposal before it was bombarded with critique, including that the Climate Law would constitute a power grab by the Commission, in particular by giving it the power to decide on the appropriate 'trajectory' to 2050. In addition, the Commission intends to follow up on and assess the efforts of the Member States. The present contribution will address these two points in the light of EU primary law.</w:t>
      </w:r>
    </w:p>
    <w:p>
      <w:r>
        <w:t>POSSIBLE 2019: Uses and perceptions of Machine Translation at the European Commission — https://doi.org/10.26034/cm.jostrans.2019.182</w:t>
      </w:r>
    </w:p>
    <w:p>
      <w:r>
        <w:t>Shared claim-specific concepts: established, commission, assess; EU scope visible. This is a provisional connection, not an outcome finding.</w:t>
      </w:r>
    </w:p>
    <w:p>
      <w:r>
        <w:t>Available abstract (not full text): Current research on translation technology seeks to integrate physical, cognitive and organisational ergonomics, and uses insights from the situated cognition paradigm to bring together social and technical perspectives on fast-evolving human-computer interactions. Even though these trends imply that a wider variety of professional contexts should be considered, studies of institutional translation are still scarce. This paper reports on a three-week research stay in the French language department of the European Commission (DGT-Fr2), aimed at understanding current uses and perceptions of machine translation (MT) and post-editing within Europe's biggest translation institution. Based on ethnographic data, we established a survey that we tested among French translators before translating it into English and submitting it to all DGT translators. Our quantitative data include 89 respondents from 15 language departments. We perform multiple linear regressions to assess technology acceptance, before focusing on the variance that the model leaves unexplained. Our findings show that perceptions of control, subjective norm and image, as well as insecurity (fear of MT) have an impact on professional MT acceptance.</w:t>
      </w:r>
    </w:p>
    <w:p>
      <w:r>
        <w:t>POSSIBLE 2016: A STEP IN THE DEMOCRACY IN THE EUROPEAN UNION: ANEXAMINATION ON THE CHOICE OF COMMISSION PRESIDENCY — https://openalex.org/W4299311940</w:t>
      </w:r>
    </w:p>
    <w:p>
      <w:r>
        <w:t>Shared claim-specific concepts: established, commission, energy, between; EU scope visible. This is a provisional connection, not an outcome finding.</w:t>
      </w:r>
    </w:p>
    <w:p>
      <w:r>
        <w:t>Available abstract (not full text): The European Commission, which was first established as a "High Authority" by the European Coal and Steel Community (ECSC), by the ECSC Treaty signed in Paris in 1951, has become the executive organ of the European Union today with its ever increasing powers. The status of the commission, which has a very important place in terms of its powers, stems from the model difference between the ECSC Treaty and the European Economic Community and the European Atomic Energy Community treaties. However, the most important point here is that the position of the presidency of the Commission, which is the leader of this is the driving force, has become a very important position. In this study, the change caused by the election of the commission president, elected in 2014 after the parliamentary elections, which was an assigned position previously, will be discussed. In this discussion, the change in methods of taking charge in the European Commission will be assessed in consideration of the Founding Treaties and other official documents/fundamental reports. Consequently, before and after the May 2014 Parliamentary Elections, this study attempts to shed a light on the present status of the election system for the European Commission Presidency, after the Lisbon Treaty</w:t>
      </w:r>
    </w:p>
    <w:p>
      <w:pPr>
        <w:pStyle w:val="Heading2"/>
      </w:pPr>
      <w:r>
        <w:t>New system of employment forecasting in Poland</w:t>
      </w:r>
    </w:p>
    <w:p>
      <w:r>
        <w:t>Original source (2014): https://doi.org/10.2478/eam-2014-0018</w:t>
      </w:r>
    </w:p>
    <w:p>
      <w:r>
        <w:t>Original wording (abstract; indexed_source_text_not_full_document_verified): The analysis of forecasts enabled drawing some conclusions, important from the point of view of the perspectives of the Polish labour market and the labour market policy. Abstract The goal of the paper was to describe the system of employment forecasting in Poland and to present forecasts results.</w:t>
      </w:r>
    </w:p>
    <w:p>
      <w:r>
        <w:t>POSSIBLE 2026: Demographic Dependency and the Future of the European Workforce: A Spatial–Temporal Forecasting Approach — https://doi.org/10.3390/su18094468</w:t>
      </w:r>
    </w:p>
    <w:p>
      <w:r>
        <w:t>Shared claim-specific concepts: labour; EU scope visible. This is a provisional connection, not an outcome finding.</w:t>
      </w:r>
    </w:p>
    <w:p>
      <w:r>
        <w:t>Available abstract (not full text): This research paper examines the spatial and time variation of demographic dependency in Europe in a 30-year horizon of the evolution of the demographic dividend regarding the economic dependency ratio (ADR1). We used the Curve Fit Forecast tool to estimate the trends of ADR1 in each of the EU Member States using data on Eurostat projections and a sophisticated geostatistical analysis tool developed in ArcGIS Pro 3.2.2. The findings indicate that the dependency in all countries has increased significantly in a statistically significant manner as the Gompertz function has appeared as the best curve in a third of the cases. It is an S-shaped asymptotic behaviour of this function that effectively describes the nonlinear patterns of acceleration and saturation of demographic ageing. As indicated in the analysis, the European regions are increasingly moving apart, with the southern and eastern nations such as Romania demonstrating the most alarming decline in ADR1. These trends highlight the need to reform labour market policies and social protection mechanisms to an ageing population. The paper combines the curve-fitting, descriptive statistics (median, skewness, interquartile range (IQR)) with time clustering (value, correlation, and Fourier) to provide an effective, replicable approach to early warning and policy prioritisation. Overall, the results highlight the importance of in</w:t>
      </w:r>
    </w:p>
    <w:p>
      <w:r>
        <w:t>POSSIBLE 2021: Medical Brain Drain From Southeastern Europe: Using Digital Demography to Forecast Health Worker Emigration — https://doi.org/10.2196/30831</w:t>
      </w:r>
    </w:p>
    <w:p>
      <w:r>
        <w:t>Shared claim-specific concepts: forecasts, drawing, conclusions, system; EU scope visible. This is a provisional connection, not an outcome finding.</w:t>
      </w:r>
    </w:p>
    <w:p>
      <w:r>
        <w:t>Available abstract (not full text): BACKGROUND: This paper shows that the tools of digital demography, such as Google Trends, can be used for determining, estimating, and predicting the migration of health care workers (HWs), in this case, from Croatia and the Western Balkans (WB) to Germany and Austria. OBJECTIVE: This study aims to test the usefulness of Google Trends indexes to forecast HW migration from Croatia and the WB to Germany and Austria. The paper analyzes recent trends in HW mobility in Europe and focuses specifically on mobility patterns among medical doctors and nurses using digital demography. Without increased emigration in the last 10 years, Croatia and the WB would have 50% more HWs today, and this staff is now crucial in the fight against a pandemic. Furthermore, the COVID-19 pandemic contributed to the increase in emigration. METHODS: A particular problem in analyzing the emigration of HCWs from Croatia and the WB is that there is no system for monitoring this process. Official data is up to 3 years late and exists only for persons deregistered from the state system. Furthermore, during the pandemic, the "normal" ways of data collection are simply too slow. The primary methodological concept of our approach is to monitor the digital trace of language searches with the Google Trends analytical tool. To standardize the data, we requested the data from January 2010 to December 2020 and divided t</w:t>
      </w:r>
    </w:p>
    <w:p>
      <w:r>
        <w:t>POSSIBLE 2019: Argoverse: 3D Tracking and Forecasting With Rich Maps — https://doi.org/10.1109/cvpr.2019.00895</w:t>
      </w:r>
    </w:p>
    <w:p>
      <w:r>
        <w:t>Shared claim-specific concepts: point, view, present; EU scope not established. This is a provisional connection, not an outcome finding.</w:t>
      </w:r>
    </w:p>
    <w:p>
      <w:r>
        <w:t>Available abstract (not full text): We present Argoverse, a dataset designed to support autonomous vehicle perception tasks including 3D tracking and motion forecasting. Argoverse includes sensor data collected by a fleet of autonomous vehicles in Pittsburgh and Miami as well as 3D tracking annotations, 300k extracted interesting vehicle trajectories, and rich semantic maps. The sensor data consists of 360 degree images from 7 cameras with overlapping fields of view, forward-facing stereo imagery, 3D point clouds from long range LiDAR, and 6-DOF pose. Our 290km of mapped lanes contain rich geometric and semantic metadata which are not currently available in any public dataset. All data is released under a Creative Commons license at Argoverse.org. In baseline experiments, we use map information such as lane direction, driveable area, and ground height to improve the accuracy of 3D object tracking. We use 3D object tracking to mine for more than 300k interesting vehicle trajectories to create a trajectory forecasting benchmark. Motion forecasting experiments ranging in complexity from classical methods (k-NN) to LSTMs demonstrate that using detailed vector maps with lane-level information substantially reduces prediction error. Our tracking and forecasting experiments represent only a superficial exploration of the potential of rich maps in robotic perception. We hope that Argoverse will enable the research commun</w:t>
      </w:r>
    </w:p>
    <w:p>
      <w:r>
        <w:t>POSSIBLE 2019: Colour forecasting — https://doi.org/10.1080/00405167.2019.1659564</w:t>
      </w:r>
    </w:p>
    <w:p>
      <w:r>
        <w:t>Shared claim-specific concepts: drawing, important, view, system; EU scope not established. This is a provisional connection, not an outcome finding.</w:t>
      </w:r>
    </w:p>
    <w:p>
      <w:r>
        <w:t>Available abstract (not full text): The underlying principles of colour forecasting now have a history spanning a full century. This issue of Textile Progress is somewhat timely as the challenges that industry face now differ from those of the twentieth century, in particular, the increased need to address sustainability and the increased competiveness of the global marketplace. This Textile Progress provides an overview of the historical context drawing out the importance of the role of colour forecasting in the fashion and textile industries. It provides a detailed analysis of the more-recently established and establishing trend forecasting methods with a view to thinking more innovatively about the potential of colour forecasting. It investigates the effects and impact of colour and trend forecasting with a particular focus on the consequences of the process and system on business, on consumers and on the environment. In reviewing the developments in colour forecasting, we begin with the subjective techniques highlighting the strengths and weaknesses of the approaches. The more-objective characteristics that have emerged from new developments and new thinking provide a focus on the potential for greater accuracy in colour forecasting. This issue of Textile Progress explains how and why colour forecasting is an essential component of the business of making and selling fashion garments, through merchandising, re</w:t>
      </w:r>
    </w:p>
    <w:p>
      <w:r>
        <w:t>POSSIBLE 2017: Summer drought predictability over Europe: empirical versus dynamical forecasts — https://doi.org/10.1088/1748-9326/aa7859</w:t>
      </w:r>
    </w:p>
    <w:p>
      <w:r>
        <w:t>Shared claim-specific concepts: forecasts, important, system; EU scope visible. This is a provisional connection, not an outcome finding.</w:t>
      </w:r>
    </w:p>
    <w:p>
      <w:r>
        <w:t>Available abstract (not full text): Seasonal climate forecasts could be an important planning tool for farmers, government and insurance companies that can lead to better and timely management of seasonal climate risks. However, climate seasonal forecasts are often under-used, because potential users are not well aware of the capabilities and limitations of these products. This study aims at assessing the merits and caveats of a statistical empirical method, the ensemble streamflow prediction system (ESP, an ensemble based on reordering historical data) and an operational dynamical forecast system, the European Centre for Medium-Range Weather Forecasts—System 4 (S4) in predicting summer drought in Europe. Droughts are defined using the Standardized Precipitation Evapotranspiration Index for the month of August integrated over 6 months. Both systems show useful and mostly comparable deterministic skill. We argue that this source of predictability is mostly attributable to the observed initial conditions. S4 shows only higher skill in terms of ability to probabilistically identify drought occurrence. Thus, currently, both approaches provide useful information and ESP represents a computationally fast alternative to dynamical prediction applications for drought prediction.</w:t>
      </w:r>
    </w:p>
    <w:p>
      <w:pPr>
        <w:pStyle w:val="Heading2"/>
      </w:pPr>
      <w:r>
        <w:t>Reform of experimental structures in animal science in France: From exploratory foresight to operational set-up</w:t>
      </w:r>
    </w:p>
    <w:p>
      <w:r>
        <w:t>Original source (2014): https://doi.org/10.1684/agr.2014.0698</w:t>
      </w:r>
    </w:p>
    <w:p>
      <w:r>
        <w:t>Original wording (abstract; indexed_source_text_not_full_document_verified): Based on a more general foresight exercise carried out at the national level (INRA 2020), different scenarios were built and then analysed for the 2025 horizon by a working group under the responsibility of an external chairman. Finally, four scenarios were submitted to the INRA General Direction who chose the European infrastructure.</w:t>
      </w:r>
    </w:p>
    <w:p>
      <w:r>
        <w:t>POSSIBLE 2026: Eye of Europe Foresight Training Manual — https://openalex.org/W7220785974</w:t>
      </w:r>
    </w:p>
    <w:p>
      <w:r>
        <w:t>Shared claim-specific concepts: foresight, level, submitted; EU scope visible. This is a provisional connection, not an outcome finding.</w:t>
      </w:r>
    </w:p>
    <w:p>
      <w:r>
        <w:t>Available abstract (not full text):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r>
        <w:t>POSSIBLE 2025: From Reaction to Foresight: EUPHA’s vision for health security in Europe — https://doi.org/10.1093/eurpub/ckaf071</w:t>
      </w:r>
    </w:p>
    <w:p>
      <w:r>
        <w:t>Shared claim-specific concepts: based, foresight, carried, national, different, built; EU scope visible. This is a provisional connection, not an outcome finding.</w:t>
      </w:r>
    </w:p>
    <w:p>
      <w:r>
        <w:t>Available abstract (not full text):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r>
        <w:t>POSSIBLE 2024: Emerging Biotechnologies in Europe: Foresight for Policy — https://doi.org/10.2760/4814109</w:t>
      </w:r>
    </w:p>
    <w:p>
      <w:r>
        <w:t>Shared claim-specific concepts: foresight, out, external, who; EU scope visible. This is a provisional connection, not an outcome finding.</w:t>
      </w:r>
    </w:p>
    <w:p>
      <w:r>
        <w:t>Available abstract (not full text):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r>
        <w:t>POSSIBLE 2024: What future for EU foresight? A critical perspective on the institutionalisation of foresight — https://doi.org/10.1111/eulj.12528</w:t>
      </w:r>
    </w:p>
    <w:p>
      <w:r>
        <w:t>Shared claim-specific concepts: foresight, out, level; EU scope visible. This is a provisional connection, not an outcome finding.</w:t>
      </w:r>
    </w:p>
    <w:p>
      <w:r>
        <w:t>Available abstract (not full text): Abstract What are the potential strengths and weaknesses in the current reconstruction of foresight at the EU level? In questioning foresight's institutionalisation processes from both a historical and a political sociology perspective, the article claims that charting the future is an issue of political power and that, hence, foresight's institutionalisation can never be taken for granted. More precisely, we identify two factors that determine how such process plays out. First, it depends on the definition and importance of the future according to specific contexts (war, economic or health crisis, periods of growth, etc.). Second, this changing definition intertwines with socio‐institutional structures and agents that are crucial for this institutionalisation to be sustainable. The analysis is twofold. First, we provide an overview of past international experiences of projections into the future (both foresight and forecast). Second, we illustrate how these issues may resurface and rebound within the EU’s unique power context.</w:t>
      </w:r>
    </w:p>
    <w:p>
      <w:r>
        <w:t>POSSIBLE 2022: Foresight and regulation: anticipatory governance and administrative foresight in times of transition and recovery — https://openalex.org/W7125625500</w:t>
      </w:r>
    </w:p>
    <w:p>
      <w:r>
        <w:t>Shared claim-specific concepts: based, general, foresight, exercise, group, external; EU scope visible. This is a provisional connection, not an outcome finding.</w:t>
      </w:r>
    </w:p>
    <w:p>
      <w:r>
        <w:t>Available abstract (not full text): [EN] Administrative law has the challenge to protect rights without a time and general. Regulation and administrative activity, in its pursuit of the general interest, cannot renounce the creation of spaces for the exercise of executive power in a collaborative or participatory manner. Considering the possible future means adapting the rules and the activity of the administration to the current reality, without compromising the actions of governments in the future in order to respect international consensus, such as the green pact and sustainable economic recovery. Esta situación es objeto de reflexión en esta obra colectiva que constituye la primera reflexión realizada por los investigadores del proyecto de investigación I+D+I financiado por el Ministerio de ciencia e innovación, Gobierno de España con el título: Por un consenso de futuro sostenible: Gobernanza anticipatoria y Prospectiva administrativa (PROFUTURE) PID2020-116401GB-I00 Foresight offers a range of experiences for a practical application of foresight to administrative planning and policy development. These tools are based on the bureaucratic reality and the competences of public administrations. As a consequence of the health, economic and energy crises, administrations will have to face planning and decision-making for recovery. Are they prepared? Administrations make decisions with models that do not foresee t</w:t>
      </w:r>
    </w:p>
    <w:p>
      <w:r>
        <w:t>POSSIBLE 2021: New Strategic Foresight in EU — https://doi.org/10.15211/soveurope720215060</w:t>
      </w:r>
    </w:p>
    <w:p>
      <w:r>
        <w:t>Shared claim-specific concepts: based, general, foresight, four; EU scope visible. This is a provisional connection, not an outcome finding.</w:t>
      </w:r>
    </w:p>
    <w:p>
      <w:r>
        <w:t>Available abstract (not full text): The article deals with the consideration of the concept and practice of the new strategic foresight being developed in the European Union. It summarizes the EU's experience in clarifying the conceptual framework, in the conceptual apparatus, methodology and expected practice of using strategic foresight for the development and implementation of policies to achieve the declared goals of long-term development. The main attention is paid to the analysis of four interrelated factors assessed by the European Commission as determining its target setting for sustainable development: socio-economic, geopolitical, green and digital, as well as issues of political decisions monitoring. Based on the results of the work, conclusions were made that are of fundamental importance for the formation of the prognostic component of domestic policy, with a focus on the general socio-economic and political conditions necessary to create a strategic forecasting system that is not yet available in Russia, adequate to the requirements of modern development.</w:t>
      </w:r>
    </w:p>
    <w:p>
      <w:r>
        <w:t>POSSIBLE 2019: European electricity sector decarbonization under different levels of foresight — https://doi.org/10.1016/j.renene.2019.02.099</w:t>
      </w:r>
    </w:p>
    <w:p>
      <w:r>
        <w:t>Shared claim-specific concepts: foresight, out, different; EU scope visible. This is a provisional connection, not an outcome finding.</w:t>
      </w:r>
    </w:p>
    <w:p>
      <w:r>
        <w:t>Available abstract (not full text):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r>
        <w:t>POSSIBLE 2019: Foresight workshop summary: The future of Europe depends on how it manages the risks of climate extremes : Foresight: December 2018 Workshop summary — https://openalex.org/W3082533459</w:t>
      </w:r>
    </w:p>
    <w:p>
      <w:r>
        <w:t>Shared claim-specific concepts: based, foresight, out, working; EU scope visible. This is a provisional connection, not an outcome finding.</w:t>
      </w:r>
    </w:p>
    <w:p>
      <w:r>
        <w:t>Available abstract (not full text): This report is partly based on the The future of Europe and the future of climate action: reflections and scenarios for the EU27 by Jonathan Gaventa and Manon Dufour, E3G; Martin Nesbit and Kamila Paquel, IEEP and Radostina Primova, HBS EU and mostly on the PLACARD Foresight workshop: facing the future of Europe’s climate – EU governance and climate risks at a crossroads One of the working streams of PLACARD is to promote foresight. Foresight is a method to try out a set of forward-looking approaches that help decision-makers explore and anticipate what might happen. This allows decision-makers to prepare for a range of possible futures, and influence and shape those futures.</w:t>
      </w:r>
    </w:p>
    <w:p>
      <w:r>
        <w:t>POSSIBLE 2019: Horizon Scanning in Foresight – Why Horizon Scanning is only a part of the game — https://doi.org/10.1002/ffo2.23</w:t>
      </w:r>
    </w:p>
    <w:p>
      <w:r>
        <w:t>Shared claim-specific concepts: foresight, national, different, horizon; EU scope visible. This is a provisional connection, not an outcome finding.</w:t>
      </w:r>
    </w:p>
    <w:p>
      <w:r>
        <w:t>Available abstract (not full text):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r>
        <w:t>POSSIBLE 2018: Accompanying technology development in the Human Brain Project: From foresight to ethics management — https://doi.org/10.1016/j.futures.2018.01.005</w:t>
      </w:r>
    </w:p>
    <w:p>
      <w:r>
        <w:t>Shared claim-specific concepts: general, foresight, who; EU scope visible. This is a provisional connection, not an outcome finding.</w:t>
      </w:r>
    </w:p>
    <w:p>
      <w:r>
        <w:t>Available abstract (not full text): This paper addresses the question of managing the existential risk potential of general Artificial Intelligence (AI), as well as the more near-term yet hazardous and disruptive implications of specialised AI, from the perspective of a particular research project that could make a significant contribution to the development of Artificial Intelligence (AI): the Human Brain Project (HBP), a ten-year Future and Emerging Technologies Flagship of the European Commission. The HBP aims to create a digital research infrastructure for brain science, cognitive neuroscience, and brain-inspired computing. This paper builds on work undertaken in the HBP’s Ethics and Society subproject (SP12). Collaborators from two activities in SP12, Foresight and Researcher Awareness on the one hand, and Ethics Management on the other, use the case of machine intelligence to illustrate key aspects of the dynamic processes through which questions of ethics and society, including existential risks, are approached in the organisational context of the HBP. The overall aim of the paper is to provide practice-based evidence, enriched by self-reflexive assessment of the approach used and its limitations, for guiding policy makers and communities who are, and will be, engaging with such questions.</w:t>
      </w:r>
    </w:p>
    <w:p>
      <w:r>
        <w:t>POSSIBLE 2015: Corporate foresight: An emerging field with a rich tradition — https://doi.org/10.1016/j.techfore.2015.11.002</w:t>
      </w:r>
    </w:p>
    <w:p>
      <w:r>
        <w:t>Shared claim-specific concepts: based, general, foresight, four; EU scope not established. This is a provisional connection, not an outcome finding.</w:t>
      </w:r>
    </w:p>
    <w:p>
      <w:r>
        <w:t>Available abstract (not full text): The goal of this introductory article to the Special Issue on Corporate Foresight is to provide an overview of the state of the art, major challenges and to identify development trajectories. We define corporate foresight as a practice that permits an organization to lay the foundation for a future competitive advantage. Historically we distinguish and discuss four main phases: 1) birth of the field (1950s), 2) the age of scenarios (1960s–1970s), 3) professionalization (1980s–1990s), and 4) organizational integration (2000–). A systematic literature search revealed 102 articles on foresight, 29 of them on corporate foresight. Based on these articles and those in this Special Issue, we identify four main themes. Two more mature themes, namely ‘organizing corporate foresight’, and ‘individual and collective cognition’, and two emerging themes ‘corporate foresight in networked organizations’, and ‘quantifying value contributions’. In the conclusion we make a plea for establishing corporate foresight as a separate research stream that can adopt various theoretical foundations from a number of general management research traditions. To help the field move forward we identify three areas in which corporate foresight research can build on theoretical notions in general management, and can contribute to such on-going debates.</w:t>
      </w:r>
    </w:p>
    <w:p>
      <w:pPr>
        <w:pStyle w:val="Heading2"/>
      </w:pPr>
      <w:r>
        <w:t>Scenario analysis for nutrient emission reduction in the European inland waters</w:t>
      </w:r>
    </w:p>
    <w:p>
      <w:r>
        <w:t>Original source (2014): https://doi.org/10.1088/1748-9326/9/12/125007</w:t>
      </w:r>
    </w:p>
    <w:p>
      <w:r>
        <w:t>Original wording (abstract; indexed_source_text_not_full_document_verified): In the present study we evaluate a set of alternative scenarios aiming at reducing nitrogen and phosphorus emissions from anthropogenic activities to all European Seas. Then we tested two human diet scenarios and their impacts on nutrient emissions.</w:t>
      </w:r>
    </w:p>
    <w:p>
      <w:r>
        <w:t>POSSIBLE 2023: Towards an “Evaluation Dilemmas Model” – designing an evaluation scheme for a European capital of culture — https://doi.org/10.1108/aam-09-2021-0046</w:t>
      </w:r>
    </w:p>
    <w:p>
      <w:r>
        <w:t>Shared claim-specific concepts: present, set, two; EU scope visible. This is a provisional connection, not an outcome finding.</w:t>
      </w:r>
    </w:p>
    <w:p>
      <w:r>
        <w:t xml:space="preserve">Available abstract (not full text): Purpose During the evaluation of European Capital of Culture (ECoC) Aarhus 2017, the evaluation organisation rethinkIMPACTS 2017 formulated a set of “dilemmas” capturing the main challenges arising during the design of the ECoC evaluation. This functioned as a framework for the evaluation process. This paper aims to present and discuss the relevance of the “Evaluation Dilemmas Model” as subsequently applied to the Galway 2020 ECoC programme evaluation. Design/methodology/approach The paper takes an empirical approach including auto-ethnography and interview data to document and map the dilemmas involved in undertaking an evaluation in two different European cities. Evolved via a process of practice-based research, the article addresses the development of and the arguments for the dilemmas model and considers its potential for wider applicability in the evaluation of large-scale cultural projects. Findings The authors conclude that the “Evaluation Dilemmas Model” is a valuable heuristic for considering the endogenous and exogenous issues in cultural evaluation. Practical implications The model developed is useful for a wide range of cultural evaluation processes including – but not limited to – European Capitals of Culture. Originality/value What has not been addressed in the academic literature is the process of evaluating ECoCs; especially how evaluators often take part in an </w:t>
      </w:r>
    </w:p>
    <w:p>
      <w:r>
        <w:t>POSSIBLE 2022: Pollen-Based Maps of Past Regional Vegetation Cover in Europe Over 12 Millennia—Evaluation and Potential — https://doi.org/10.3389/fevo.2022.795794</w:t>
      </w:r>
    </w:p>
    <w:p>
      <w:r>
        <w:t>Shared claim-specific concepts: present, evaluate, anthropogenic, human; EU scope visible. This is a provisional connection, not an outcome finding.</w:t>
      </w:r>
    </w:p>
    <w:p>
      <w:r>
        <w:t>Available abstract (not full text): Realistic and accurate reconstructions of past vegetation cover are necessary to study past environmental changes. This is important since the effects of human land-use changes (e.g. agriculture, deforestation and afforestation/reforestation) on biodiversity and climate are still under debate. Over the last decade, development, validation, and application of pollen-vegetation relationship models have made it possible to estimate plant abundance from fossil pollen data at both local and regional scales. In particular, the REVEALS model has been applied to produce datasets of past regional plant cover at 1° spatial resolution at large subcontinental scales (North America, Europe, and China). However, such reconstructions are spatially discontinuous due to the discrete and irregular geographical distribution of sites (lakes and peat bogs) from which fossil pollen records have been produced. Therefore, spatial statistical models have been developed to create continuous maps of past plant cover using the REVEALS-based land cover estimates. In this paper, we present the first continuous time series of spatially complete maps of past plant cover across Europe during the Holocene (25 time windows covering the period from 11.7 k BP to present). We use a spatial-statistical model for compositional data to interpolate REVEALS-based estimates of three major land-cover types (LCTs), i.e., e</w:t>
      </w:r>
    </w:p>
    <w:p>
      <w:r>
        <w:t>POSSIBLE 2020: The Making of the New European Wind Atlas – Part 2: Production and evaluation — https://doi.org/10.5194/gmd-13-5079-2020</w:t>
      </w:r>
    </w:p>
    <w:p>
      <w:r>
        <w:t>Shared claim-specific concepts: present, set, all, two; EU scope visible. This is a provisional connection, not an outcome finding.</w:t>
      </w:r>
    </w:p>
    <w:p>
      <w:r>
        <w:t xml:space="preserve">Available abstract (not full text): Abstract. This is the second of two papers that document the creation of the New European Wind Atlas (NEWA). In Part 1, we described the sensitivity experiments and accompanying evaluation done to arrive at the final mesoscale model setup used to produce the mesoscale wind atlas. In this paper, Part 2, we document how we made the final wind atlas product, covering both the production of the mesoscale climatology generated with the Weather Research and Forecasting (WRF) model and the microscale climatology generated with the Wind Atlas Analysis and Applications Program (WAsP). The paper includes a detailed description of the technical and practical aspects that went into running the mesoscale simulations and the downscaling using WAsP. We show the main results from the final wind atlas and present a comprehensive evaluation of each component of the NEWA model chain using observations from a large set of tall masts located all over Europe. The added value of the WRF and WAsP downscaling of wind climatologies is evaluated relative to the performance of the driving ERA5 reanalysis and shows that the WRF downscaling reduces the mean wind speed bias and spread relative to that of ERA5 from −1.50 ± 1.30 to 0.02 ± 0.78 ms−1. The WAsP downscaling has an added positive impact relative to that of the WRF model in simple terrain. In complex terrain, where the assumptions of the linearised </w:t>
      </w:r>
    </w:p>
    <w:p>
      <w:r>
        <w:t>POSSIBLE 2016: Evaluation of European air quality modelled by CAMx including the volatility basis set scheme — https://doi.org/10.5194/acp-16-10313-2016</w:t>
      </w:r>
    </w:p>
    <w:p>
      <w:r>
        <w:t>Shared claim-specific concepts: set, nitrogen, emissions, anthropogenic, all, two; EU scope visible. This is a provisional connection, not an outcome finding.</w:t>
      </w:r>
    </w:p>
    <w:p>
      <w:r>
        <w:t>Available abstract (not full text):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r>
        <w:t>POSSIBLE 2016: Reassessing changes in diurnal temperature range: Intercomparison and evaluation of existing global data set estimates — https://doi.org/10.1002/2015jd024584</w:t>
      </w:r>
    </w:p>
    <w:p>
      <w:r>
        <w:t>Shared claim-specific concepts: set, all, two; EU scope visible. This is a provisional connection, not an outcome finding.</w:t>
      </w:r>
    </w:p>
    <w:p>
      <w:r>
        <w:t>Available abstract (not full text): Abstract Changes in diurnal temperature range (DTR) over global land areas are compared from a broad range of independent data sets. All data sets agree that global‐mean DTR has decreased significantly since 1950, with most of that decrease occurring over 1960–1980. The since‐1979 trends are not significant, with inter‐data set disagreement even over the sign of global changes. Inter‐data set spread becomes greater regionally and in particular at the grid box level. Despite this, there is general agreement that DTR decreased in North America, Europe, and Australia since 1951, with this decrease being partially reversed over Australia and Europe since the early 1980s. There is substantive disagreement between data sets prior to the middle of the twentieth century, particularly over Europe, which precludes making any meaningful conclusions about DTR changes prior to 1950, either globally or regionally. Several variants that undertake a broad range of approaches to postprocessing steps of gridding and interpolation were analyzed for two of the data sets. These choices have a substantial influence in data sparse regions or periods. The potential of further insights is therefore inextricably linked with the efficacy of data rescue and digitization for maximum and minimum temperature series prior to 1950 everywhere and in data sparse regions throughout the period of record. Over Nort</w:t>
      </w:r>
    </w:p>
    <w:p>
      <w:r>
        <w:t>POSSIBLE 2015: Histopathological evaluation of thrombus in patients presenting with stent thrombosis. A multicenter European study: a report of the prevention of late stent thrombosis by an interdisciplinary global European effort consortium — https://doi.org/10.1093/eurheartj/ehv419</w:t>
      </w:r>
    </w:p>
    <w:p>
      <w:r>
        <w:t>Shared claim-specific concepts: present, evaluate, all; EU scope visible. This is a provisional connection, not an outcome finding.</w:t>
      </w:r>
    </w:p>
    <w:p>
      <w:r>
        <w:t>Available abstract (not full text): BACKGROUND: Stent thrombosis (ST) is a rare but serious complication following percutaneous coronary intervention. Analysis of thrombus composition from patients undergoing catheter thrombectomy may provide important insights into the pathological processes leading to thrombus formation. We performed a large-scale multicentre study to evaluate thrombus specimens in patients with ST across Europe. METHODS: Patients presenting with ST and undergoing thrombus aspiration were eligible for inclusion. Thrombus collection was performed according to a standardized protocol and specimens were analysed histologically at a core laboratory. Serial tissue cross sections were stained with haematoxylin-eosin (H&amp;E), Carstairs and Luna. Immunohistochemistry was performed to identify leukocyte subsets, prothrombotic neutrophil extracellular traps (NETs), erythrocytes, platelets, and fibrinogen. RESULTS: Overall 253 thrombus specimens were analysed; 79 (31.2%) from patients presenting with early ST, 174 (68.8%) from late ST; 79 (31.2%) were from bare metal stents, 166 (65.6%) from drug-eluting stents, 8 (3.2%) were from stents of unknown type. Thrombus specimens displayed heterogeneous morphology with platelet-rich thrombus and fibrin/fibrinogen fragments most abundant; mean platelet coverage was 57% of thrombus area. Leukocyte infiltrations were hallmarks of both early and late ST (early: 2260 ±</w:t>
      </w:r>
    </w:p>
    <w:p>
      <w:pPr>
        <w:pStyle w:val="Heading2"/>
      </w:pPr>
      <w:r>
        <w:t>Scenarios for renewable energy deployment in North African countries and electricity exchange with Europe – A modelbased analysis for 2050</w:t>
      </w:r>
    </w:p>
    <w:p>
      <w:r>
        <w:t>Original source (2014): https://doi.org/10.12720/sgce.3.3.299-306</w:t>
      </w:r>
    </w:p>
    <w:p>
      <w:r>
        <w:t>Original wording (abstract; indexed_source_text_not_full_document_verified): Deployment of renewable energy technologies in North Africa has large potentials for both, the coverage of the growing local electricity demand and for export of electricity to neighboring regions such as Europe.The presented research analyzes four scenarios with high shares of renewable energies in electricity generation (regional average 83-98%) in five North African countries and evaluates the opportunities and technical challenges for exchange of electricity within the region and with Europe.It was found that extensive grid reinforcements would be required to realize the presented scenarios.With respect to inner-regional transmission capacities in North Africa, results show that, depending on the scenario, about 90 % of the present grid would have to be expanded substantially in order to handle the expected transmission volumes in 2050.</w:t>
      </w:r>
    </w:p>
    <w:p>
      <w:r>
        <w:t>POSSIBLE 2026: Renewable-energy deployment and electricity-system integration in the European Union — https://doi.org/10.1680/jener.26.00046</w:t>
      </w:r>
    </w:p>
    <w:p>
      <w:r>
        <w:t>Shared claim-specific concepts: deployment, renewable, energy, electricity, generation; EU scope visible. This is a provisional connection, not an outcome finding.</w:t>
      </w:r>
    </w:p>
    <w:p>
      <w:r>
        <w:t>Available abstract (not full text): This study presents a comprehensive assessment of the European Union’s renewable energy transition, focusing on structural changes in electricity generation between 2015 and 2024. Using recent data from Eurostat and the International Renewable Energy Agency, the analysis shows that renewables reached 47.3% of total EU electricity generation in 2024, surpassing fossil fuels for the first time, largely driven by the rapid expansion of solar photovoltaic and wind energy. Despite this progress, achieving the EU’s enhanced 2030 target of 42.5% renewables and the global tripling pledge under COP28 remains challenging. Key barriers include limitations in grid integration, supply chain constraints, and slower decarbonisation in transport and heating sectors. This study highlights the need to move beyond capacity expansion towards a more integrated approach that emphasises system flexibility, sector coupling, and circular supply chains. It proposes a forward-looking policy framework that integrates technological, economic, and governance dimensions to support a resilient and climate-neutral energy system. The findings contribute to ongoing policy discussions by providing practical insights for advancing the next phase of the EU energy transition.</w:t>
      </w:r>
    </w:p>
    <w:p>
      <w:r>
        <w:t>POSSIBLE 2026: Research Capacity, Scientific Collaboration, and Renewable- Energy Deployment Across Europe: A Longitudinal Systems Analysis — https://doi.org/10.3390/systems14101216</w:t>
      </w:r>
    </w:p>
    <w:p>
      <w:r>
        <w:t>Shared claim-specific concepts: deployment, energy; EU scope visible. This is a provisional connection, not an outcome finding.</w:t>
      </w:r>
    </w:p>
    <w:p>
      <w:r>
        <w:t>Available abstract (not full text): Europe’s renewable-energy transition depends on interactions among scientific capability, institutions, investment, infrastructure, and resource conditions. This study examines whether national renewable-energy publication-based research activity and cross-country scientific collaboration are associated with subsequent renewable-electricity capacity development across Europe. A harmonised, database-defined Web of Science–Scopus corpus of 52,534 renewable-energy publications is integrated with population, GDP, and IRENA installed-capacity data for 2015–2025. Technology-specific publications per million inhabitants are related to subsequent changes in installed capacity per million inhabitants over one-, two-, and three-year horizons using country and year fixed effects with two-way clustered standard errors. For Total RES, point estimates are positive across all horizons (0.63, 1.99, and 3.96 MW per million inhabitants per additional publication per million inhabitants), but all primary 95% confidence intervals include zero. Technology-specific estimates are heterogeneous and imprecise. A complementary network analysis of 435 country pairs finds virtually no association between normalised scientific collaboration and similarity in deployment trajectories (Spearman ρ=−0.028). The analytical novelty of the study lies in integrating publication-based research activity, scientific-c</w:t>
      </w:r>
    </w:p>
    <w:p>
      <w:r>
        <w:t>POSSIBLE 2026: Geopolitical risk and renewable energy capacity deployment: the moderating role of institutional quality in selected European Union economies — https://doi.org/10.17605/osf.io/b76ny</w:t>
      </w:r>
    </w:p>
    <w:p>
      <w:r>
        <w:t>Shared claim-specific concepts: deployment, renewable, energy; EU scope visible. This is a provisional connection, not an outcome finding.</w:t>
      </w:r>
    </w:p>
    <w:p>
      <w:r>
        <w:t>Available abstract (not full text): Unavailable</w:t>
      </w:r>
    </w:p>
    <w:p>
      <w:r>
        <w:t>POSSIBLE 2025: From energy dependency to energy security: How the war in Ukraine accelerated renewable deployment in Europe — https://doi.org/10.14254/2071-789x.2025/18-3/13</w:t>
      </w:r>
    </w:p>
    <w:p>
      <w:r>
        <w:t>Shared claim-specific concepts: deployment, renewable, energy, technologies, both, electricity; EU scope visible. This is a provisional connection, not an outcome finding.</w:t>
      </w:r>
    </w:p>
    <w:p>
      <w:r>
        <w:t>Available abstract (not full text): The war in Ukraine has transformed Europe’s energy landscape, prompting urgent efforts to accelerate the transition to renewable energy in response to both security and climate imperatives. The aim of this research is to examine whether the geopolitical shock of 2022, together with associated sanctions, produced a measurable acceleration in renewable electricity deployment across European countries. Using panel data for 34 countries from 2014 to 2023, the study employs difference-in-differences, event study, and triple-difference models, which utilise Eurostat and World Bank data, and variables are normalised through Yeo–Johnson transformations. The results demonstrate a significant structural break in 2022. Aggregate renewable and waste capacity increased by 0.55 (p &lt; 0.001) on average, an effect that remained robust, though reduced to 0.16 (p &lt; 0.001), when country-specific trends were controlled for. Technology-specific estimates reveal firm heterogeneity: solar expanded most rapidly (1.30, p &lt; 0.001), wind capacity also rose (0.64, p &lt; 0.01), whereas hydropower exhibited only marginal gains (0.10, p ≈ 0.05) and biofuels showed no systematic change. A triple-difference specification confirms that post-2022 acceleration was concentrated in fast-deploying technologies, with a differential effect of 1.55 (p &lt; 0.001) compared to hydro and biofuels. These findings demonstrate tha</w:t>
      </w:r>
    </w:p>
    <w:p>
      <w:r>
        <w:t>POSSIBLE 2025: Protectionism's adverse impact on renewable energy deployment: evidence from the European Union's import duties on China-made photovoltaic panels — https://doi.org/10.1016/j.enpol.2025.114789</w:t>
      </w:r>
    </w:p>
    <w:p>
      <w:r>
        <w:t>Shared claim-specific concepts: deployment, renewable, energy, electricity, generation; EU scope visible. This is a provisional connection, not an outcome finding.</w:t>
      </w:r>
    </w:p>
    <w:p>
      <w:r>
        <w:t>Available abstract (not full text): Responding to the Paris Agreement on deep decarbonization, many countries have adopted industrial policies to promote their domestic manufacture of renewable energy equipment. If accompanied by protectionism, such policies impede renewable energy deployment that reduces the world's CO 2 emissions caused by production and consumption of fossil fuels. Using the quasi-natural experiment data for 36 OECD countries in 2011–2018, this paper econometrically documents the adverse impact of protectionism on renewable energy deployment based on the European Union's (EU's) anti-dumping and anti-subsidy import duties that took effect in December 2013 on China-made photovoltaic panels (CPP). Its key finding is that these duties had reduced the annual growth in the EU's solar energy share of total electricity generation. This statistically significant ( p -value ≤0.05) finding's policy implication is that had the EU not imposed these duties, its solar energy share growth could have been ∼0.7 % per year instead of the observed ∼0.2 % per year in the 2014–2018 period. The estimated difference of ∼0.5 % suggests an increase of ∼0.75 % in the EU electricity industry's CO 2 emissions. Thankfully, the EU's import duties on CPP expired at the end of 2018, thus eliminating one of the adverse effects of protectionism on the world's quest for a clean and sustainable electricity future. • Protectionism</w:t>
      </w:r>
    </w:p>
    <w:p>
      <w:r>
        <w:t>POSSIBLE 2025: The Long‐term Socioeconomic Impacts of Renewable Energy Deployment: Lessons From Case Studies in European Rural Regions — https://doi.org/10.1111/jors.12775</w:t>
      </w:r>
    </w:p>
    <w:p>
      <w:r>
        <w:t>Shared claim-specific concepts: deployment, renewable, energy, both, regions, energies; EU scope visible. This is a provisional connection, not an outcome finding.</w:t>
      </w:r>
    </w:p>
    <w:p>
      <w:r>
        <w:t>Available abstract (not full text): ABSTRACT The new environmental and geopolitical situation has led to the need for a change in the current energy model. The infrastructures associated with renewable energies may represent an opportunity for economic growth, employment generation, and population recovery in rural territories. This study evaluates the retrospective long‐term impacts that renewable energy installations have had on several rural regions in Europe. To that end, we develop a novel database on the annual installed capacity of renewables for European NUTS2 regions. This includes data on wind and photovoltaic energy, allowing us to capture both the scale and growth of renewable energy infrastructure over time in European regions. The data set spans multiple decades. Finally, we evaluate the socioeconomic effects these installations have on Europe's renewable energy capacity intensive rural regions analysing the different intra‐ and interregional impacts, using the Synthetic Control Method.</w:t>
      </w:r>
    </w:p>
    <w:p>
      <w:r>
        <w:t>POSSIBLE 2023: Renewable energy deployment in Europe: Do politics matter? — https://doi.org/10.1007/s10668-023-03839-0</w:t>
      </w:r>
    </w:p>
    <w:p>
      <w:r>
        <w:t>Shared claim-specific concepts: deployment, renewable, energy, analyzes; EU scope visible. This is a provisional connection, not an outcome finding.</w:t>
      </w:r>
    </w:p>
    <w:p>
      <w:r>
        <w:t>Available abstract (not full text): Abstract This study analyzes non-hydroelectric renewable capacity across 27 European countries from 2000 to 2020, using advanced econometric techniques like the Dumitrescu and Hurlin panel Granger non-causality method, Panel Autoregressive Distributed Lag and Panel Quantile Autoregressive Distributed Lag estimations. This investigation reveals complex relationships extending beyond immediate variables. These relationships, rooted in pairwise causalities and broader interactions, underpin observed phenomena. Causality tests show that achieving non-hydroelectric renewable capacity is a long-term endeavor, emphasizing persistent policy approaches for effective energy transition. Three key variables emerge as potent policy drivers: maintaining an environment conducive to economic freedom, fostering financial development, and driving non-hydroelectric renewable patents’ research and development. These variables play a pivotal role in capacity expansion. Additionally, the findings of this empirical investigation spotlight the role of political orientations. Leftist governments have lagged in prioritizing energy transition, prompting questions about neglecting environmental concerns and necessitating comprehensive policy reform. In essence, this study offers novel insights into non-hydroelectric renewable energy deployment. By unraveling complex relationships, emphasizing persistent p</w:t>
      </w:r>
    </w:p>
    <w:p>
      <w:r>
        <w:t>POSSIBLE 2023: Comparison of the European Regulatory Framework for the deployment of Offshore Renewable Energy Project — https://doi.org/10.36688/ewtec-2023-335</w:t>
      </w:r>
    </w:p>
    <w:p>
      <w:r>
        <w:t>Shared claim-specific concepts: deployment, renewable, energy, both, regions, generation; EU scope visible. This is a provisional connection, not an outcome finding.</w:t>
      </w:r>
    </w:p>
    <w:p>
      <w:r>
        <w:t>Available abstract (not full text): The REPower EU Plan has set a minimum of total renewable energy generation capacity of 1,236 GW by 2030. Achieving this target, and emission reductions by 2050, will require the extensive deployment of offshore energy facilities, especially offshore wind (OW) and wave energy converters (WECs). However, an incomplete and sometimes unfavourable regulatory framework still jeopardises the feasibility of both prototypes and large-scale installations. There are, for example, significant differences between the permitting procedures in different Member States and regions. Moreover, following the transposition of the Directive 2014/89/EU “establishing a framework for maritime spatial planning”, important differences pertain to the way environmental and heritage protection is dealt with. An overview of the offshore permitting schemes for offshore wind in ten European counties (Germany, Denmark, Scotland, Sweden, France, Spain, Portugal, Italy, Belgium, and Ireland) is provided, demonstrating a mismatch between the current members’ complex regulations and the future offshore wind targets. Using customised key performance indicators, we describe and assess the extent to which the regulatory frameworks are conducive to installing industrial devices in achieving the country’s 2030 target. Finally, we propose actions to facilitate the installation of OW while ensuring both environmental prot</w:t>
      </w:r>
    </w:p>
    <w:p>
      <w:r>
        <w:t>POSSIBLE 2023: Towards a Decarbonized Energy System in Europe in 2050 : Impact of Vector Coupling and Renewable Deployment Limits — https://doi.org/10.70675/ae9a3f99z8ff2z4fdeza6cbz3825ee3e91f8</w:t>
      </w:r>
    </w:p>
    <w:p>
      <w:r>
        <w:t>Shared claim-specific concepts: deployment, renewable, energy; EU scope visible. This is a provisional connection, not an outcome finding.</w:t>
      </w:r>
    </w:p>
    <w:p>
      <w:r>
        <w:t>Available abstract (not full text): Vers un système énergétique décarboné en Europe en 2050 : impact des couplages vectoriels et des limites au déploiement des renouvelables Pour lutter contre le changement climatique, l'Europe s'est engagée à ce que son système énergétique soit décarboné d'ici 2050.Le système électrique présente un important potentiel de décarbonation. Il peut ainsi contribuer à la décarbonation d'autres vecteurs (hydrogène par exemple), qui auront donc tendance à s'électrifier davantage. Cette thèse s'est donc concentrée d’une part sur la décarbonation du système électrique, et d’autre part sur l'interaction entre les différents vecteurs énergétiques. La décarbonation du vecteur électrique reposera sur l'utilisation des énergies renouvelables. Or, les études qui évaluent leur potentiel obtiennent des valeurs très différentes. Dans le premier chapitre, à travers une revue systématique de la littérature des études de potentiel éolien et photovoltaïque en Europe, la variabilité de ces valeurs a été examinée. Ce chapitre montre que les limites surfaciques des potentiels ne sont pas restrictives, et la variabilité des valeurs est due à l'ajout de critères socio-politiques dans les calculs de potentiel. In fine, la limite au développement des énergies renouvelables ne sera pas la faisabilité technique mais la volonté politique et sociétale et les contraintes du secteur industriel, y compris la dispon</w:t>
      </w:r>
    </w:p>
    <w:p>
      <w:r>
        <w:t>POSSIBLE 2022: Do energy and environmental taxes stimulate or inhibit renewable energy deployment in the European Union? — https://doi.org/10.1016/j.renene.2022.11.107</w:t>
      </w:r>
    </w:p>
    <w:p>
      <w:r>
        <w:t>Shared claim-specific concepts: deployment, renewable, energy; EU scope visible. This is a provisional connection, not an outcome finding.</w:t>
      </w:r>
    </w:p>
    <w:p>
      <w:r>
        <w:t>Available abstract (not full text): Unavailable</w:t>
      </w:r>
    </w:p>
    <w:p>
      <w:r>
        <w:t>POSSIBLE 2022: Diversification, concentration and renewability of the energy supply in the European Union — https://doi.org/10.1016/j.energy.2022.124097</w:t>
      </w:r>
    </w:p>
    <w:p>
      <w:r>
        <w:t>Shared claim-specific concepts: deployment, renewable, energy, both, electricity, high; EU scope visible. This is a provisional connection, not an outcome finding.</w:t>
      </w:r>
    </w:p>
    <w:p>
      <w:r>
        <w:t>Available abstract (not full text): Energy security assessment quantifies the energy supply to a population and the likelihood, or risk, of an energy disruption or shortage and represents an important aspect of national security, economic stability and prosperity. The quantification of the state of energy supply is context-dependent and involves multiple perspectives: infrastructural, technological, environmental, market, social and geopolitical. Among all the different and relevant aspects involved, diversity and dependence of the energy fuel mix are two of the main energy security dimensions. The present paper investigates the diversification of the energy supply in Europe, by analysing import dependence, market concentration and renewable energy resource deployment in the European Union over the last decade. The analysis utilises a set of indicators aimed at measuring the fuel mix diversity, market concentration, geopolitical stability, renewable energy share and stochasticity - both at single country and at aggregated European levels. Results show a stable evolution of the diversity of the fuel mix and a relatively low market concentration of the period examined. However, the import dependency reduces the energy security by approximately 30% due to the high proportion of imports from a limited number of countries. Moreover, an increasing trend in renewable electricity production share is evident over the last</w:t>
      </w:r>
    </w:p>
    <w:p>
      <w:r>
        <w:t>POSSIBLE 2021: Climate proofing the renewable electricity deployment in Europe - Introducing climate variability in large energy systems models — https://doi.org/10.1016/j.esr.2021.100657</w:t>
      </w:r>
    </w:p>
    <w:p>
      <w:r>
        <w:t>Shared claim-specific concepts: deployment, renewable, energy, large, electricity, generation; EU scope visible. This is a provisional connection, not an outcome finding.</w:t>
      </w:r>
    </w:p>
    <w:p>
      <w:r>
        <w:t>Available abstract (not full text): Climate and weather conditions influence energy demand. as well as electricity generation, especially due to the strong development of renewable energy. The changes of the European energy mix, together with ongoing climate change, raise a number of questions on impact on the electricity sector. In this paper we present results for the whole of the European power sector regarding on how considering current and future climate variability affects the results of a TIMES energy system model for the whole European power sector (eTIMES-EU) up to 2050. For each member-state we consider six climate projections to generate future capacity factors for wind, solar and hydro power generation. as well as temperature impact on electricity demand for heating and cooling. These are input into the eTIMES-EU model to assess how climate affects the optimal operation of the power system and if current EU-wide RES and emissions target deployment may be affected. Results show that although at EU-wide level there are no substantial changes, there are significant differences in countries RES deployment (especially wind and solar) and in electricity trade.</w:t>
      </w:r>
    </w:p>
    <w:p>
      <w:pPr>
        <w:pStyle w:val="Heading2"/>
      </w:pPr>
      <w:r>
        <w:t>Scenarios of water resources development in Poland up to 2030</w:t>
      </w:r>
    </w:p>
    <w:p>
      <w:r>
        <w:t>Original source (2014): https://doi.org/10.1134/s0097807814060219</w:t>
      </w:r>
    </w:p>
    <w:p>
      <w:r>
        <w:t>Original wording (abstract; indexed_source_text_not_full_document_verified): Sensitivity of the results of the applied techniques of development scenarios shows a need for further research.</w:t>
      </w:r>
    </w:p>
    <w:p>
      <w:r>
        <w:t>POSSIBLE 2023: Improving Diagnostic Sensitivity for Imbalanced Musculoskeletal Disorder Data: A Sensitivity-Based Multi-Sampling Technique for Osteoarthritis Prediction — https://doi.org/10.1101/2023.11.19.23298738</w:t>
      </w:r>
    </w:p>
    <w:p>
      <w:r>
        <w:t>Shared claim-specific concepts: sensitivity, applied, techniques; EU scope not established. This is a provisional connection, not an outcome finding.</w:t>
      </w:r>
    </w:p>
    <w:p>
      <w:r>
        <w:t>Available abstract (not full text): ABSTRACT Background Medical datasets containing musculoskeletal disorders may have data imbalances due to the incidence of the disease, which may limit the predictive ability, such as the sensitivity, of musculoskeletal diagnostic prediction models built from these data. This study aimed to increase the sensitivity performance of osteoarthritis (OA) prediction when building a model by adjusting an OA imbalanced dataset using a sensitivity-based multi-sampling (SMS) technique. Methods OA Data were obtained from the Korea National Health and Nutrition Examination Survey (KNHANES). SMS technique combining oversampling and undersampling was applied to the imbalanced OA data, and the RandomForest algorithm was used for machine learning modeling. Model performance was evaluated based on accuracy, sensitivity, and specificity and compared with other hybrid sampling techniques. Result In the SMS technique, ADASYN, Borderline-SMOTE, SMOTE oversampling and ENN undersampling techniques were combined and applied. The OA prediction model using the SMS technique showed the highest sensitivity (82.20) but the lowest specificity (82.26) and accuracy (82.26) compared to other hybrid models. Conclusion SMS technique offers a potential solution for improving sensitivity performance for prediction models built on medical data imbalances due to low-incidence diseases. Nonetheless, caution is warran</w:t>
      </w:r>
    </w:p>
    <w:p>
      <w:r>
        <w:t>POSSIBLE 2022: A simplified seasonal forecasting strategy, applied to wind and solar power in Europe — https://doi.org/10.1016/j.cliser.2022.100318</w:t>
      </w:r>
    </w:p>
    <w:p>
      <w:r>
        <w:t>Shared claim-specific concepts: applied, further; EU scope visible. This is a provisional connection, not an outcome finding.</w:t>
      </w:r>
    </w:p>
    <w:p>
      <w:r>
        <w:t>Available abstract (not full text): We demonstrate levels of skill for forecasts of seasonal-mean wind speed and solar irradiance in Europe, using seasonal forecast systems available from the Copernicus Climate Change Service (C3S). While skill is patchy, there is potential for the development of climate services for the energy sector. Following previous studies, we show that, where there is skill, a simple linear regression-based method using the hindcast and forecast ensemble means provides a straightforward approach for producing calibrated probabilistic seasonal forecasts. This method extends naturally to using a larger-scale feature of the climate, such as the North Atlantic Oscillation, as the climate model predictor, and we show that this provides opportunities to improve the skill in some cases. We further demonstrate that, on seasonal-average and regional (e.g. national) average scales, wind and solar power generation are highly correlated with single climate variables (wind speed and irradiance). The detailed non-linear transformations from meteorological quantities to energy quantities, which are essential for detailed simulation of power system operations, are usually not necessary when forecasting gross wind or solar generation potential at seasonal-mean regional-mean scales. Together, our results demonstrate that where there is skill in seasonal forecasts of wind speed and irradiance, or a correlate</w:t>
      </w:r>
    </w:p>
    <w:p>
      <w:r>
        <w:t>POSSIBLE 2022: Use of data mining techniques to explain the primary factors influencing water sensitivity of asphalt mixtures — https://doi.org/10.1016/j.conbuildmat.2022.128039</w:t>
      </w:r>
    </w:p>
    <w:p>
      <w:r>
        <w:t>Shared claim-specific concepts: sensitivity, applied, techniques; EU scope visible. This is a provisional connection, not an outcome finding.</w:t>
      </w:r>
    </w:p>
    <w:p>
      <w:r>
        <w:t>Available abstract (not full text): The water sensitivity of asphalt mixtures affects the durability of the pavements, and it depends on several parameters related to its composition (aggregates and binder) and the production and application processes. One of the main parameters used in the European Standards to measure the water sensitivity of asphalt mixtures is the indirect tensile strength ratio (ITSR). Therefore, this work aims to obtain a predictive model of ITSR of asphalt mixtures using several parameters that affect water sensitivity and assess their relative importance. The database used to develop the model comprises thirteen parameters collected from one hundred sixty different asphalt mixtures. Data Mining techniques were applied to process the data using Multiple Regression, Artificial Neural Networks, and Support Vector Machines (SVM). The different metrics analysed showed that SVM is the best predictive model of the ITSR (mean absolute deviation of 0.116, root mean square error of 0.150 and Pearson correlation coefficient of 0.667). The application of a sensitivity analysis indicates that the binder content is the parameter that most influences the water sensitivity of asphalt mixtures (26%). However, this property depends simultaneously on other factors such as the characteristics of the coarse and fine aggregates (24.9%), asphalt binder characteristics (19.3%) and the use of additives (10%).</w:t>
      </w:r>
    </w:p>
    <w:p>
      <w:r>
        <w:t>POSSIBLE 2021: Sensitivity and Uncertainty of the FLORIS Model Applied on the Lillgrund Wind Farm — https://doi.org/10.3390/en14051293</w:t>
      </w:r>
    </w:p>
    <w:p>
      <w:r>
        <w:t>Shared claim-specific concepts: sensitivity, applied, shows; EU scope not established. This is a provisional connection, not an outcome finding.</w:t>
      </w:r>
    </w:p>
    <w:p>
      <w:r>
        <w:t>Available abstract (not full text): Wind farms experience significant efficiency losses due to the aerodynamic interaction between turbines. A possible control technique to minimize these losses is yaw-based wake steering. This paper investigates the potential for improved performance of the Lillgrund wind farm through a detailed calibration of a low-fidelity engineering model aimed specifically at yaw-based wake steering. The importance of each model parameter is assessed through a sensitivity analysis. This work shows that the model is overparameterized as at least one model parameter can be excluded from the calibration. The performance of the calibrated model is tested through an uncertainty analysis, which showed that the model has a significant bias but low uncertainty when comparing the predicted wake losses with measured wake losses. The model is used to optimize the annual energy production of the Lillgrund wind farm by determining yaw angles for specific inflow conditions. A significant energy gain is found when the optimal yaw angles are calculated deterministically. However, the energy gain decreases drastically when uncertainty in input conditions is included. More robust yaw angles can be obtained when the input uncertainty is taken into account during the optimization, which yields an energy gain of approximately 3.4%.</w:t>
      </w:r>
    </w:p>
    <w:p>
      <w:r>
        <w:t>POSSIBLE 2021: A sequential calibration technique to improve IRI using TEC estimates of the GNSS network in Europe — https://doi.org/10.5194/egusphere-egu21-4190</w:t>
      </w:r>
    </w:p>
    <w:p>
      <w:r>
        <w:t>Shared claim-specific concepts: sensitivity, applied, techniques; EU scope visible. This is a provisional connection, not an outcome finding.</w:t>
      </w:r>
    </w:p>
    <w:p>
      <w:r>
        <w:t>Available abstract (not full text): The development of space-geodetic observation techniques has brought out a wide range of applications such as positioning and navigation, where the Global Navigation Satellite System (GNSS) is the main tools to provide surveying measurements in these applications. Though GNSS signals enable the calculation of receiver's position, some errors restrict their accuracy. Among these errors, the ionospheric delay is considered as an important error source in the Standard Point Positioning (SPP) applications. Empirical ionospheric models such as Klobuchar, International Reference Ionosphere (IRI), and NeQuick are often applied for computing the Total Electron Content (TEC) within ionosphere and its equivalent delays. However the simulation and forecasting skills of these models are limited due to the simplified model structures and model sensitivity to the calibration period. In this study, we present a novel sequential Calibration approach based on the Ensemble Kalman Filter (C-EnKF) to improve the performance of TEC estimations for SPP applications. To demonstrate the results, the IRI model is used as our basis and the TEC estimates from 56 IGS stations in Europe are applied as observation. The C-EnKF is applied to calibrate some selected model parameter so that IRI can be tuned over Europe. The numerical assessments are performed against the TEC estimates from dual frequency GNSS m</w:t>
      </w:r>
    </w:p>
    <w:p>
      <w:r>
        <w:t>POSSIBLE 2020: Sensitivity Analysis in Probabilistic Structural Design: A Comparison of Selected Techniques — https://doi.org/10.3390/su12114788</w:t>
      </w:r>
    </w:p>
    <w:p>
      <w:r>
        <w:t>Shared claim-specific concepts: sensitivity, applied, techniques; EU scope not established. This is a provisional connection, not an outcome finding.</w:t>
      </w:r>
    </w:p>
    <w:p>
      <w:r>
        <w:t>Available abstract (not full text): Although more and more reliability-oriented sensitivity analysis (ROSA) techniques are now available, review and comparison articles of ROSA are absent. In civil engineering, many of the latest indices have never been used to analyse structural reliability for very small failure probability. This article aims to analyse and compare different sensitivity analysis (SA) techniques and discusses their strengths and weaknesses. For this purpose, eight selected sensitivity indices are first described and then applied in two different test cases. Four ROSA type indices are directly oriented on the failure probability or reliability index beta, and four other indices (of a different type) are oriented on the output of the limit state function. The case study and results correspond to cases under common engineering assumptions, where only two independent input variables with Gaussian distribution of the load action and the resistance are applied in the ultimate limit state. The last section of the article is dedicated to the analysis of the different results. Large differences between first-order sensitivity indices and very strong interaction effects obtained from ROSA are observed for very low values of failure probability. The obtained numerical results show that ROSA methods lack a common platform that clearly interprets the relationship of indices to their information value. This p</w:t>
      </w:r>
    </w:p>
    <w:p>
      <w:r>
        <w:t>POSSIBLE 2019: An experimental sensitivity comparison of the schlieren and background-oriented schlieren techniques applied to hypersonic flow — https://doi.org/10.1088/1361-6501/ab1582</w:t>
      </w:r>
    </w:p>
    <w:p>
      <w:r>
        <w:t>Shared claim-specific concepts: sensitivity, applied, techniques; EU scope not established. This is a provisional connection, not an outcome finding.</w:t>
      </w:r>
    </w:p>
    <w:p>
      <w:r>
        <w:t>Available abstract (not full text): Abstract An experimental study was performed to evaluate the spatial resolution, sensitivity and dynamic range of schlieren and background-oriented schlieren (BOS) applied to hypersonic flows with multiple density gradients. For a single Mach number, shock profile extracts for three values of freestream density are compared. Three processing metrics are proposed for BOS to optimise the sharpness of captured shocks and minimise processing blur are presented. The BOS results have a lower spatial resolution and sharpness than the schlieren images, but captured the model flow field features that were resolved by schlieren. A higher dynamic range was afforded for BOS due to the user-determined synthetic knife edge cut-off.</w:t>
      </w:r>
    </w:p>
    <w:p>
      <w:r>
        <w:t>POSSIBLE 2017: Sensitivity or Bayesian model updating: a comparison of techniques using the DLR AIRMOD test data — https://doi.org/10.1007/s00419-017-1233-1</w:t>
      </w:r>
    </w:p>
    <w:p>
      <w:r>
        <w:t>Shared claim-specific concepts: sensitivity, applied, techniques; EU scope not established. This is a provisional connection, not an outcome finding.</w:t>
      </w:r>
    </w:p>
    <w:p>
      <w:r>
        <w:t>Available abstract (not full text): Deterministic model updating is now a mature technology widely applied to large-scale industrial structures. It is concerned with the calibration of the parameters of a single model based on one set of test data. It is, of course, well known that different analysts produce different finite element models, make different physics-based assumptions, and parameterize their models differently. Also, tests carried out on the same structure, by different operatives, at different times, under different ambient conditions produce different results. There is no unique model and no unique data. Therefore, model updating needs to take account of modeling and test-data variability. Much emphasis is now placed on what has become known as stochastic model updating where data are available from multiple nominally identical test structures. In this paper two currently prominent stochastic model updating techniques (sensitivity-based updating and Bayesian model updating) are described and applied to the DLR AIRMOD structure.</w:t>
      </w:r>
    </w:p>
    <w:p>
      <w:r>
        <w:t>POSSIBLE 2015: Assessment of ground-based monitoring techniques applied to landslide investigations — https://doi.org/10.1016/j.geomorph.2015.10.027</w:t>
      </w:r>
    </w:p>
    <w:p>
      <w:r>
        <w:t>Shared claim-specific concepts: sensitivity, applied, techniques, shows, further; EU scope not established. This is a provisional connection, not an outcome finding.</w:t>
      </w:r>
    </w:p>
    <w:p>
      <w:r>
        <w:t>Available abstract (not full text): A landslide complex in the Whitby Mudstone Formation at Hollin Hill, North Yorkshire, UK is periodically re-activated in response to rainfall-induced pore-water pressure fluctuations. This paper compares long-term measurements (i.e., 2009–2014) obtained from a combination of monitoring techniques that have been employed together for the first time on an active landslide. The results highlight the relative performance of the different techniques, and can provide guidance for researchers and practitioners for selecting and installing appropriate monitoring techniques to assess unstable slopes. Particular attention is given to the spatial and temporal resolutions offered by the different approaches that include: Real Time Kinematic-GPS (RTK-GPS) monitoring of a ground surface marker array, conventional inclinometers, Shape Acceleration Arrays (SAA), tilt meters, active waveguides with Acoustic Emission (AE) monitoring, and piezometers. High spatial resolution information has allowed locating areas of stability and instability across a large slope. This has enabled identification of areas where further monitoring efforts should be focused. High temporal resolution information allowed the capture of ‘S’-shaped slope displacement-time behaviour (i.e. phases of slope acceleration, deceleration and stability) in response to elevations in pore-water pressures. This study shows that a we</w:t>
      </w:r>
    </w:p>
    <w:p>
      <w:pPr>
        <w:pStyle w:val="Heading2"/>
      </w:pPr>
      <w:r>
        <w:t>Securing a bioenergy future without imports</w:t>
      </w:r>
    </w:p>
    <w:p>
      <w:r>
        <w:t>Original source (2014): https://doi.org/10.1016/j.enpol.2013.11.079</w:t>
      </w:r>
    </w:p>
    <w:p>
      <w:r>
        <w:t>Original wording (abstract; indexed_source_text_not_full_document_verified): The model shows that indigenous biomass resources and energy crops could service up to 44% of UK energy demand by 2050 without impacting food systems. The scenarios show, residues from agriculture, forestry and industry provide the most robust resource, potentially providing up to 6.5% of primary energy demand by 2050.</w:t>
      </w:r>
    </w:p>
    <w:p>
      <w:r>
        <w:t>POSSIBLE 2023: Indigenous Mentorship for the Health Sciences: An Appraisal of a Contemporary Model by Indigenous Stakeholders — https://doi.org/10.1080/10401334.2023.2230577</w:t>
      </w:r>
    </w:p>
    <w:p>
      <w:r>
        <w:t>Shared claim-specific concepts: indigenous, primary; EU scope not established. This is a provisional connection, not an outcome finding.</w:t>
      </w:r>
    </w:p>
    <w:p>
      <w:r>
        <w:t>Available abstract (not full text): Construct: In 2021, Murry et al. put forward a model of Indigenous mentorship within the health sciences based on the behaviors of Indigenous mentors toward their Indigenous mentees. This study explored mentees’ endorsements and/or criticisms of the IM model and how IM constructs and behaviors described in the model benefited them. Background: Models of Indigenous mentorship have been developed previously yet have not yet been empirically examined, restricting our ability to measure or make claims as to their consequences, correlates, and antecedents. Approach: Interviews with six Indigenous mentees asked about their: 1) resonance with the model, 2) stories related to mentors’ behaviors, 3) perceived benefits of their mentors’ behaviors on their journey, and 4) components they felt were missing from the model. Data were analyzed using qualitative content analysis. Findings: Overall, the model resonated with participants. Mentees told stories about mentors engaging in the IM constructs practicing relationalism most frequently, followed by fostering Indigenous identity development, utilizing a mentee-centered focus, and imbuing criticality, advocacy, and abiding by Indigenous ethics. Benefits included improved career and work attitudes, motivation, and overall well-being, engaging in helping behaviors, and enhanced criticality. Recommendations to expand the model included incorpo</w:t>
      </w:r>
    </w:p>
    <w:p>
      <w:r>
        <w:t>POSSIBLE 2022: Remote sensing, snow modelling, survey data and Indigenous Knowledge show how snow and sea-ice conditions affect Peary caribou (Rangifer tarandus pearyi) distribution and inter-island and island–mainland movements — https://doi.org/10.33265/polar.v41.7964</w:t>
      </w:r>
    </w:p>
    <w:p>
      <w:r>
        <w:t>Shared claim-specific concepts: shows, indigenous, show; EU scope not established. This is a provisional connection, not an outcome finding.</w:t>
      </w:r>
    </w:p>
    <w:p>
      <w:r>
        <w:t>Available abstract (not full text): Accelerated warming of the Arctic has reduced sea ice and has increased the occurrence of winter extreme events like rain-on-snow and storms that impact snow-cover densification, affecting Peary caribou (Rangifer tarandus pearyi) seasonal movements and grazing conditions. We used caribou movements between Banks, Melville and Victoria islands and mainland Canada, documented from Indigenous Knowledge, to assess whether spatiotemporal trends in sea-ice anomalies (1983–2019) can be used as an indicator of caribou movement. We used the SNOWPACK model to evaluate how foraging conditions (as indexed by simulated snow properties) contribute to the prediction of caribou presence. Our results suggest that changes in sea-ice anomalies over time have impacted caribou crossings between islands: caribou no longer use areas with less sea ice whilst they continue to use areas with more sea ice. Our model evaluation shows that, when the simulated snow conditions are paired with other environmental variables, the ability of models to predict Peary caribou occurrence on land was enhanced across Banks and Melville islands. Overall, the land models suggest that caribou are more likely to occupy areas with lower density of snow accumulation and a majority of forb tundra with dwarf shrubs for Banks Island and cryptogam tundra, rush and grass for the Melville Island Complex. Our results suggest that f</w:t>
      </w:r>
    </w:p>
    <w:p>
      <w:r>
        <w:t>POSSIBLE 2019: Including indigenous knowledge in species distribution modeling for increased ecological insights — https://doi.org/10.1111/cobi.13373</w:t>
      </w:r>
    </w:p>
    <w:p>
      <w:r>
        <w:t>Shared claim-specific concepts: indigenous, systems; EU scope not established. This is a provisional connection, not an outcome finding.</w:t>
      </w:r>
    </w:p>
    <w:p>
      <w:r>
        <w:t xml:space="preserve">Available abstract (not full text): Indigenous knowledge systems hold detailed information on current and past environments that can inform ecological understanding as well as contemporary environmental management. Despite its applicability, there are limited examples of indigenous knowledge being incorporated in species distribution models, which are widely used in the ecological sciences. In a collaborative manner, we designed a structured elicitation process and statistical framework to combine indigenous knowledge with survey data to model the distribution of a threatened and culturally significant species (greater bilby or mankarr [Macrotis lagotis]). We used Martu (Aboriginal people of the Australian western deserts) occurrence knowledge and presence data from track-based surveys to create predictive species distribution models with the Maxent program. Predictions of species distribution based on Martu knowledge were broader than those created with survey data. Together the Martu and survey models showed potential local declines, which were supported by Martu observation. Both data types were influenced by sampling bias that appeared to affect model predictions and performance. Martu provided additional information on habitat associations and locations of decline and descriptions of the ecosystem dynamics and disturbance regimes that influence occupancy. We concluded that intercultural approaches that draw </w:t>
      </w:r>
    </w:p>
    <w:p>
      <w:r>
        <w:t>POSSIBLE 2017: Indigenous Business Model &amp; Strategy Canvas — https://openalex.org/W2891907923</w:t>
      </w:r>
    </w:p>
    <w:p>
      <w:r>
        <w:t>Shared claim-specific concepts: shows, indigenous, primary; EU scope not established. This is a provisional connection, not an outcome finding.</w:t>
      </w:r>
    </w:p>
    <w:p>
      <w:r>
        <w:t xml:space="preserve">Available abstract (not full text): The Indigenous Business Model &amp; Strategy Canvas represents the entirety of the Work Shop investigation into the practical model strategy for indigenous small scaootish business. It has been co co-created with half a dozen primary participants, with input from several dozen visiting businesses. </w:t>
        <w:br/>
        <w:br/>
        <w:br/>
        <w:br/>
        <w:t>It shows the flow of all element needed to create a sustainable business, with reference to the corresponding tools.</w:t>
      </w:r>
    </w:p>
    <w:p>
      <w:r>
        <w:t>POSSIBLE 2017: Validation and recalibration of the Framingham cardiovascular disease risk models in an Australian Indigenous cohort — https://doi.org/10.1177/2047487317722913</w:t>
      </w:r>
    </w:p>
    <w:p>
      <w:r>
        <w:t>Shared claim-specific concepts: shows, indigenous; EU scope not established. This is a provisional connection, not an outcome finding.</w:t>
      </w:r>
    </w:p>
    <w:p>
      <w:r>
        <w:t>Available abstract (not full text): of 18.48). Conclusions The original Framingham models significantly underestimate the absolute cardiovascular disease risk for this Australian Indigenous population. The recalibrated 2008 Framingham model shows good performance on predicting five-year cardiovascular disease risk in this population and was used to calculate the first risk chart based on empirical validation using long-term follow-up data from a remote Australian Indigenous population.</w:t>
      </w:r>
    </w:p>
    <w:p>
      <w:r>
        <w:t>POSSIBLE 2017: Indigenous leadership in universities: One Indigenous perspective — https://doi.org/10.3316/informit.149715942686089</w:t>
      </w:r>
    </w:p>
    <w:p>
      <w:r>
        <w:t>Shared claim-specific concepts: shows, indigenous, provide; EU scope not established. This is a provisional connection, not an outcome finding.</w:t>
      </w:r>
    </w:p>
    <w:p>
      <w:r>
        <w:t>Available abstract (not full text): This paper will provide an Indigenous male perspective on Indigenous leadership in universities.The paper will not refer to western leadership models and theories as its purpose is to crystallise the notion of Indigenous leadership for Indigenous people in leadership positions and those aspiring to be in these positions.The term 'Indigenous leadership' is used so often today that many Indigenous people lack confidence in the term and do not know what it means.This is why a paper on Indigenous leadership from an Indigenous perspective is needed.This paper shows that the term is nothing to be intimidated by and shows that Indigenous people with a strong Indigenous identity, vision and focus are able to provide strong Indigenous leadership in universities.However, they must take more responsibility for being familiar with Indigenous issues and to develop strategies to address these issues rather than leave other staff to address these issues.The paper contends that those in Indigenous leadership positions in universities should remain focused on core university business with a hands-on approach.</w:t>
      </w:r>
    </w:p>
    <w:p>
      <w:r>
        <w:t>POSSIBLE 2016: Indigenous environmental values as human values — https://doi.org/10.1080/23311886.2016.1185811</w:t>
      </w:r>
    </w:p>
    <w:p>
      <w:r>
        <w:t>Shared claim-specific concepts: indigenous, show, provide, resource; EU scope not established. This is a provisional connection, not an outcome finding.</w:t>
      </w:r>
    </w:p>
    <w:p>
      <w:r>
        <w:t>Available abstract (not full text): The claim that in natural resource management (NRM) a change from anthropocentric values and ethics to eco-centric ones is necessary to achieve sustainability leads to the search for eco-centric models of relationship with the environment. Indigenous cultures can provide such models; hence, there is the need for multicultural societies to further include their values in NRM. In this article, we investigate the environmental values placed on a freshwater environment of the Wet Tropics by a community of indigenous Australians. We discuss their environmental values as human values, and so as beliefs that guide communities’ understanding of how the natural world should be viewed and treated by humans. This perspective represents a step forward in our understanding of indigenous environmental values, and a way to overcome the paradigm of indigenous values as valued biophysical attributes of the environment or processes happening in landscapes. Our results show that the participant community holds biospheric values. Restoring these values in the NRM of the Wet Tropics could contribute to sustainability and environmental justice in the area.</w:t>
      </w:r>
    </w:p>
    <w:p>
      <w:pPr>
        <w:pStyle w:val="Heading2"/>
      </w:pPr>
      <w:r>
        <w:t>Shaping science policy in Europe</w:t>
      </w:r>
    </w:p>
    <w:p>
      <w:r>
        <w:t>Original source (2014): https://doi.org/10.1016/j.molonc.2014.03.013</w:t>
      </w:r>
    </w:p>
    <w:p>
      <w:r>
        <w:t>Original wording (abstract; indexed_source_text_not_full_document_verified): The creation of such Scientific Panel should be viewed as an important contribution by the biomedical community as a major political agreement has been reached on the need for a comprehensive and long-term scientific strategy to accelerate research and facilitate innovation at EU level.</w:t>
      </w:r>
    </w:p>
    <w:p>
      <w:r>
        <w:t>POSSIBLE 2025: Economic, technological and environmental drivers of the circular economy in the European Union: a panel data analysis — https://doi.org/10.1186/s12302-025-01119-4</w:t>
      </w:r>
    </w:p>
    <w:p>
      <w:r>
        <w:t>Shared claim-specific concepts: panel, need, comprehensive, innovation; EU scope visible. This is a provisional connection, not an outcome finding.</w:t>
      </w:r>
    </w:p>
    <w:p>
      <w:r>
        <w:t>Available abstract (not full text): The circular economy has become a strategic priority in the European Union, aiming to reduce dependence on finite natural resources and promote a sustainable economic model. This study investigates the key factors influencing the use of circular materials in the European Union between 2010 and 2022, considering the impact of global challenges such as the coronavirus pandemic, the energy crisis, and geopolitical tensions. Unlike previous research, this study integrates economic, technological, and environmental dimensions, with a particular focus on the role of digital transformation as a catalyst for circularity. The research applies an econometric model based on the analysis of panel data to explore the interconnections between resource productivity, recycling rates, private sector investment, digitalization, and expenditures on research and development. The findings reveal a strong positive relationship between resource efficiency, recycling efforts, and the use of circular materials, emphasizing the importance of infrastructure and technological advancements in supporting circularity. However, significant regional differences among European Union member states are also identified, highlighting the need for targeted policies to address these disparities. In the context of European policies such as the Green Deal and the Circular Economy Action Plan, this study provides valuab</w:t>
      </w:r>
    </w:p>
    <w:p>
      <w:r>
        <w:t>POSSIBLE 2023: A panel fsQCA investigation on European regional innovation — https://doi.org/10.1016/j.techfore.2023.123042</w:t>
      </w:r>
    </w:p>
    <w:p>
      <w:r>
        <w:t>Shared claim-specific concepts: panel, important, innovation; EU scope visible. This is a provisional connection, not an outcome finding.</w:t>
      </w:r>
    </w:p>
    <w:p>
      <w:r>
        <w:t>Available abstract (not full text): Taking an evolutionary economic geography perspective, we build on literature on innovation modes, the aim of this study being to explain variations in SME innovation performance across European regions over time. Drawing on five waves of data from the EU Regional Innovation Scoreboard between 2011 and 2019, our sample includes 221 regions across 27 EU Member States, as well as Norway, UK, Serbia, and Switzerland. We apply nascent panel fuzzy-set Qualitative Comparative Analysis to explore how different combinations of SME innovation modes explain innovation performance across different EU regions (i.e. geographical scope) as well as within different EU regions over time (i.e. temporal stability). Findings show that whether DUI or STI modes are more effective in the context of SMEs crucially depends on the timeframe considered, but also the geographical location of SMEs. The study offers novel insights into the diverse and complex nature through which regional innovation evolves over time, advancing understanding on regionalization as well as temporality of SME innovation modes in Europe. It also provides an important basis for discussing innovation policy across Europe.</w:t>
      </w:r>
    </w:p>
    <w:p>
      <w:r>
        <w:t>POSSIBLE 2023: European Federation of Neurological Societies: parent to the European Academy of Neurology — https://doi.org/10.1111/ene.15680</w:t>
      </w:r>
    </w:p>
    <w:p>
      <w:r>
        <w:t>Shared claim-specific concepts: creation, scientific, important, political, level; EU scope visible. This is a provisional connection, not an outcome finding.</w:t>
      </w:r>
    </w:p>
    <w:p>
      <w:r>
        <w:t>Available abstract (not full text): BACKGROUND AND PURPOSE: The European Academy of Neurology (EAN) is a vigorous organization of great importance for all neurologists and for our patients. But how did neurology get organized at the European level? That is the topic of this article. METHODS: Most important sources are memories and documents of the author, who was a moving force in developing the European Federation of Neurological Societies (EFNS), one of the two parents of the EAN. RESULTS: All European national neurological societies and the World Federation of Neurology were involved in a difficult political interaction resulting in the EFNS. Organizational and administrative development was the initial task. Scientific panels led by a scientific committee, teaching courses for young neurologists, teaching courses in middle and eastern Europe and successful congresses were developed. The purchase of headquarters as well as the creation of a fully owned scientific journal (European Journal of Neurology) were important and financially beneficial. The EFNS also promoted the formation of the European Brain Council and of the patient organization European Federation of Neurological Associations. All these elements have continued after fusion with the European Neurological Society to form the EAN. CONCLUSION: The very successful development of the EFNS has largely been carried on into the EAN.</w:t>
      </w:r>
    </w:p>
    <w:p>
      <w:r>
        <w:t>POSSIBLE 2021: Scientific Opinion of the Scientific Panel on Plant Protection Products and their Residues (PPR Panel) on testing and interpretation of comparative in vitro metabolism studies — https://doi.org/10.2903/j.efsa.2021.6970</w:t>
      </w:r>
    </w:p>
    <w:p>
      <w:r>
        <w:t>Shared claim-specific concepts: scientific, panel, important, strategy, level; EU scope not established. This is a provisional connection, not an outcome finding.</w:t>
      </w:r>
    </w:p>
    <w:p>
      <w:r>
        <w:t>Available abstract (not full text): Abstract EFSA asked the Panel on Plant Protection Products and their residues to deliver a Scientific Opinion on testing and interpretation of comparative in vitro metabolism studies for both new active substances and existing ones. The main aim of comparative in vitro metabolism studies of pesticide active substances is to evaluate whether all significant metabolites formed in the human in vitro test system, as a surrogate of the in vivo situation, are also present at comparable level in animal species tested in toxicological studies and, therefore, if their potential toxicity has been appropriately covered by animal studies. The studies may also help to decide which animal model, with regard to a particular compound, is the most relevant for humans. In the experimental strategy, primary hepatocytes in suspension or culture are recommended since hepatocytes are considered the most representative in vitro system for prediction of in vivo metabolites. The experimental design of 3 × 3 × 3 (concentrations, time points, technical replicates, on pooled hepatocytes) will maximise the chance to identify unique (UHM) and disproportionate (DHM) human metabolites. When DHM and UHM are being assessed, test item‐related radioactivity recovery and metabolite profile are the most important parameters. Subsequently, structural characterisation of the assigned metabolites is performed with app</w:t>
      </w:r>
    </w:p>
    <w:p>
      <w:r>
        <w:t>POSSIBLE 2021: Collaboration towards value creation for end-of-life solar photovoltaic panel in Ghana — https://doi.org/10.1016/j.jclepro.2021.129969</w:t>
      </w:r>
    </w:p>
    <w:p>
      <w:r>
        <w:t>Shared claim-specific concepts: creation, panel, need; EU scope not established. This is a provisional connection, not an outcome finding.</w:t>
      </w:r>
    </w:p>
    <w:p>
      <w:r>
        <w:t>Available abstract (not full text): This paper identifies value creation strategies and the role of stakeholders in advancing sustainable practices for end-of-life (henceforth EOL) solar photovoltaic panels (solar PV) in Ghana. This is preceded by an overview of the global outlook of sustainable practices for EOL solar PV as well as how these can be promoted in a developing country like Ghana. The framework discusses and promotes efficient collaboration towards value creation by stakeholders in advancing sustainable practices for end-of-life solar PV in Ghana. The methodology centers on an integrative review aimed at identifying the different aspects leading to a value creation framework for EOL solar PV. The paper discusses a hybrid public-private partnership (HPPP), which includes the types of synergy between different actors as well as their clear roles. The core options available to government, businesses and end-users in the value creation includes the provision of a technical solution, improved logistics and innovative business opportunities. The aforementioned options will achieve reduction, reuse, repair and/or recycling, targeted at promoting a unique collaboration between all relevant stakeholders. Furthermore, such options present an opportunity to promote awareness utilizing education in sustainability, thus promoting the need for extending the useful lifecycle of the products.</w:t>
      </w:r>
    </w:p>
    <w:p>
      <w:r>
        <w:t>POSSIBLE 2021: Role of Knowledge Creation and Absorptive Capacity: A Panel Data Study of Innovation — https://doi.org/10.33215/sjom.v4i2.579</w:t>
      </w:r>
    </w:p>
    <w:p>
      <w:r>
        <w:t>Shared claim-specific concepts: creation, panel, innovation; EU scope not established. This is a provisional connection, not an outcome finding.</w:t>
      </w:r>
    </w:p>
    <w:p>
      <w:r>
        <w:t>Available abstract (not full text): Purpose- Knowledge creation refers to the ability of firms to create new knowledge that starts from individuals to integrating the firms and then the overall economy. This study suggests that knowledge acquisition in a country has a significant relationship with innovative performance. Design/Methodology- Data from 48 highly HDI countries is taken from World Bank and World Economic Forum. Based on 480 country-year observations in a panel mediator model, it is revealed that the national efforts of boosting knowledge acquisition influence the firms’ innovative performance. Findings- Further, it is found that absorptive capacity in the employability of knowledgeable workers works as a mediator between knowledge acquisition and innovation. Whereby higher knowledge acquisition leads to higher absorptive capacity and higher innovation. Practical Implications- This study builds a quantitative model for the macroeconomic context of knowledge-based view.</w:t>
      </w:r>
    </w:p>
    <w:p>
      <w:r>
        <w:t>POSSIBLE 2019: European Research Council: excellence and leadership over time from a gender perspective — https://doi.org/10.1093/reseval/rvz023</w:t>
      </w:r>
    </w:p>
    <w:p>
      <w:r>
        <w:t>Shared claim-specific concepts: creation, scientific, panel, important, major; EU scope visible. This is a provisional connection, not an outcome finding.</w:t>
      </w:r>
    </w:p>
    <w:p>
      <w:r>
        <w:t>Available abstract (not full text): Abstract European Research Council Grants (ERC) have become the most important vehicle for funding scientific research in the EU. Since their creation in 2007, they have provided funding for around 7,000 of the nearly 70,000 proposals for research projects submitted. With a success rate of about 11%, these Grants are highly competitive. Despite major advancement of women’s participation in research activity, women overall remain the minority in Science, Technology, Engineering and Mathematics (STEM disciplines). Against that backdrop, this article analyses men’s and women’s presence in ERC Grants. The gender balance in the ERC Grant, have been examined in three dimensions: Excellence Awarded; Scientific Leadership Position; and Time Series Evolution. The results show that female presence is lower than men as submitted (26% vs 74%), granted (22% vs 78%), expert panel members (28% vs 72%), and as a panel chair (26% vs 74%). State-space prediction of the future pattern of these grants shows that time has no clearly beneficial effect on women’s participation as applicants, granted, expert panel members or panel chairs, particularly in the area of Physics and Engineering.</w:t>
      </w:r>
    </w:p>
    <w:p>
      <w:r>
        <w:t>POSSIBLE 2018: Technology and employment: Mass unemployment or job creation? Empirical evidence from European patenting firms — https://doi.org/10.1016/j.respol.2018.06.008</w:t>
      </w:r>
    </w:p>
    <w:p>
      <w:r>
        <w:t>Shared claim-specific concepts: creation, panel, innovation; EU scope visible. This is a provisional connection, not an outcome finding.</w:t>
      </w:r>
    </w:p>
    <w:p>
      <w:r>
        <w:t>Available abstract (not full text): This paper explores the possible job creation effect of innovation activity. We analyze a unique panel dataset covering almost 20,000 patenting firms from Europe over the period 2003–2012. The main outcome from the proposed GMM-SYS estimations is the labor-friendly nature of innovation, which we measure in terms of forward-citation weighted patents. However, this positive impact of innovation is statistically significant only for firms in the high-tech manufacturing sectors, while not significant in low-tech manufacturing and services.</w:t>
      </w:r>
    </w:p>
    <w:p>
      <w:pPr>
        <w:pStyle w:val="Heading2"/>
      </w:pPr>
      <w:r>
        <w:t>The EU climate and energy policy: what about the new targets for 2030?</w:t>
      </w:r>
    </w:p>
    <w:p>
      <w:r>
        <w:t>Original source (2014): https://doi.org/10.3280/efe2014-001002</w:t>
      </w:r>
    </w:p>
    <w:p>
      <w:r>
        <w:t>Original wording (abstract; indexed_source_text_not_full_document_verified): Finally, the increase in energy efficiency should also continue to be promoted, but without any quantitative target that would be very difficult to establish and monitor. In 2013 the EU Commission issued a Green paper to launch a debate on what should be the objectives for 2030 and early 2014 has published its proposals.</w:t>
      </w:r>
    </w:p>
    <w:p>
      <w:r>
        <w:t>POSSIBLE 2025: European energy vision 2050 and beyond: Designing scenarios for Europe’s energy transition — https://doi.org/10.1016/j.rser.2025.116074</w:t>
      </w:r>
    </w:p>
    <w:p>
      <w:r>
        <w:t>Shared claim-specific concepts: finally, increase, energy, quantitative, green; EU scope visible. This is a provisional connection, not an outcome finding.</w:t>
      </w:r>
    </w:p>
    <w:p>
      <w:r>
        <w:t>Available abstract (not full text): Europe is warming at the fastest rate of all continents, experiencing a temperature increase of about 1 ∘ C higher than the corresponding global increase. Aiming to be the first climate-neutral continent by 2050 under the European Green Deal, Europe requires an in-depth understanding of the potential energy transition pathways. In this paper, we develop four qualitative long-term scenarios covering the European energy landscape until 2060, considering key uncertainty pillars— categorised under social, technological, economic, political, and geopolitical dimensions. First, we place the scenarios in a three-dimensional space defined by Social dynamics, Innovation, and Geopolitical instabilities. These scenarios are brought to life by defining their narratives and focus areas according to their location in this three-dimensional space. The scenarios envision diverse futures and include distinct features. The EU Trinity scenario pictures how internal divisions among EU member states, in the context of global geopolitical instability, affect the EU climate targets. The REPowerEU++ scenario outlines the steps needed for a self-sufficient, independent European energy system by 2050. The Go RES scenario examines the feasibility of achieving carbon neutrality earlier than 2050 given favourable uncertain factors. The NECP Essentials scenario extends current national energy and climate pl</w:t>
      </w:r>
    </w:p>
    <w:p>
      <w:r>
        <w:t>POSSIBLE 2022: Primary Energy Factors for Electricity Production in Europe — https://doi.org/10.3390/en16010093</w:t>
      </w:r>
    </w:p>
    <w:p>
      <w:r>
        <w:t>Shared claim-specific concepts: finally, energy, efficiency, also; EU scope visible. This is a provisional connection, not an outcome finding.</w:t>
      </w:r>
    </w:p>
    <w:p>
      <w:r>
        <w:t>Available abstract (not full text): The European Union (EU) has committed to supporting the United Nations’ efforts in line with the Paris Agreement for addressing climate change and has set ambitious targets to reduce primary energy consumption and emissions. Similar commitments have also been set by EU-27 member states. For this purpose, it is necessary to use a primary energy factor (PEF) for converting electricity use to primary energy units and for assessing energy conservation measures. Lower PEFs reflect efficiency improvements in power generation, an increased share of renewable energy sources in the fuel mix for electricity generation, and lower transmission and distribution losses. Over the past decades, there have been intensive efforts and notable progress in the EU-27 for increasing the use of renewables in the energy mix for electricity generation. However, the EU default PEF value for electricity was not regularly updated and remained at 2.5 for several years till it was finally recalculated at 2.1 in the 2018 recast of the Energy Efficiency Directive. This paper reviews different calculation options for estimating the PEF for electricity from official annual statistics, presents the historical evolution of the calculated conversion factors, and provides simple linear correlations for projecting the PEF values that can be used to facilitate more-realistic forward-looking calculations and assess nat</w:t>
      </w:r>
    </w:p>
    <w:p>
      <w:r>
        <w:t>POSSIBLE 2022: Changing European Energy Policy : The Challenge of the Energy Price Storm — https://doi.org/10.18096/tmp.2022.02.04</w:t>
      </w:r>
    </w:p>
    <w:p>
      <w:r>
        <w:t>Shared claim-specific concepts: finally, energy, also, target; EU scope visible. This is a provisional connection, not an outcome finding.</w:t>
      </w:r>
    </w:p>
    <w:p>
      <w:r>
        <w:t>Available abstract (not full text): This paper examines the roots of the European energy crisis within the period of 2021–2022, the reasons for the European gas shortage, the effect of the Russian invasion of Ukraine, and the potential EU responses. The current crisis is a result of several factors, starting from the Covid-19 pandemic in 2020 and amplified severely by the current conflict between Russia and Ukraine. In addition, five reasons were identified as worsening the EU energy situation. These include market-based gas prices, external dependency, global imbalances, the EU's climate policies, and low European energy stocks. The Russian invasion of Ukraine put pressure on the oil and gas supplies to the EU. This situation led the EU to introduce sanctions and measures that target increasing the share of renewable energy while reducing the dependence on Russian gas. Finally, we shed light on the energy transition as an opportunity to deal with climate change and limited energy resources while also showing the challenges that would hinder a just transition.</w:t>
      </w:r>
    </w:p>
    <w:p>
      <w:r>
        <w:t>POSSIBLE 2021: Energy efficiencies of European countries — https://doi.org/10.1080/00036846.2021.1994520</w:t>
      </w:r>
    </w:p>
    <w:p>
      <w:r>
        <w:t>Shared claim-specific concepts: finally, energy, efficiency; EU scope visible. This is a provisional connection, not an outcome finding.</w:t>
      </w:r>
    </w:p>
    <w:p>
      <w:r>
        <w:t>Available abstract (not full text): Improving energy efficiency is essential for sustainable development; therefore, an accurate assessment of energy efficiency is needed to inform policymakers on how to set energy efficiency goals. Using a stochastic frontier model, we estimate energy efficiencies of 44 countries in Europe from 1990 to 2015. Comparing average energy efficiencies across countries among three time periods, 1990 to 1998, 1999 to 2007, and 2008 to 2015, we find the following trends: (1) countries with highest energy efficiency cluster geographically suggesting spillover effects; (2) from the first period to the second period, 67.44% of European countries’ average energy efficiency increased, while only 59.09% of European countries’ average energy efficiencies increased between the first and the third period; (3) gains in energy efficiency may be levelling off or decreasing over time; and (4) when countries face economic downturn, they experience a decrease in energy efficiency signalling possible future decreases in energy efficiency in light of the recent recessions caused by the Covid-19 pandemic. Finally, we compute potential energy savings from a counterfactual experiment in which countries realize full efficiency. The results show substantial energy savings can be obtained by Russia in particular, and less savings can be obtained by countries with smaller populations.</w:t>
      </w:r>
    </w:p>
    <w:p>
      <w:r>
        <w:t>POSSIBLE 2020: Effects of Renewable Energy on European Union’s Energy Import — https://openalex.org/W3127099198</w:t>
      </w:r>
    </w:p>
    <w:p>
      <w:r>
        <w:t>Shared claim-specific concepts: finally, increase, energy, also, continue; EU scope visible. This is a provisional connection, not an outcome finding.</w:t>
      </w:r>
    </w:p>
    <w:p>
      <w:r>
        <w:t xml:space="preserve">Available abstract (not full text): Energy is used in all fields of the modern world and its usage has vital importance in all of our lives. Even a short interruption in energy supply will cause serious consequences in the supply chain since almost all sectors are energy-dependent. Therefore, all countries have started to take measures to ensure energy security and uninterrupted energy supply. The European Union countries have also taken various measures for this purpose and they continue to do so. One of these measures is that the European Union is trying to reduce energy dependency by reducing energy imports. This is possible by the EU investing in renewable energy and increasing the share of renewable energy in total energy produced. Therefore, In order to decrease the energy imports, the EU countries have started to increase their renewable energy production. The main goal of this study is to see if there is a relationship between renewable energy production of the European Union and the energy import of the European Union and if so, to find the degree of this relationship. In the first part, I gave information about what renewable energy is and the detailed definitions of main renewable energy resources. In the second part, I tried to show the current situation in the European Union regarding renewable energy. I gave information about the main renewable energy sources and energy shares of the European Union </w:t>
      </w:r>
    </w:p>
    <w:p>
      <w:r>
        <w:t>POSSIBLE 2019: Social Innovation in Community Energy in Europe: A Review of the Evidence — https://doi.org/10.3389/fenrg.2019.00031</w:t>
      </w:r>
    </w:p>
    <w:p>
      <w:r>
        <w:t>Shared claim-specific concepts: energy, also, continue, any;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2019: Energy Policy and European Union Politics — https://doi.org/10.1093/acrefore/9780190228637.013.1079</w:t>
      </w:r>
    </w:p>
    <w:p>
      <w:r>
        <w:t>Shared claim-specific concepts: finally, increase, energy, also, but, commission; EU scope visible. This is a provisional connection, not an outcome finding.</w:t>
      </w:r>
    </w:p>
    <w:p>
      <w:r>
        <w:t>Available abstract (not full text): Abstract Energy policy has been considered as a “special case of Europeanization,” due to its tardy and patchy development as a domain of EU activity as well as its important but highly contested external dimension. Divergent energy pathways across Member States and the sensitivity of this policy domain have militated against a unified European Energy Policy. And yet, since the mid-2000s cooperation in this policy area has picked up speed, leading to the adoption of the Energy Union, presented by the European Commission as the most ambitious energy initiative since the European Coal and Steel Community. This dynamism has attracted growing scholarly attention, seeking to determine whether, why and how European Energy Policy has consolidated against all odds during a particularly critical moment for European integration. The underlying question that emerges in this context is whether the Energy Union represents a step forward towards a more homogenous and joined-up energy policy or, rather a strategy to manage heterogeneity through greater flexibility and differentiated integration. Given the multilevel and multisectoral characteristics of energy policy, answering these questions requires a three-fold analysis of (1) the degree of centralization of European Energy Policy (vertical integration), (2) the coherence between energy sub-sectors (cross-sectoral integration), and (3) the</w:t>
      </w:r>
    </w:p>
    <w:p>
      <w:r>
        <w:t>POSSIBLE 2018: IMPACT OF RENEWABLE ENERGY CONSUMPTION ON ECONOMIC GROWTH: EVIDENCE FROM EUROPEAN UNION COUNTRIES — https://doi.org/10.3846/tede.2018.1426</w:t>
      </w:r>
    </w:p>
    <w:p>
      <w:r>
        <w:t>Shared claim-specific concepts: finally, energy, but; EU scope visible. This is a provisional connection, not an outcome finding.</w:t>
      </w:r>
    </w:p>
    <w:p>
      <w:r>
        <w:t>Available abstract (not full text): This study examines the causal relationship between economic growth and renewable energy consumption using data for 28 countries of European Union, taken from Eurostat database for years from 1995 to 2015. In addition, motivated by EU Directive 2009/28/EC, the tendency of the share of renewable energy consumption into the final energy consumption is analysed. Various panel data techniques implemented in EViews are used. The empirical results suggest a positive impact of renewable energy consumption on economic growth, and emphasize bidirectional or unidirectional Granger causalities between the two macroeconomic indicators, for each country in the panel. These results justify the political decisions of EU concerning the necessity of increasing the renewable energy consumption, and prove that this type of energy consumption has a strong positive impact on economic growth. Thus, the inclusion of such policies in future EU and national strategies is further motivated. Finally, by means of linear regression, an increasing trend was found for the ratio between renewable energy consumption and final energy consumption for all but one of the EU countries.</w:t>
      </w:r>
    </w:p>
    <w:p>
      <w:r>
        <w:t>POSSIBLE 2017: Municipal solid waste management and waste-to-energy in the context of a circular economy and energy recycling in Europe — https://doi.org/10.1016/j.energy.2017.11.128</w:t>
      </w:r>
    </w:p>
    <w:p>
      <w:r>
        <w:t>Shared claim-specific concepts: increase, energy, any, very; EU scope visible. This is a provisional connection, not an outcome finding.</w:t>
      </w:r>
    </w:p>
    <w:p>
      <w:r>
        <w:t>Available abstract (not full text): This paper proposes an overarching review of national municipal waste management systems and waste-to-energy as an important part of it in the context of circular economy in the selected countries in Europe. The growth of population and rising standards of living means that the consumption of goods and energy is increasing. On the one hand, consumption leads to an increase in the generation of waste. On the other hand, the correlation between increased wealth and increased energy consumption is very strong as well. Given that the average heating value of municipal solid waste (MSW) is approximately 10 MJ/kg, it seems logical to use waste as a source of energy. Traditionally, waste-to-energy (WtE) has been associated with incineration. Yet, the term is much broader, embracing various waste treatment processes generating energy (for instance, in the form of electricity and/or heat or producing a waste-derived fuel). Turning waste into energy can be one key to a circular economy enabling the value of products, materials, and resources to be maintained on the market for as long as possible, minimising waste and resource use. As the circular economy is at the top of the EU agenda, all Member States of the EU (including the EEA countries) should move away from the old-fashioned disposal of waste to a more intelligent waste treatment encompassing the circular economy approach in their</w:t>
      </w:r>
    </w:p>
    <w:p>
      <w:r>
        <w:t>POSSIBLE 2015: The dynamic volatility spillover between European carbon trading market and fossil energy market — https://doi.org/10.1016/j.jclepro.2015.09.118</w:t>
      </w:r>
    </w:p>
    <w:p>
      <w:r>
        <w:t>Shared claim-specific concepts: energy; EU scope visible. This is a provisional connection, not an outcome finding.</w:t>
      </w:r>
    </w:p>
    <w:p>
      <w:r>
        <w:t>Available abstract (not full text): Unavailable</w:t>
      </w:r>
    </w:p>
    <w:p>
      <w:pPr>
        <w:pStyle w:val="Heading2"/>
      </w:pPr>
      <w:r>
        <w:t>The Future of Visitor Attractions in The Netherlands</w:t>
      </w:r>
    </w:p>
    <w:p>
      <w:r>
        <w:t>Original source (2014): https://doi.org/10.1080/02508281.2014.11087010</w:t>
      </w:r>
    </w:p>
    <w:p>
      <w:r>
        <w:t>Original wording (abstract; indexed_source_text_not_full_document_verified): The results were used to create four different scenarios that could be used by the visitor-attraction business to develop innovative strategies, concepts, products, services or business models that would make the attraction more future-proof. The aim of the study was to acquire a reliable and plausible picture of the interests of visitors in the future and the development opportunities for visitor attractions in the Netherlands.</w:t>
      </w:r>
    </w:p>
    <w:p>
      <w:r>
        <w:t>POSSIBLE 2022: Sports Marketing as a Tool for Creating an Image of Leading European Football Clubs — https://doi.org/10.15611/2022.29.9.03</w:t>
      </w:r>
    </w:p>
    <w:p>
      <w:r>
        <w:t>Shared claim-specific concepts: used, create, four, different; EU scope visible. This is a provisional connection, not an outcome finding.</w:t>
      </w:r>
    </w:p>
    <w:p>
      <w:r>
        <w:t>Available abstract (not full text): The purpose of the article was to describe the sports marketing tools used by leading European football clubs. As the topic was complex, the paper also included a description of the most popular marketing tools in sport. The essence of the article was to present how the image was created by four selected football clubs. The analysis of the above-mentioned activities allowed the author to confirm that the sports marketing tools they use are an effective way to achieve the intended image goals. The main thesis put forward in the paper is that sports marketing is an effective tool for creating a brand image for European sports clubs. Thanks to the availability of contents in literature, internet materials and reports, the said thesis has been proven. When used correctly, sports marketing can create a positive image of a football club in many ways, mainly thanks to modern technology and the development of social media. However, a significant function is still performed by traditional forms of advertising which cannot be replaced by modern marketing. Each football club builds a promotional strategy in a different way, and therefore the topic is complex.</w:t>
      </w:r>
    </w:p>
    <w:p>
      <w:r>
        <w:t>POSSIBLE 2021: Creating the European Literary Text Collection (ELTeC): Challenges and Perspectives — https://doi.org/10.3828/mlo.v0i0.364</w:t>
      </w:r>
    </w:p>
    <w:p>
      <w:r>
        <w:t>Shared claim-specific concepts: used, four, different, aim; EU scope visible. This is a provisional connection, not an outcome finding.</w:t>
      </w:r>
    </w:p>
    <w:p>
      <w:r>
        <w:t>Available abstract (not full text): The aim of this contribution is to reflect on the process of building the multilingual European Literary Text Collection (ELTeC) that is being created in the framework of the networking project Distant Reading for European Literary History funded by COST (European Cooperation in Science and Technology). To provide some background, we briefly introduce the basic idea of ELTeC with a focus on the overall goals and intended usage scenarios. We then describe the collection composition principles that we have derived from the usage scenarios. In our discussion of the corpus-building process, we focus on collections of novels from four different literary traditions as components of ELTeC: French, Portuguese, Romanian, and Slovenian, selected from the more than twenty collections that are currently in preparation. For each collection, we describe some of the challenges we have encountered and the solutions developed while building ELTeC. In each case, the literary tradition, the history of the language, the current state of digitization of cultural heritage, the resources available locally, and the scholars’ training level with regard to digitization and corpus building have been vastly different. How can we, in this context, hope to build comparable collections of novels that can usefully be integrated into a multilingual resource such as ELTeC and used in Distant Reading research? B</w:t>
      </w:r>
    </w:p>
    <w:p>
      <w:r>
        <w:t>POSSIBLE 2019: Plantation forests in Europe: challenges and opportunities — https://doi.org/10.36333/fs09</w:t>
      </w:r>
    </w:p>
    <w:p>
      <w:r>
        <w:t>Shared claim-specific concepts: create, four, different, develop, innovative, strategies; EU scope visible. This is a provisional connection, not an outcome finding.</w:t>
      </w:r>
    </w:p>
    <w:p>
      <w:r>
        <w:t>Available abstract (not full text):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r>
        <w:t>POSSIBLE 2018: Deriving spatially explicit water uses from land use change modelling results in four river basins across Europe — https://doi.org/10.1016/j.scitotenv.2018.02.051</w:t>
      </w:r>
    </w:p>
    <w:p>
      <w:r>
        <w:t>Shared claim-specific concepts: create, four, different; EU scope visible. This is a provisional connection, not an outcome finding.</w:t>
      </w:r>
    </w:p>
    <w:p>
      <w:r>
        <w:t>Available abstract (not full text): The objective of this study is to provide spatially distributed water use maps at a high spatial and thematic resolution as detailed input data for further modelling purposes. The maps were derived on the basis of official water statistics and land use maps to represent the current conditions in four European river basins affected by water scarcity (Adige, Ebro, Evrotas and Sava) and allow setting up reference scenarios. The present land use distribution was modelled based on CORINE data with the land use change model iCLUE. Modelling the land use allows to create dynamic land and water use maps adapted to the needs of eventual scenario analyses compared to using only observed land use maps. The availability of several CORINE datasets allowed calibrating and validating the results of the iCLUE model carrying out a three map comparison. Sectoral water uses were attributed to different land use classes and by this means located in space. Both the location and the magnitude of urban and agricultural water uses can be derived from the final maps. The created maps together with the corresponding land use data provide a coherent set of information crucial to most environmental modelling activities and often missing at this spatial and thematic resolution. This work also aims at visualizing and validating the water use statistics provided by official institutions such as the River Bas</w:t>
      </w:r>
    </w:p>
    <w:p>
      <w:r>
        <w:t>POSSIBLE 2017: Use of complementary and alternative medicine in Europe: Health-related and sociodemographic determinants — https://doi.org/10.1177/1403494817733869</w:t>
      </w:r>
    </w:p>
    <w:p>
      <w:r>
        <w:t>Shared claim-specific concepts: used, four, different, aim; EU scope visible. This is a provisional connection, not an outcome finding.</w:t>
      </w:r>
    </w:p>
    <w:p>
      <w:r>
        <w:t>Available abstract (not full text): AIMS: The aim of this research was to study health-related and sociodemographic determinants of the use of different complementary and alternative medicine (CAM) treatments in Europe and differences in CAM use in various European countries. METHODS: The study was based on a design-based logistic regression analysis of the European Social Survey (ESS), Round 7. We distinguished four CAM modalities: manual therapies, alternative medicinal systems, traditional Asian medical systems and mind-body therapies. RESULTS: In total, 25.9% of the general population had used CAM during the last 12 months. Typically, only one CAM treatment had been used, and it was used more often as complementary rather than alternative treatment. The use of CAM varied greatly by country, from 10% in Hungary to almost 40% in Germany. Compared to those in good health, the use of CAM was two to fourfold greater among those with health problems. The health profiles of users of different CAM modalities varied. For example, back or neck pain was associated with all types of CAM, whereas depression was associated only with the use of mind-body therapies. Individuals with difficult to diagnose health conditions were more inclined to utilize CAM, and CAM use was more common among women and those with a higher education. Lower income was associated with the use of mind-body therapies, whereas the other three CAM mod</w:t>
      </w:r>
    </w:p>
    <w:p>
      <w:r>
        <w:t>POSSIBLE 2016: Four European Smart City Strategies — https://doi.org/10.11114/ijsss.v4i4.1364</w:t>
      </w:r>
    </w:p>
    <w:p>
      <w:r>
        <w:t>Shared claim-specific concepts: four, strategies; EU scope visible. This is a provisional connection, not an outcome finding.</w:t>
      </w:r>
    </w:p>
    <w:p>
      <w:r>
        <w:t>Available abstract (not full text): This paper provides evidence-based policy recommendations about the development of smart cities. The core characteristics of smart cities, including the use of advanced technology, human and social capital development, the development of pro-business environments and networking, are ‘translated’ into individual domains that characterize smart city strategies. Four major European cities (Amsterdam, Barcelona, London and Stockholm) are examined in terms of how they have so far incorporated those domains in their ongoing smart city strategies. The data are analyzed comparatively, highlighting trends and contrasting differences among strategies. The paper closes with conclusions about those characteristics and their role in smart city policy making.</w:t>
      </w:r>
    </w:p>
    <w:p>
      <w:r>
        <w:t>POSSIBLE 2015: Local and landscape‐level floral resources explain effects of wildflower strips on wild bees across four European countries — https://doi.org/10.1111/1365-2664.12479</w:t>
      </w:r>
    </w:p>
    <w:p>
      <w:r>
        <w:t>Shared claim-specific concepts: used, four, different; EU scope visible. This is a provisional connection, not an outcome finding.</w:t>
      </w:r>
    </w:p>
    <w:p>
      <w:r>
        <w:t xml:space="preserve">Available abstract (not full text): Summary Growing evidence for declines in wild bees calls for the development and implementation of effective mitigation measures. Enhancing floral resources is a widely accepted measure for promoting bees in agricultural landscapes, but effectiveness varies considerably between landscapes and regions. We hypothesize that this variation is mainly driven by a combination of the direct effects of measures on local floral resources and the availability of floral resources in the surrounding landscape. To test this, we established wildflower strips in four European countries, using the same seed mixture of forage plants specifically targeted at bees. We used a before–after control–impact approach to analyse the impacts of wildflower strips on bumblebees, solitary bees and Red List species and examined to what extent effects were affected by local and landscape‐wide floral resource availability, land‐use intensity and landscape complexity. Wildflower strips generally enhanced local bee abundance and richness, including Red‐listed species. Effectiveness of the wildflower strips increased with the local contrast in flower richness created by the strips and furthermore depended on the availability of floral resources in the surrounding landscape, with different patterns for solitary bees and bumblebees. Effects on solitary bees appeared to decrease with increasing amount of late‐season </w:t>
      </w:r>
    </w:p>
    <w:p>
      <w:pPr>
        <w:pStyle w:val="Heading2"/>
      </w:pPr>
      <w:r>
        <w:t>The feasibility of a European‐wide integrated CO 2 transport network</w:t>
      </w:r>
    </w:p>
    <w:p>
      <w:r>
        <w:t>Original source (2014): https://doi.org/10.1002/ghg.1410</w:t>
      </w:r>
    </w:p>
    <w:p>
      <w:r>
        <w:t>Original wording (abstract; indexed_source_text_not_full_document_verified): Abstract The European Union's ambition to achieve near‐total decarbonization by 2050 suggests a large role for carbon capture and storage (CCS), requiring the transport (mostly by pipeline) of CO 2 from source facilities to appropriate sites for geological storage.</w:t>
      </w:r>
    </w:p>
    <w:p>
      <w:r>
        <w:t>POSSIBLE 2026: COMMON OR DIVERGENT? A COMPARATIVE ANALYSIS OF SUSTAINABLE DEVELOPMENT POLICIES IN THE EUROPEAN UNION AND THE UNITED KINGDOM — https://doi.org/10.62140/cr530933322</w:t>
      </w:r>
    </w:p>
    <w:p>
      <w:r>
        <w:t>Shared claim-specific concepts: abstract, union, ambition; EU scope visible. This is a provisional connection, not an outcome finding.</w:t>
      </w:r>
    </w:p>
    <w:p>
      <w:r>
        <w:t>Available abstract (not full text): Abstract: Sustainable development policies in the United Kingdom (UK) and in the European Union (EU) have been part of selected policies that for almost fifty years have overlapped. This paper tries to trace their paths from the 1950s post-integration to recent post-Brexit policy developments. It examines major policy milestones in the European Union environmental and sustainability policies and pivotal UK instruments such as the 2005 Sustainable Development Strategy, the Climate Change Act 2008, and the Environment Act 2021. Through comparative evaluation, this article highlights similarities and differences in ambition, sustainability institutions, execution, and EU–UK cooperation on shared sustainability challenges.</w:t>
      </w:r>
    </w:p>
    <w:p>
      <w:r>
        <w:t>POSSIBLE 2025: The Idea of the European Union as a Cosmopolitan Empire: A Critical Assessment — https://doi.org/10.33067/se.1.2025.4</w:t>
      </w:r>
    </w:p>
    <w:p>
      <w:r>
        <w:t>Shared claim-specific concepts: abstract, union, ambition; EU scope visible. This is a provisional connection, not an outcome finding.</w:t>
      </w:r>
    </w:p>
    <w:p>
      <w:r>
        <w:t>Available abstract (not full text): The aim of this paper is to submit the concept of the European Union as a “cosmopolitan empire”, proposed by Ulrich Beck and Edgar Grande (2007), to a critical discussion. As it attempts to grasp this concept in its practical rather than its theoretical form, it discusses the “ideal” of a European cosmopolitan empire in relation to the criteria of excellence and coherence. Compared to abstract universalism and to national relativism, the cosmopolitan ideal can be seen as a higher synthesis, since it transcends the dilemma between the effacement or the essentialisation of cultural differences. However, this synthesis, when translated into practice, reveals certain ambiguities that undermine its feasibility. The concept of a “cosmopolitan empire” emerges as a proposed solution, with European identity being reframed through the lens of cosmopolitanisation or transnationalisation. This perspective entails a profound openness and inclusion of the so-called “others”. An empire is supposed to be a political structure capable of incorporating differences within a transnational framework of governance. However, this concept sits uneasily with the historically-embedded meanings of European imperial practice which are better captured through the concept of a “neo-medieval empire” as proposed by Jan Zielonka (2007). The civilising mission, a historically prominent imperial function, relies</w:t>
      </w:r>
    </w:p>
    <w:p>
      <w:r>
        <w:t>POSSIBLE 2025: The green hydrogen ambition and implementation gap — https://doi.org/10.1038/s41560-024-01684-7</w:t>
      </w:r>
    </w:p>
    <w:p>
      <w:r>
        <w:t>Shared claim-specific concepts: abstract, ambition, carbon, pipeline; EU scope not established. This is a provisional connection, not an outcome finding.</w:t>
      </w:r>
    </w:p>
    <w:p>
      <w:r>
        <w:t>Available abstract (not full text): Abstract Green hydrogen is critical for decarbonizing hard-to-electrify sectors, but it faces high costs and investment risks. Here we define and quantify the green hydrogen ambition and implementation gap, showing that meeting hydrogen expectations will remain challenging despite surging announcements of projects and subsidies. Tracking 190 projects over 3 years, we identify a wide 2023 implementation gap with only 7% of global capacity announcements finished on schedule. In contrast, the 2030 ambition gap towards 1.5 °C scenarios has been gradually closing as the announced project pipeline has nearly tripled to 422 GW within 3 years. However, we estimate that, without carbon pricing, realizing all these projects would require global subsidies of US$1.3 trillion (US$0.8–2.6 trillion range), far exceeding announced subsidies. Given past and future implementation gaps, policymakers must prepare for prolonged green hydrogen scarcity. Policy support needs to secure hydrogen investments, but should focus on applications where hydrogen is indispensable.</w:t>
      </w:r>
    </w:p>
    <w:p>
      <w:r>
        <w:t>POSSIBLE 2024: Climate Obstruction in the European Union — https://doi.org/10.1093/oso/9780197762042.003.0013</w:t>
      </w:r>
    </w:p>
    <w:p>
      <w:r>
        <w:t>Shared claim-specific concepts: abstract, union, ambition, role, capture; EU scope visible. This is a provisional connection, not an outcome finding.</w:t>
      </w:r>
    </w:p>
    <w:p>
      <w:r>
        <w:t>Available abstract (not full text): Abstract The European Union has gained increasing influence in setting climate policy. Its power to determine the orientation of the integrated body and in negotiation and decision-making gives the European Union a privileged role in the climate policies of individual member states—and these processes are, accordingly, contested. At the EU level, efforts to obstruct ambitious action aim not to deny climate change but to reduce the ambition of policy initiatives and make them more market friendly. To capture the opposition, the chapter evaluates texts from key EU associations such as BusinessEurope as well as the output of conservative and neoliberal European think tanks and networks such as the Centre for European Policy. It also examines the influence of fossil fuel and ‘green’ lobby groups and analyses the extent to which actors have been able to implement their climate obstruction activities through direct contacts within the European Commission.</w:t>
      </w:r>
    </w:p>
    <w:p>
      <w:r>
        <w:t>POSSIBLE 2024: Wanted Refugees: The Forming of an Instrument Constituency for Refugee Resettlement in the European Union — https://doi.org/10.1093/rsq/hdae006</w:t>
      </w:r>
    </w:p>
    <w:p>
      <w:r>
        <w:t>Shared claim-specific concepts: abstract, union, ambition; EU scope visible. This is a provisional connection, not an outcome finding.</w:t>
      </w:r>
    </w:p>
    <w:p>
      <w:r>
        <w:t>Available abstract (not full text): Abstract The European Union Agency for Asylum has emerged as an important actor in the Common European Asylum System in the past few years. In this article, we explore how the agency engages in capacity-building by looking at the development of bureaucratic instruments. We deploy the theoretical framework of instrument constituencies to investigate the agency’s development of instruments around resettlement. In relation to the literature on European migration management, deploying the theoretical framework of instrument constituencies is a novel approach. Given the European Union’s limited mandate to directly influence Member States resettlement programmes, we argue that the development of bureaucratic instruments is one of the few avenues through which the European Union can facilitate resettlement. This study reveals how the proliferation in the use of these instruments by Member State authorities is driven by a political ambition to create a more orderly form of migration and is contrasted with the seemingly uncontrollable nature of asylum. Beyond being a direct solution to a practical problem, the policy instruments studied here reveal how new bureaucratic practices around resettlement are gradually being established. We show how resettlement is continuously evolving in the intersection between Member States and the European Union in the governing of migration.</w:t>
      </w:r>
    </w:p>
    <w:p>
      <w:r>
        <w:t>POSSIBLE 2022: The European Union as a Community of Super Wicked Problems and Its Ambition–Authority Deficit — https://doi.org/10.1093/oso/9780192897541.003.0002</w:t>
      </w:r>
    </w:p>
    <w:p>
      <w:r>
        <w:t>Shared claim-specific concepts: abstract, union, ambition; EU scope visible. This is a provisional connection, not an outcome finding.</w:t>
      </w:r>
    </w:p>
    <w:p>
      <w:r>
        <w:t>Available abstract (not full text): Abstract The European Union has an ambition–authority deficit. Its ambition is to deal with problems that are too difficult for member states in a way that requires them to grant considerable authority to foreigners. Its limited legitimacy restricts how it does this and wider acceptance of its solutions. This deficit’s unmanageability threatens the Union with collapse. The Union has therefore developed four strategies—legislative compacts, administrative coordination, resourced co-option, and discounting—to temper this mission’s demands. However, only one, legislative compacts, both plausibly manages this deficit and allows the Union to realize its mission. The challenge is therefore to generalize this strategy but address its central limitations, most centrally its legal formalism and collective action problems, in a way that does not harm its operational effectiveness. This will involve granting member states some autonomy, but paradoxically it protects the Union from its current slow-motion collapse rather than threatening that collapse.</w:t>
      </w:r>
    </w:p>
    <w:p>
      <w:r>
        <w:t>POSSIBLE 2021: The European Union as a Global Power? — https://doi.org/10.1093/oso/9780192895820.003.0015</w:t>
      </w:r>
    </w:p>
    <w:p>
      <w:r>
        <w:t>Shared claim-specific concepts: abstract, union, role; EU scope visible. This is a provisional connection, not an outcome finding.</w:t>
      </w:r>
    </w:p>
    <w:p>
      <w:r>
        <w:t>Available abstract (not full text): Abstract European integration started after the Second World War as an effort to bring peace in the Old Continent and to promote the unity of its peoples in a categorical rejection of nationalism. Hence, the very reason of making a united Europe was internal in its roots. Without denying the extraordinary achievements of the European project, today we can no longer give traditional answers to the fundamental question: ‘Why make Europe?’ If yesterday the underlying reason was clear to everyone—peace, in fact—today it is no longer the case. One of the ‘positive’ aspects of Brexit—and there are very few!—is having awakened Europe from a dangerous, deterministic, and almost dogmatic inertia of giving ‘Just because’ as the answer. So why should we continue to build a united Europe? Why do we need the European Union in the twenty-first century? In a nutshell the answer is that from the hegemon it was until the twentieth century, Europe must become a beacon for the world as a value-based global power. This is the essence of the new role that Europe is called to play in the world. In order to do this, we can no longer just look at internal causes for making Europe, but must also take into account the external context. In other words, we should adopt a mentality whereby European values coincide with European strategic interests. This shift is the key to making Europe live up to its glob</w:t>
      </w:r>
    </w:p>
    <w:p>
      <w:r>
        <w:t>POSSIBLE 2021: DEFENCE INITIATIVES TO STRENGTHEN THE SECURITY OF THE EUROPEAN UNION — https://doi.org/10.33179/bsv.99.svi.11.cmc.23.2.3</w:t>
      </w:r>
    </w:p>
    <w:p>
      <w:r>
        <w:t>Shared claim-specific concepts: abstract, union, ambition; EU scope visible. This is a provisional connection, not an outcome finding.</w:t>
      </w:r>
    </w:p>
    <w:p>
      <w:r>
        <w:t>Available abstract (not full text): Povzetek Izhajajoč iz poslanstva Globalne strategije za zunanjo in varnostno politiko EU iz leta 2016 in s ciljem doseganja strateške obrambne avtonomije so države članice EU soglasno sprejele in implementirale različne pobude za krepitev razvoja zmogljivosti EU, kot so CARD, PESCO in EDF. Z doseganjem strateške obrambne avtonomije kot prednostne naloge bo EU postala ugledna svetovna sila in kot taka ne bo več tista, ki bo za doseganje svoje ravni ambicij odvisna le od velikih sil. Z izpolnjevanjem tega cilja bo EU tudi krepila svojo že tradicionalno mehko moč pri zaščiti strateških interesov. Kljub temu bo sodelovanje med EU in Natom še naprej nujno za evropsko in svetovno varnost. Ključne besede EUGS, obrambne pobude, CARD, PESCO, EDF, sodelovanje EU-NATO Abstract Following the mission of the European Union Global Strategy (EUGS), and with the aim of achieving strategic defence autonomy, the EU Member States unanimously adopted and implemented various initiatives to strengthen the development of the EU’s capabilities: CARD, PESCO and the EDF. By achieving strategic defence autonomy as a priority, the EU will become a respectable global power and, as such, it will no longer be one that depends solely on great powers to provide for its level of ambition. In this way, the EU will also harden its traditional soft power to protect its strategic interests. Nevertheless, cooperation</w:t>
      </w:r>
    </w:p>
    <w:p>
      <w:r>
        <w:t>POSSIBLE 2020: Ukraine and the European Union — https://doi.org/10.1093/acrefore/9780190228637.013.1137</w:t>
      </w:r>
    </w:p>
    <w:p>
      <w:r>
        <w:t>Shared claim-specific concepts: abstract, union, ambition, large, role; EU scope visible. This is a provisional connection, not an outcome finding.</w:t>
      </w:r>
    </w:p>
    <w:p>
      <w:r>
        <w:t>Available abstract (not full text): Abstract In early 2014, a series of dramatic crises in Ukraine generated headlines around the world. Most scholarly attention was placed on the tensions between the West and Russia, and the emergence of a new Cold War, especially following Russia’s annexation of the Crimean peninsula and its military incursion in eastern Ukraine. The relations between Ukraine and the European Union (EU) have often been reduced to debates on whether the EU was to blame for the conflict, having “sleepwalked” into the Ukraine crisis by focusing on technical trade issues and failing to recognize the delicate geopolitical context. Other analysts pointed to the EU’s pursuit of regional hegemony, which has failed to recognize Russia’s legitimate geopolitical and economic interests in Ukraine. In practice, Ukraine‒EU relations have been more complex and nuanced, certainly when considering that Ukraine already declared its ambition to “return to Europe” and to seek EU membership with its proclamation of independence, in 1991. Ukraine-EU relations are perhaps best understood along four levels of inquiry. The first is domestic dynamics in Ukraine. Since the end of the Cold War, all Ukrainian governments have underlined the “Europeanness” of Ukraine and have also by and large followed a pro-EU course in their foreign policies, including the government under pro-Russian president Viktor Yanukovych. However,</w:t>
      </w:r>
    </w:p>
    <w:p>
      <w:r>
        <w:t>POSSIBLE 2016: Climate Change Policy in the European Union — https://doi.org/10.1093/acrefore/9780190228620.013.47</w:t>
      </w:r>
    </w:p>
    <w:p>
      <w:r>
        <w:t>Shared claim-specific concepts: abstract, union, ambition; EU scope visible. This is a provisional connection, not an outcome finding.</w:t>
      </w:r>
    </w:p>
    <w:p>
      <w:r>
        <w:t>Available abstract (not full text): Abstract The European Union (EU) has long claimed, with some justification, to be a leader in international climate policy. Its policy activities in this area, dating from the early 1990s, have had enormous influence within and beyond Europe. The period since ca. 2000 in particular has witnessed the repeated emergence of policies and targets that are increasingly distinct from national ones and sometimes globally innovative. They encompass a wide array of instruments (e.g., market-based, informational, voluntary, as well as regulatory). Policy development has been motivated by a mixture of concerns: to avoid national differences in policy causing distortions of the EU’s internal market; to enhance the domestic legitimacy of the wider project of European integration; to improve energy security; and to increase economic competitiveness through “ecological modernization.” Climate policy has also offered a means to enhance the standing of the EU as a global actor. The EU has, in general, been influential in international negotiations, for example, in its promotion of the 2°C warming limit and advocacy of emission reduction “targets and timetables.” In turn, its own policy has been shaped by developments at global level, as with the surprisingly enthusiastic adoption of the “flexible mechanism” of emissions trading. However, it is becoming increasingly apparent that acute challenges</w:t>
      </w:r>
    </w:p>
    <w:p>
      <w:r>
        <w:t>POSSIBLE 2015: The Importance of Setting a Target: The EU Ambition of a High Level of Protection — https://doi.org/10.1017/s2047102514000284</w:t>
      </w:r>
    </w:p>
    <w:p>
      <w:r>
        <w:t>Shared claim-specific concepts: abstract, union, ambition; EU scope visible. This is a provisional connection, not an outcome finding.</w:t>
      </w:r>
    </w:p>
    <w:p>
      <w:r>
        <w:t>Available abstract (not full text): Abstract The European Union (EU) aims to ensure a high level of environmental protection. This is a key message of primary EU law. This article explores the purpose and meaning of this explicit ambition. It deciphers its influence on case law and on judicial review of legislative and administrative discretion. It argues that the requirement goes beyond window dressing and that its added value lies both in supporting the legitimacy of bold decisions and in preventing a manifest dismissal of the requisites of environmental protection. Although primarily focused on EU law and on its technicalities, the article may offer helpful insights to other transnational or federal systems. It may help to build a better understanding of some of the challenges facing any environmental law regime confronted with the sensitive issue of ‘ambition’.</w:t>
      </w:r>
    </w:p>
    <w:p>
      <w:pPr>
        <w:pStyle w:val="Heading2"/>
      </w:pPr>
      <w:r>
        <w:t>The future of financial markets and regulation: what strategy for Europe?</w:t>
      </w:r>
    </w:p>
    <w:p>
      <w:r>
        <w:t>Original source (2014): https://doi.org/10.1108/fs-05-2012-0039</w:t>
      </w:r>
    </w:p>
    <w:p>
      <w:r>
        <w:t>Original wording (abstract; indexed_source_text_not_full_document_verified): Finally, they build five scenarios according to the main evolutions observed on the financial markets and on the tools used by the regulator to modify these trends. Findings – Among the five scenarios defined, two present highly unstable features since the regulator refuses to choose between financial opening and independently determining how to regulate finance in order to preserve financial stability.</w:t>
      </w:r>
    </w:p>
    <w:p>
      <w:r>
        <w:t>POSSIBLE 2021: On the Interplay of Ownership Patterns, Biodiversity, and Conservation in Past and Present Temperate Forest Landscapes of Europe and North America — https://doi.org/10.1007/s40725-021-00143-w</w:t>
      </w:r>
    </w:p>
    <w:p>
      <w:r>
        <w:t>Shared claim-specific concepts: finally, build, findings, present; EU scope visible. This is a provisional connection, not an outcome finding.</w:t>
      </w:r>
    </w:p>
    <w:p>
      <w:r>
        <w:t xml:space="preserve">Available abstract (not full text): Abstract Purpose of Review Ownership patterns and the associated management characteristics are related to forest structures, biodiversity patterns, and their conservation worldwide. A literature review on this topic is missing so far. We fill this gap with an emphasis on the temperate forests of Europe and North America. Mixed-ownership landscapes are the special focus of the analysis. In a first step, historical effects of ownership patterns on forest structure and biodiversity are elucidated. Second, connections between present-time forest ownership patterns and both forest structural and biodiversity patterns are analyzed. Finally, implications for integrative conservation management are evaluated with a special focus on mixed-ownership forest landscapes. Recent Findings Close linkages between ownership type-specific forest management and particular forest structural and biodiversity patterns are identified for past and current forest landscapes. Both in Europe and North America, publicly and privately owned forests show comparable lines of historical development but with a time shift. Forest reserves and ancient woodland with long ecological continuity appear to be mainly connected with public ownership. A high diversity of management approaches and cultural landscape habitats is characteristic of non-industrial small private forests. In mixed-ownership landscapes, a more </w:t>
      </w:r>
    </w:p>
    <w:p>
      <w:r>
        <w:t>POSSIBLE 2020: Loess landscapes of Europe – Mapping, geomorphology, and zonal differentiation — https://doi.org/10.1016/j.earscirev.2020.103496</w:t>
      </w:r>
    </w:p>
    <w:p>
      <w:r>
        <w:t>Shared claim-specific concepts: main, used, present, since; EU scope visible. This is a provisional connection, not an outcome finding.</w:t>
      </w:r>
    </w:p>
    <w:p>
      <w:r>
        <w:t>Available abstract (not full text): Paleoenvironmental reconstructions on a (supra-)regional scale have gained attention in Quaternary sciences during the last decades. In terrestrial realms, loess deposits and especially intercalations of loess and buried soils, so called loess-paleosol sequences (LPS) are important archives to unravel the terrestrial response to e.g. climatic fluctuations and reconstruct paleoenvironments during the Pleistocene. The analysis of LPS requires the knowledge of several key factors, such as the distribution of the aeolian sediments, their location relative to (potential) source areas, the climate conditions that led to their emplacement and the topography of the sink area. These factors strongly influence the sedimentological and paleoenvironmental characteristics of LPS and show broad variations throughout Europe, leading to a distinct distribution pattern throughout the continent. We present a new map of the distribution of aeolian sediments (mainly loess) and major potential source areas for Europe. The map was compiled combining geodata of different mapping approaches. Most of the used geodata stems from accurate national maps of 27 different countries. Problematic aspects such as different nomenclatures across administrative borders were carefully investigated and revised. The result is a seamless map, which comprises pedological, geological, and geomorphological data and can b</w:t>
      </w:r>
    </w:p>
    <w:p>
      <w:r>
        <w:t>POSSIBLE 2020: Building ‘implicit partnerships’? Financial long-term care entitlements in Europe — https://doi.org/10.1007/s11077-020-09403-1</w:t>
      </w:r>
    </w:p>
    <w:p>
      <w:r>
        <w:t>Shared claim-specific concepts: finally, build, financial, modify; EU scope visible. This is a provisional connection, not an outcome finding.</w:t>
      </w:r>
    </w:p>
    <w:p>
      <w:r>
        <w:t>Available abstract (not full text): Abstract The design of public subsidies for long-term care (LTC) programmes to support frail, elderly individuals in Europe is subject to both tight budget constraints and increasing demand preassures for care. However, what helps overcoming the constraints that modify LTC entitlements? We provide a unifying explanation of the conditions that facilitate the modification of public financial entitlements to LTC. We build on the concept of ‘implicit partnerships’, an implicit (or ‘silent’) agreement, encompassing the financial co-participation of both public funders, and families either by both allocating time and/or financial resources to caregiving. Next, we provide suggestive evidence of policy reforms modifying public entitlements in seven European countries which can be classified as either ‘implicit user partnerships’ or ‘implicit caregiver partnerships’. Finally, we show that taxpayers attitudes mirror the specific type of implicit partnership each country has adopted. Hence, we conclude that the modification of long-term care entitlements require the formation of some type of ‘implicit partnership'.</w:t>
      </w:r>
    </w:p>
    <w:p>
      <w:r>
        <w:t>POSSIBLE 2019: Social enterprises and their ecosystems in Europe — https://doi.org/10.2767/330252</w:t>
      </w:r>
    </w:p>
    <w:p>
      <w:r>
        <w:t>Shared claim-specific concepts: they, present, since; EU scope visible. This is a provisional connection, not an outcome finding.</w:t>
      </w:r>
    </w:p>
    <w:p>
      <w:r>
        <w:t>Available abstract (not full text):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r>
        <w:t>POSSIBLE 2019: Industry Concentration in Europe and North America — https://doi.org/10.1787/2ff98246-en</w:t>
      </w:r>
    </w:p>
    <w:p>
      <w:r>
        <w:t>Shared claim-specific concepts: observed, trends, two; EU scope visible. This is a provisional connection, not an outcome finding.</w:t>
      </w:r>
    </w:p>
    <w:p>
      <w:r>
        <w:t>Available abstract (not full text): This report presents new evidence on industry concentration trends in Europe and in North America. It uses two novel data sources: representative firm-level concentration measures from the OECD MultiProd project, and business-group-level concentration measures using matched Orbis-Worldscope-Zephyr data. Based on the MultiProd data, it finds that between 2001 and 2012 the average industry across 10 European economies saw a 2-3-percentage-point increase in the share of the 10% largest companies in industry sales. Using the Orbis-Worldscope-Zephyr data, it documents a clear increase in industry concentration in Europe as well as in North America between 2000 and 2014 of the order of 4-8 percentage points for the average industry. Over the period, about 3 out of 4 (2-digit) industries in each region saw their concentration increase. The increase is observed for both manufacturing and non-financial services and is not driven by digital-intensive sectors.</w:t>
      </w:r>
    </w:p>
    <w:p>
      <w:r>
        <w:t>POSSIBLE 2015: Carbapenemase-producing Enterobacteriaceae in Europe: assessment by national experts from 38 countries, May 2015 — https://doi.org/10.2807/1560-7917.es.2015.20.45.30062</w:t>
      </w:r>
    </w:p>
    <w:p>
      <w:r>
        <w:t>Shared claim-specific concepts: they, build, two; EU scope visible. This is a provisional connection, not an outcome finding.</w:t>
      </w:r>
    </w:p>
    <w:p>
      <w:r>
        <w:t xml:space="preserve">Available abstract (not full text): In 2012, the European Centre for Disease Prevention and Control (ECDC) launched the 'European survey of carbapenemase-producing Enterobacteriaceae (EuSCAPE)' project to gain insights into the occurrence and epidemiology of carbapenemase-producing Enterobacteriaceae (CPE), to increase the awareness of the spread of CPE, and to build and enhance the laboratory capacity for diagnosis and surveillance of CPE in Europe. Data collected through a post-EuSCAPE feedback questionnaire in May 2015 documented improvement compared with 2013 in capacity and ability to detect CPE and identify the different carbapenemases genes in the 38 participating countries, thus contributing to their awareness of and knowledge about the spread of CPE. Over the last two years, the epidemiological situation of CPE worsened, in particular with the rapid spread of carbapenem-hydrolysing oxacillinase-48 (OXA-48)- and New Delhi metallo-beta-lactamase (NDM)-producing Enterobacteriaceae. In 2015, 13/38 countries reported inter-regional spread of or an endemic situation for CPE, compared with 6/38 in 2013. Only three countries replied that they had not identified one single case of CPE. The ongoing spread of CPE represents an increasing threat to patient safety in European hospitals, and a majority of countries reacted by establishing national CPE surveillances systems and issuing guidance on control measures for </w:t>
      </w:r>
    </w:p>
    <w:p>
      <w:pPr>
        <w:pStyle w:val="Heading2"/>
      </w:pPr>
      <w:r>
        <w:t>The future of global trade and the WTO</w:t>
      </w:r>
    </w:p>
    <w:p>
      <w:r>
        <w:t>Original source (2014): https://doi.org/10.1108/fs-06-2012-0044</w:t>
      </w:r>
    </w:p>
    <w:p>
      <w:r>
        <w:t>Original wording (abstract; indexed_source_text_not_full_document_verified): Four scenarios of the world economy are presented, which are derived from the international AUGUR research project “Challenges for Europe in the world in 2030” coordinated by Paris Nord University. This paper aims to analyse the main issues which might influence the governance of world trade from now until 2030 and present quantitative projections of international trade.</w:t>
      </w:r>
    </w:p>
    <w:p>
      <w:r>
        <w:t>POSSIBLE 2025: IMPACT OF SHORT-TERM EXTERNAL SHOCKS ON THE WORLD AND EUROPEAN ECONOMIES — https://doi.org/10.35774/jee2025.04.553</w:t>
      </w:r>
    </w:p>
    <w:p>
      <w:r>
        <w:t>Shared claim-specific concepts: world, economy, trade; EU scope visible. This is a provisional connection, not an outcome finding.</w:t>
      </w:r>
    </w:p>
    <w:p>
      <w:r>
        <w:t>Available abstract (not full text): This study models the response of the global and European economies to short-term external shocks, including changes in trade and import tariffs, as well as geo-economic and geopolitical factors. The analysis examines the stochastic relationship between external events and variations in key macroeconomic indicators, including global and European GDP, global and European trade volumes, and the Composite Purchasing Managers’ Index (PMI) across major sectors of the world economy. A regression framework incorporating a formalized binary variable is employed to capture the effects of changes in tariff and sanctions policies on economic performance. The empirical results indicate statistically significant effects of external shocks on individual macroeconomic indicators of the global and European economies, as well as on an aggregated index constructed from these indicators. The findings reveal differences in the responses of the examined economies to external shocks, enabling a comparative assessment of their stability and resilience. The results suggest that the European economy demonstrates a higher degree of resistance to external shocks compared to the global economy as a whole and to the Chinese economy.</w:t>
      </w:r>
    </w:p>
    <w:p>
      <w:r>
        <w:t>POSSIBLE 2023: Rebuilding the fortress? Europe in a changing world economy — https://doi.org/10.1080/09692290.2023.2211281</w:t>
      </w:r>
    </w:p>
    <w:p>
      <w:r>
        <w:t>Shared claim-specific concepts: world, economy, international, trade; EU scope visible. This is a provisional connection, not an outcome finding.</w:t>
      </w:r>
    </w:p>
    <w:p>
      <w:r>
        <w:t>Available abstract (not full text): Two rival visions of Europe's place in the world economy competed for primacy throughout the post-war era.The idea of an 'Atlantic Europe' promoted close economic ties to the United States and integration into the liberal international order.An alternative 'Fortress Europe' vision aimed to carve out a sphere of relative European autonomy backed by trade barriers and industrial protectionism.While many argued that the 'Fortress Europe' vision was defeated during the globalization of the 1990s and 2000s, concepts such as economic sovereignty, industrial strategy and 'strategic autonomy' have returned to EU circles.Is a rebuilding of 'Fortress Europe' taking place in this context?This paper argues that the old tension between 'Atlantic' and 'Fortress' Europe is re-emerging but in a new form and under a new set of international conditions.A 'selective fortification' of European industrial strategy and trade policy is taking shape, as EU policymakers develop targeted instruments and institutional capacities that aim to insulate European firms from new patterns of international competition.The selective refortification of European capitalism has implications for debates within international political economy (IPE) on the future of liberal international order, new patterns of competitive regionalization, and the restructuring of the relation between the state and global capitalism.</w:t>
      </w:r>
    </w:p>
    <w:p>
      <w:r>
        <w:t>POSSIBLE 2023: The Contested World Economy — https://doi.org/10.1017/9781009337489</w:t>
      </w:r>
    </w:p>
    <w:p>
      <w:r>
        <w:t>Shared claim-specific concepts: world, economy, international; EU scope visible. This is a provisional connection, not an outcome finding.</w:t>
      </w:r>
    </w:p>
    <w:p>
      <w:r>
        <w:t>Available abstract (not full text): The rapid growth of the field of international political economy since the 1970s has revived an older tradition of thought from the pre-1945 era. The Contested World Economy provides the first book-length analysis of these deep intellectual roots of the field, revealing how earlier debates about the world economy were more global and wide-ranging than usually recognized. Helleiner shows how pre-1945 pioneers of international political economy included thinkers from all parts of the world rather than just those from Europe and the United States featured in most textbooks. Their discussions also went beyond the much-studied debate between economic liberals, neomercantilists, and Marxists, and addressed wider topics, including many with contemporary relevance, such as environmental degradation, gender inequality, racial discrimination, religious worldviews, civilizational values, national self-sufficiency, and varieties of economic regionalism. This fascinating history of ideas sheds new light on current debates and the need for a global understanding of their antecedents.</w:t>
      </w:r>
    </w:p>
    <w:p>
      <w:r>
        <w:t>POSSIBLE 2021: Sustainable entrepreneurship education for circular economy: emerging perspectives in Europe — https://doi.org/10.1108/ijebr-03-2021-0210</w:t>
      </w:r>
    </w:p>
    <w:p>
      <w:r>
        <w:t>Shared claim-specific concepts: four, world, economy, aims, analyse, main; EU scope visible. This is a provisional connection, not an outcome finding.</w:t>
      </w:r>
    </w:p>
    <w:p>
      <w:r>
        <w:t>Available abstract (not full text): Purpose The paper aims to contribute to the Circular Economy debate from the Entrepreneurship Education perspective. Despite scholars' growing interest in both these research streams, scarce consideration is given to the comprehension of their mutual implications and meaning. Design/methodology/approach The paper is based on a cross-case analysis. It compares 16 higher education programmes launched by Universities in Europe aimed to create competences and skills for Circular Economy in students with different profiles. The analysis provides a critical view of the emerging trends for the entrepreneurship education skills and competencies needed for the emerging circular entrepreneurship paradigm. Findings The paper discusses the main trends of Entrepreneurship Education focused on Circular Economy debate at the European level: rationale and learning objectives (why); contents (what), target students and stakeholders (who) and the learning processes (how). Four thematic areas are identified as common patterns: circular economy business model, green supply chain management, technology entrepreneurship and innovation and public policies and institutional frameworks. Research limitations/implications The paper sheds new light on a still under-researched area, suggesting several implications and avenues for future research in Circular Economy and Entrepreneurship Education. Limitatio</w:t>
      </w:r>
    </w:p>
    <w:p>
      <w:r>
        <w:t>POSSIBLE 2020: The European Union in the World Economy: Competitiveness Issues — https://doi.org/10.20542/978-5-9535-0587-1</w:t>
      </w:r>
    </w:p>
    <w:p>
      <w:r>
        <w:t>Shared claim-specific concepts: world, economy, international, challenges, issues; EU scope visible. This is a provisional connection, not an outcome finding.</w:t>
      </w:r>
    </w:p>
    <w:p>
      <w:r>
        <w:t>Available abstract (not full text): This study is prepared by the Center for European Studies of Primakov National Research Institute of World Economy and International Relations. It observes the problems of competitiveness and the challenges faced by European countries and the European Union as a whole in contemporary global economy. The first part of the book presents the general position of the EU in the world economy, examines industrial competitiveness and describes the role of State in its ensuring. The second part is dedicated to national competitiveness of European countries in the European Single Market. The publication is intended for Agencies developing Russia's economic policy, as well as for researchers, higher education professors, postgraduates, students, and anyone interested in the current trends in the world economy and international relations.</w:t>
      </w:r>
    </w:p>
    <w:p>
      <w:r>
        <w:t>POSSIBLE 2019: The Soviet Union and the World Economy in the 1980S: A Review of the Alternatives — https://doi.org/10.4324/9780429311130-3</w:t>
      </w:r>
    </w:p>
    <w:p>
      <w:r>
        <w:t>Shared claim-specific concepts: four, world, economy, presented, aims, trade; EU scope visible. This is a provisional connection, not an outcome finding.</w:t>
      </w:r>
    </w:p>
    <w:p>
      <w:r>
        <w:t>Available abstract (not full text): This chapter aims to sketch the likely development of Soviet economic relations with the World Economy over the decade 1976–1985, the period of the Tenth and Eleventh Five-Year plans. Trade between the Soviet Union and Eastern Europe has been disaggregated into four commodity groups: machinery, raw materials, food, other consumer goods. In the past, Soviet exports of fuel and materials to the Council of Mutual Economic Assistance (CMEA) were a function of net material product in Eastern Europe and also determined a smaller flow of material imports from the CMEA. During the construction of the Soviet Econometric Model a new methodology was developed for evaluating the quantitative impact of imported machinery on Soviet industrial production; to a certain extent, this technique provides a measure of the gains from technology transfer. The projections presented were computed using a 1977 version of SOVMOD III, the third generation SRI-WEFA Soviet Econometric Model.</w:t>
      </w:r>
    </w:p>
    <w:p>
      <w:r>
        <w:t>POSSIBLE 2017: The Global MRIO Lab – charting the world economy — https://doi.org/10.1080/09535314.2017.1301887</w:t>
      </w:r>
    </w:p>
    <w:p>
      <w:r>
        <w:t>Shared claim-specific concepts: world, economy, main, trade; EU scope not established. This is a provisional connection, not an outcome finding.</w:t>
      </w:r>
    </w:p>
    <w:p>
      <w:r>
        <w:t>Available abstract (not full text): We describe the creation of the Global Multi-Region Input–Output (MRIO) Lab, which is a cloud-computing platform offering a collaborative research environment through which participants can use each other’s resources to assemble their own individual MRIO versions. The Global MRIO Lab’s main purpose is to harness and focus previously disparate resources aimed at compiling large-scale MRIO databases that provide comprehensive representations of interregional trade, economic structure, industrial interdependence, as well as environmental and social impact. Based on the operational Australian Industrial Ecology Lab, a particularly important feature of this cloud environment is a highly detailed regional and sectoral taxonomy called the ‘root classification’. The purpose of this root is to serve as a feedstock from which researchers can choose any combination of regions and economic sectors to form a model of the economy that is suitable to address their particular research questions. Thus, the Global MRIO Lab concept enables enhanced flexibility in MRIO database construction whilst at the same time saving resources and avoiding duplication, by sharing time- and labour-intensive tasks amongst multiple research teams. We explain the concept, architecture, development and preliminary results of the Global MRIO Lab, and discuss its ability to continuously deliver some of the most promi</w:t>
      </w:r>
    </w:p>
    <w:p>
      <w:r>
        <w:t>POSSIBLE 2016: The Finance Curse: Britain and the World Economy — https://doi.org/10.1177/1369148115612793</w:t>
      </w:r>
    </w:p>
    <w:p>
      <w:r>
        <w:t>Shared claim-specific concepts: world, economy, analyse; EU scope not established. This is a provisional connection, not an outcome finding.</w:t>
      </w:r>
    </w:p>
    <w:p>
      <w:r>
        <w:t>Available abstract (not full text): Outlines harms caused to countries hosting an oversized financial sector Argues Britain is subject to a Finance Curse, which carries many similarities with the Resource Curse, afflicting mineral-exporting countries Provides a narrative and framework to analyse the political economy of finance and financialisation The Global Financial Crisis placed the utility of financial services in question. The crash, great recession, wealth transfers from public to private, austerity and growing inequality cast doubt on the idea that finance is a boon to the host economy. This article systematizes these doubts to highlight the perils of an oversized financial sector. States failing to harness natural resources for development led to the concept of the Resource Curse. In many countries, resource dependence generated slower growth, crowding out, reduced economic diversity, lost entrepreneurialism, unemployment, economic instability, inequality, conflict, rent-seeking and corruption. The Finance Curse produces similar effects, often for similar reasons. Beyond a point, a growing financial sector can do more harm than good. Unlike the Resource Curse, these harms transcend borders. The concept of a Finance Curse starkly illuminates the condition of Britain’s political economy and the character of its relations with the rest of the world.</w:t>
      </w:r>
    </w:p>
    <w:p>
      <w:pPr>
        <w:pStyle w:val="Heading2"/>
      </w:pPr>
      <w:r>
        <w:t>The future of trade unions in Croatia – various stakeholders’ perspectives</w:t>
      </w:r>
    </w:p>
    <w:p>
      <w:r>
        <w:t>Original source (2014): https://doi.org/10.1177/1024258914546277</w:t>
      </w:r>
    </w:p>
    <w:p>
      <w:r>
        <w:t>Original wording (abstract; indexed_source_text_not_full_document_verified): This article explores different stakeholders’ perceptions of the future of trade unions in Croatia. Findings reveal that respondents (managers, HR experts, trade union officials, government representatives and employees) are not optimistic about the future of trade unions in Croatia, agreeing that they will face many obstacles in the near future, such as a lack of consensus between the five trade union federations, a lack of agreement among the unions within a federation, and further union disintegration.</w:t>
      </w:r>
    </w:p>
    <w:p>
      <w:r>
        <w:t>POSSIBLE 2023: Exploring the effects of protected area networks on the European land system — https://doi.org/10.1016/j.jenvman.2023.117741</w:t>
      </w:r>
    </w:p>
    <w:p>
      <w:r>
        <w:t>Shared claim-specific concepts: different, findings, union; EU scope visible. This is a provisional connection, not an outcome finding.</w:t>
      </w:r>
    </w:p>
    <w:p>
      <w:r>
        <w:t>Available abstract (not full text): The European Union's Biodiversity Strategy for 2030 seeks to protect 30% of land, with 10% under strict protection, while building a transnational nature network. We explore the effects of the Biodiversity Strategy targets for land use and ecosystem services across the European land system. To do so, we propose a novel approach, combining a methodological framework for improving green network connectivity with an EU-wide land system model. We identify an improved network of EU protected areas consistent with the 2030 targets, and explore its effects under different levels of protection and in a range of paired climatic and socio-economic scenarios. The existing network of protected areas is highly fragmented, with more than one third of its nodes being isolated. We find that prioritizing connectivity when implementing new protected areas could achieve the strategy's targets without compromising the future provision of ecosystem services, including food production, in Europe. However, we also find that EU-wide distributions of land uses and ecosystem services are influenced by the protected area network, and that this influence manifests differently in different climatic and socio-economic scenarios. Varying the strength of protection of the network had limited effects. Extractive services (food and timber production) decreased in protected areas, but non-extractive services inc</w:t>
      </w:r>
    </w:p>
    <w:p>
      <w:r>
        <w:t>POSSIBLE 2022: European Green Deal necropolitics: Exploring ‘green’ energy transition, degrowth &amp; infrastructural colonization — https://doi.org/10.1016/j.polgeo.2022.102640</w:t>
      </w:r>
    </w:p>
    <w:p>
      <w:r>
        <w:t>Shared claim-specific concepts: article, different, reveal; EU scope visible. This is a provisional connection, not an outcome finding.</w:t>
      </w:r>
    </w:p>
    <w:p>
      <w:r>
        <w:t>Available abstract (not full text): This article critically examines the GND (Green New Deal) platform by exploring the reality of energy development under the European Green Deal (EGD). Taking a special interest in degrowth positions on energy development, the article argues that the European Green Deal is an exercise in necropolitics; intensifying market relationships, extraction, and infrastructural colonization. The article proceeds by reviewing and discussing recent environmental justice and degrowth positions on energy infrastructural development. The methodology outlines desk-based research on resource extraction as well as on the European energy markets. This accompanies multi-sited ethnographic fieldwork, charting environmental conflicts along a 400kv high-tension power line. This line goes across France, Catalonia and Southern Spain, stretching into Morocco and occupied Western Sahara. Unconventional research techniques, such as hitchhiking, enabled mobility and expanding the informal interview pool. Outlining the objectives of the EGD, the next section examines three aspects of its necropolitics. First, necropolitical economy reveals the reality of energy market liberalization under the EGD. Second, necropolitical extraction examines the expansion of mining and mineral processing, which are necessary for the EGD and ‘mainstream’ GNDs. Third, necropolitical operation reveal the reality of ‘a rapid rollo</w:t>
      </w:r>
    </w:p>
    <w:p>
      <w:r>
        <w:t>POSSIBLE 2021: Governing displaced migration in Europe: housing and the role of the “local” — https://doi.org/10.1186/s40878-020-00209-x</w:t>
      </w:r>
    </w:p>
    <w:p>
      <w:r>
        <w:t>Shared claim-specific concepts: article, different, about, they; EU scope visible. This is a provisional connection, not an outcome finding.</w:t>
      </w:r>
    </w:p>
    <w:p>
      <w:r>
        <w:t>Available abstract (not full text): This article will explore the extent to which a focus on the 'local' can tell us something meaningful about recent developments in the governance of displaced migrants and refugees. Taking a multi-sited approach spanning cases in the south and north of Europe, we consider how the challenge of housing and accommodation in particular, a core sector of migrant reception and integration, can shed light on the ways local and city level approaches may negotiate, and sometimes diverge from, national level policy and rhetoric. While it can be said that despite variation, local authorities are by definition ultimately 'always subordinate' (Emilsson, Comparative Migration Studies, 3: 1-17, 2015: 4), they can also show evidence of 'decoupling' across geographies of policy delivery (Pope and Meyer, European Journal of Cultural and Political Sociology, 3: 280-305, 2016: 290). This article traces how possible local variations in different European cases are patterned by ground-level politics, local strategic networks, and pre-existing economic resources in a manner that is empirically detailed through the study of housing.</w:t>
      </w:r>
    </w:p>
    <w:p>
      <w:r>
        <w:t>POSSIBLE 2021: What is Europe? The Meaning of Europe in Different Social Contexts in Switzerland* — https://doi.org/10.1111/spsr.12460</w:t>
      </w:r>
    </w:p>
    <w:p>
      <w:r>
        <w:t>Shared claim-specific concepts: article, explores, different, respondents, they; EU scope visible. This is a provisional connection, not an outcome finding.</w:t>
      </w:r>
    </w:p>
    <w:p>
      <w:r>
        <w:t>Available abstract (not full text): Abstract Previous literature on European identification has often taken for granted what respondents understand by this term. The present article addresses this issue, and on the basis of a recent study in Switzerland seeks to identify the meanings that individuals associate with the concept of Europe. Furthermore, it examines how these meanings relate to their identification with Europe. It also explores the potential covariates of these various conceptions of Europe – particularly transnational experiences and networks. Our analyses identify six dimensions of the meaning of Europe, each of which is differently related to identification with Europe. Although EU citizens and non‐EU citizens in different types of (bi‐national) relationships assigned similar meanings to Europe overall, they differed with respect to the importance they accorded each of these meanings. Individuals who tend to benefit from the EU, i.e. EU citizens and persons with a higher level of education, attribute more positive meanings to Europe.</w:t>
      </w:r>
    </w:p>
    <w:p>
      <w:r>
        <w:t>POSSIBLE 2021: The Dissemination of European Popular Print: Exploring Comparative Approaches — https://doi.org/10.1163/15700690-12341482</w:t>
      </w:r>
    </w:p>
    <w:p>
      <w:r>
        <w:t>Shared claim-specific concepts: article, trade, not, about; EU scope visible. This is a provisional connection, not an outcome finding.</w:t>
      </w:r>
    </w:p>
    <w:p>
      <w:r>
        <w:t>Available abstract (not full text): Abstract This article discusses the prospects of a comparative approach within the field of the dissemination of European popular print. Currently, it is still hard to find studies that address distribution of popular print with a Europe-wide scope. After an introduction about the main concepts, models and approaches, the article discusses some topic related issues, questions, approaches and sources. Social and professional categorisations are explored, as well as the differences between urban and rural distribution, the impact of regional and international networks, the effects of trade regulations and the collaborative features of distribution practices. What became clear is that a wide-ranging study that includes all European countries is urgently needed but not within reach soon, due to a lack of fundamental research and assessible sources. We should therefore first start to collect data systematically and conduct a series of comparative case studies in which we explore important questions and approaches.</w:t>
      </w:r>
    </w:p>
    <w:p>
      <w:r>
        <w:t>POSSIBLE 2018: Evidence of different models of socially responsible HRM in Europe — https://doi.org/10.1111/beer.12203</w:t>
      </w:r>
    </w:p>
    <w:p>
      <w:r>
        <w:t>Shared claim-specific concepts: article, explores, different, findings, managers, not; EU scope visible. This is a provisional connection, not an outcome finding.</w:t>
      </w:r>
    </w:p>
    <w:p>
      <w:r>
        <w:t>Available abstract (not full text): Socially responsible human resource management (SR‐HRM) is becoming increasingly important for academics and managers. The interface between HRM and corporate social responsibility (CSR) is the subject of analysis in this article. It adopts a contextual perspective to analyze whether the institutional context influences the implementation of socially responsible HRM (SR‐HRM). Considering the differences in the national institutional contexts across Europe, this study explores the different models of SR‐HRM in that region. The research is focused on a sample of 153 companies headquartered in Germany, Spain, Sweden, and the United Kingdom. The findings evidence the influence exerted by the national institutional context on the implementation of SR‐HRM. Differences among country clusters suggest the existence of different models of SR‐HRM in Europe. However, these models do not correspond to the blocks on HRM or on CSR identified by the literature but instead provide a novel categorization.</w:t>
      </w:r>
    </w:p>
    <w:p>
      <w:r>
        <w:t>POSSIBLE 2018: Geographies of e-Government in Europe — https://doi.org/10.4018/ijepr.2018100104</w:t>
      </w:r>
    </w:p>
    <w:p>
      <w:r>
        <w:t>Shared claim-specific concepts: article, explores, different, government; EU scope visible. This is a provisional connection, not an outcome finding.</w:t>
      </w:r>
    </w:p>
    <w:p>
      <w:r>
        <w:t>Available abstract (not full text): Government use of the internet – e-government – varies considerably in its degrees of sophistication. This article explores the spatiality of e-government in Europe. It first situates the topic within wider theorizations of geographies of cyberspace. Second, it reviews e-government and its implications. Third, it turns to the digital divide in Europe. Fourth, it maps national e-government readiness and e-participation scores and correlates them with socio-economic measures. Fifth, it provides several overviews of successful West European e-government programs. It concludes by emphasizing that e-government must be approached geographically in a manner tailored to different national contexts.</w:t>
      </w:r>
    </w:p>
    <w:p>
      <w:r>
        <w:t>POSSIBLE 2017: Plurilingualism in Europe: Exploring Attitudes Toward English and Other European Languages Among Adolescents in Bulgaria, Germany, the Netherlands, and Spain — https://doi.org/10.1111/modl.12415</w:t>
      </w:r>
    </w:p>
    <w:p>
      <w:r>
        <w:t>Shared claim-specific concepts: article, explores, different, reveal, they; EU scope visible. This is a provisional connection, not an outcome finding.</w:t>
      </w:r>
    </w:p>
    <w:p>
      <w:r>
        <w:t>Available abstract (not full text): This article explores adolescent students’ attitudes toward learning English and other European languages studied at secondary school. The study is based on 2255 qualitative responses to a survey conducted in Bulgaria, Germany, the Netherlands, and Spain. The data reveal that, although differences between countries shape the experience of foreign language learning in different ways, students in all four countries are highly aware of the global status of English. This can be a positive stimulus for students’ attitudes toward English but it can also negatively affect their attitudes toward learning other languages, as these can be perceived as less valuable. While perceived societal importance can differ from personal relevance and while identity issues, ability beliefs, contextual factors on the school and classroom level, as well as social‐relational contexts (especially the relationship to the teacher) also play a role in shaping students’ attitudes, the data demonstrate that macro‐contextual factors exert considerable influence. They also suggest that more attention must be paid to stimulating positive attitudes toward language diversity and to fostering plurilingual aspirations in young Europeans.</w:t>
      </w:r>
    </w:p>
    <w:p>
      <w:r>
        <w:t>POSSIBLE 2017: Leading sustainable neighbourhoods in Europe: Exploring the key principles and processes — https://doi.org/10.5379/urbani-izziv-en-2017-28-01-003</w:t>
      </w:r>
    </w:p>
    <w:p>
      <w:r>
        <w:t>Shared claim-specific concepts: article, different, many; EU scope visible. This is a provisional connection, not an outcome finding.</w:t>
      </w:r>
    </w:p>
    <w:p>
      <w:r>
        <w:t>Available abstract (not full text): Leading sustainable neighbourhoods in Europe: Exploring the key principles and processesLocal projects involving sustainable urban transformation are increasingly prominent in cities and towns, and are often referred to as sustainable neighbourhoods.These initiatives have been described as experiments in urban sustainability and could provide concrete answers to many challenges facing cities and society.This article investigates the design and development of two leading examples of sustainable neighbourhoods that used different implementation strategies: a top-down development in Western Harbour (Swed.Västra Hamnen, Malmö) and a bottom-up (participatory) approach in Vauban (Frei-burg).The article investigates how the initial implementation approach in sustainable urban redevelopment influenced and conditioned the urban design, social sustainability and local governance of the neighbourhoods.The research also focuses on how Vauban and Western Harbour have influenced and disseminated sustainable urban solutions to other urban contexts.</w:t>
      </w:r>
    </w:p>
    <w:p>
      <w:r>
        <w:t>POSSIBLE 2016: Research ethics in practice: lessons from studies exploring interpersonal violence in different contexts — https://doi.org/10.1332/204674316x14673790283737</w:t>
      </w:r>
    </w:p>
    <w:p>
      <w:r>
        <w:t>Shared claim-specific concepts: article, different, they; EU scope visible. This is a provisional connection, not an outcome finding.</w:t>
      </w:r>
    </w:p>
    <w:p>
      <w:r>
        <w:t>Available abstract (not full text): Studies researching interpersonal violence (IPV) are associated with a range of ethical challenges. In this article, lessons are drawn from three case studies exploring the experiences of different groups of survivors and perpetrators of IPV in diverse contexts: refugees in the Thailand-Burma border area; partner-violent adult men and female survivors in Ireland; and school children in five European countries. The ethical – and associated methodological – challenges faced, and the ways in which they were overcome, are presented. Drawing on the case studies presented, the article concludes that three key areas require special attention when conducting research in this field: accessing and recruiting participants, researcher skills and experience, and appropriate use of data.</w:t>
      </w:r>
    </w:p>
    <w:p>
      <w:pPr>
        <w:pStyle w:val="Heading2"/>
      </w:pPr>
      <w:r>
        <w:t>The implications of regional and national demographic projections for future GMS costs in Ireland through to 2026</w:t>
      </w:r>
    </w:p>
    <w:p>
      <w:r>
        <w:t>Original source (2014): https://doi.org/10.1186/1472-6963-14-477</w:t>
      </w:r>
    </w:p>
    <w:p>
      <w:r>
        <w:t>Original wording (abstract; indexed_source_text_not_full_document_verified): A Monte Carlo Model is used to simulate the effects of demographic change (by region, age, gender, coverage, claims rates and average claims cost) will have on GMS prescribing costs in 2016, 2021 and 2026 under different scenarios. RESULTS: The Population of Ireland is projected to grow by 32% between 2007 and 2026 and by 96% for the over 70s.</w:t>
      </w:r>
    </w:p>
    <w:p>
      <w:r>
        <w:t>POSSIBLE 2026: Monte Carlo Greeks for European Pandemic Options under Stochastic SIS Model — https://openalex.org/W7167764542</w:t>
      </w:r>
    </w:p>
    <w:p>
      <w:r>
        <w:t>Shared claim-specific concepts: monte, carlo, over; EU scope visible. This is a provisional connection, not an outcome finding.</w:t>
      </w:r>
    </w:p>
    <w:p>
      <w:r>
        <w:t>Available abstract (not full text): This thesis investigates the numerical valuation of European pandemic options in a stochastic SIS model. The study focuses on whether non-standard features previously found in PDE-based analyses, including call price concavity and negative sensitivity to volatility, also arise in a Monte Carlo setting. The SIS process is discretised using the Euler--Maruyama method. This allows us to obtain explicit Monte Carlo pathwise sensitivity representations for the first two option sensitivities, Delta and Vega, which do not appear to be explicitly derived elsewhere in the literature. In contrast, the explicit pathwise sensitivity representation for the Gamma was unavailable since the payoff function at the strike has discontinuous second derivative. Therefore, it was approximated by the central finite--difference scheme. We conduct further numerical experimental study. The numerical results reproduce the main qualitative behaviour found in the literature. The call price is increasing but concave in the initial infection level, and the call Vega remains negative over the volatility grid considered. For the put option, the value decreases with the initial infection level and Vega is positive. Overall, the results indicate that these non-standard features arise naturally from the structure of the stochastic SIS model.</w:t>
      </w:r>
    </w:p>
    <w:p>
      <w:r>
        <w:t>POSSIBLE 2026: Monte Carlo Simulation of European Option Prices under the Heston Stochastic-Volatility Model — https://doi.org/10.54254/2754-1169/2026.ld37980</w:t>
      </w:r>
    </w:p>
    <w:p>
      <w:r>
        <w:t>Shared claim-specific concepts: monte, carlo, used; EU scope visible. This is a provisional connection, not an outcome finding.</w:t>
      </w:r>
    </w:p>
    <w:p>
      <w:r>
        <w:t>Available abstract (not full text): When volatility is not assumed to be constant, there are no closed-form solutions for the prices of European options; hence, numerical estimation is needed. In this paper, the accuracy and convergence of Monte Carlo simulation for pricing European call options under the Heston model is investigated. The empirical volatility process was characterised on the basis of the daily closing prices of the SPDR S&amp;P 500 ETF Trust for the period January 2024 to December 2025 (502 trading days), and a standard literature parameter setting is used for the full market calibration. The paths of stock prices and variances were simulated using the Full Truncation Euler scheme with 252 time steps, while the terminal payoffs were discounted and averaged under the risk-neutral measure. These simulations were performed 20 times for 1,000, 10,000 and 100,000 paths and compared to the semi-analytical Heston price of 9.2425. As the number of paths increased, the mean standard error and the root mean square error decreased in the manner of 1/sqrt(N) rate of contraction with the relative bias being &lt; 0.25 % throughout. The Black–Scholes special-case test was used to correctly replicate the closed-form price to within 0.073%. The estimator is thus correct at this scale but an additional discretisation error remains which cannot be eliminated by any number of additional paths.</w:t>
      </w:r>
    </w:p>
    <w:p>
      <w:r>
        <w:t>POSSIBLE 2026: Lévy Stochastic Models, GARCH-Type Volatility, and Heavy-Tailed Innovations: Pricing European Options under Randomized Quasi-Monte Carlo Methods — https://doi.org/10.24818/18423264/60.2.26.01</w:t>
      </w:r>
    </w:p>
    <w:p>
      <w:r>
        <w:t>Shared claim-specific concepts: monte, carlo; EU scope visible. This is a provisional connection, not an outcome finding.</w:t>
      </w:r>
    </w:p>
    <w:p>
      <w:r>
        <w:t>Available abstract (not full text): In this paper, we propose a new hybrid framework to evaluate European call option pricing using Monte Carlo (MC) and Randomized Quasi-Monte Carlo (RQMC) simulation methods, incorporating Halton and Sobol sequences to improve convergence and accuracy in Black-Scholes-type option-pricing models across expiry and moneyness levels, with variance-reduction techniques to minimise standard errors. The standard Black-Scholes (BS) model is modified by replacing constant volatility with GARCH (1,1). To determine whether improvement lies in volatility dynamics or innovation density, we consider four cases: (i) a baseline GARCH-BS model under Gaussian density, (ii) the same GARCH-BS model with a heavy-tailed density, (iii)Gaussian density with a best-fitted GARCH(1,1) dynamic replacing the standard GARCH(1,1), and (iv) a combination of the heavy-tailed density and best-fitted GARCH(1,1).Our proposed RQMC framework improves pricing accuracy and reduces errors compared to standard MC across all models; the GARCH (1,1)-NIG framework outperforms the BS model in accuracy and convergence, and standard errors decrease with more simulations, confirming robustness across scenarios.</w:t>
      </w:r>
    </w:p>
    <w:p>
      <w:r>
        <w:t>POSSIBLE 2026: A scalable probabilistic meta-model framework for accelerating Monte Carlo-based thermal performance analysis of small-to-medium-sized commercial buildings in six European regions under climate uncertainty — https://doi.org/10.1016/j.jobe.2026.115881</w:t>
      </w:r>
    </w:p>
    <w:p>
      <w:r>
        <w:t>Shared claim-specific concepts: monte, carlo, average; EU scope visible. This is a provisional connection, not an outcome finding.</w:t>
      </w:r>
    </w:p>
    <w:p>
      <w:r>
        <w:t>Available abstract (not full text): Quantifying building thermal performance under uncertainty remains a major computational challenge, particularly when traditional Monte Carlo (MC) simulations are applied to large-scale probabilistic analyses. To address this limitation, this study develops a scalable and generalizable data-driven stochastic framework that accelerates MC-based convergence analysis for building energy modeling with a focus on low-to-medium-sized commercial buildings in six cities across Europe to test the method. The proposed approach combines Latin Hypercube Sampling with an optimized tree-based meta-model ensemble tuned via Bayesian Optimization, replicating MC convergence behavior with up to 95–99% reduction in computation time while maintaining high accuracy (average R 2 &gt; 0.90). By using 700 MC baseline samples, more than 600,000 stochastic samples are generated to demonstrate the framework’s ability to support high-resolution uncertainty and sensitivity analyses at scales impractical for direct MC simulations. Using a 0.1% Coefficient of Variation threshold, the study reveals that convergence characteristics of key output percentiles (5 th , 50 th , and 95 th ) vary systematically with building typology, climate, and scenario. Sensitivity analysis identifies the solar heat-gain coefficient of south-facing glazing as the dominant factor influencing future cooling demand, while persistent he</w:t>
      </w:r>
    </w:p>
    <w:p>
      <w:r>
        <w:t>POSSIBLE 2024: EUROPEAN OPTION PRICING BY MONTE CARLO USING THE HESTON MODEL — https://doi.org/10.13140/rg.2.2.25518.57922</w:t>
      </w:r>
    </w:p>
    <w:p>
      <w:r>
        <w:t>Shared claim-specific concepts: monte, carlo; EU scope visible. This is a provisional connection, not an outcome finding.</w:t>
      </w:r>
    </w:p>
    <w:p>
      <w:r>
        <w:t>Available abstract (not full text): Unavailable</w:t>
      </w:r>
    </w:p>
    <w:p>
      <w:r>
        <w:t>POSSIBLE 2024: Compare the Black-Scholes Model, Monte Carlo Model, One Step Binomial Tree Model through the European options of Apple. — https://doi.org/10.61173/f7heqb60</w:t>
      </w:r>
    </w:p>
    <w:p>
      <w:r>
        <w:t>Shared claim-specific concepts: monte, carlo, used; EU scope visible. This is a provisional connection, not an outcome finding.</w:t>
      </w:r>
    </w:p>
    <w:p>
      <w:r>
        <w:t>Available abstract (not full text):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r>
        <w:t>POSSIBLE 2024: Compare the Black-Scholes Model, Monte Carlo Model, One Step Binomial Tree Model through the European options of Apple — https://doi.org/10.61173/2xbr7x94</w:t>
      </w:r>
    </w:p>
    <w:p>
      <w:r>
        <w:t>Shared claim-specific concepts: monte, carlo, used; EU scope visible. This is a provisional connection, not an outcome finding.</w:t>
      </w:r>
    </w:p>
    <w:p>
      <w:r>
        <w:t>Available abstract (not full text): In this article, there are three Models, including Black-Scholes Model, Monte Carlo Model and the One-Step Model for Binomial Tree used to estimate the option premium of Apple, finding the most fitted model for estimating the European call and put options. Using the historical data of Apple in the recent year, the data of three models are found in Yahoo Finance. Simulating the possible outcomes in the future for 1000 steps and calculating the integral for the partial differential equation, spreadsheet is used for calculating the European call and put option premium by using the three models. Comparing the outcomes of three models, Black-Scholes Model provide a more accurate estimations on the European Options compared with the other two. The result indicates the pros and cons of three models, explaining specifically for the Monte Carlo Model, Black-Scholes Model, and One Step Binomial Model in both perspective of finance and mathematics.</w:t>
      </w:r>
    </w:p>
    <w:p>
      <w:r>
        <w:t>POSSIBLE 2023: A Model-Based Parameter Space in Monte Carlo Simulations for European Short-Term Adequacy Assessments — https://doi.org/10.1109/ei259745.2023.10513254</w:t>
      </w:r>
    </w:p>
    <w:p>
      <w:r>
        <w:t>Shared claim-specific concepts: monte, carlo, used; EU scope visible. This is a provisional connection, not an outcome finding.</w:t>
      </w:r>
    </w:p>
    <w:p>
      <w:r>
        <w:t>Available abstract (not full text): The Short-Term Adequacy (STA) assessment is crucial for raising risk awareness among stakeholders and aiding European system operations in quickly identifying potential risks. To calculate cross-border exchange capacities in European STA assessments, the flow-based (FB) approach is used to define the parameter space in Monte Carlo simulations. However, Transmission System Operators (TSOs) currently rely on data-driven methods to define the FB domain. These methods necessitate extensive historical data on import-export capacities, which may not always align with Monte Carlo samples. Issues related to Energy Not Served (ENS) can arise even when Monte Carlo samples are aligned with the FB domain. To address these challenges, this paper introduces an analytical model based on parametric programming. This model maps the decision variables to zonal total loads, ensuring a more accurate parameter space in Monte Carlo simulations, and is free from ENS issues. Additionally, the model proactively adjusts the ENS index to reflect the parameter space under specific ENS conditions, thereby enhancing the generation of accurate Monte Carlo scenarios for subsequent STA assessments.</w:t>
      </w:r>
    </w:p>
    <w:p>
      <w:r>
        <w:t>POSSIBLE 2023: A Multi-Level Monte Carlo Lagrange-Galerkin Method for Solving a XVA Hybrid Model in European Options — https://doi.org/10.2139/ssrn.4353116</w:t>
      </w:r>
    </w:p>
    <w:p>
      <w:r>
        <w:t>Shared claim-specific concepts: monte, carlo; EU scope visible. This is a provisional connection, not an outcome finding.</w:t>
      </w:r>
    </w:p>
    <w:p>
      <w:r>
        <w:t>Available abstract (not full text): Unavailable</w:t>
      </w:r>
    </w:p>
    <w:p>
      <w:r>
        <w:t>POSSIBLE 2022: Comparative Analysis of the Application of Monte Carlo Model and BSM Model in European Option Pricing — https://doi.org/10.54691/bcpbm.v32i.2856</w:t>
      </w:r>
    </w:p>
    <w:p>
      <w:r>
        <w:t>Shared claim-specific concepts: monte, carlo, between; EU scope visible. This is a provisional connection, not an outcome finding.</w:t>
      </w:r>
    </w:p>
    <w:p>
      <w:r>
        <w:t>Available abstract (not full text): At present, the expansion of China's domestic options market brings positive factors and risks, and in order to avoid risks, it is crucial to choose a suitable model for option pricing. This article provides an example of an option for the underlying asset of the SSE 50 ETF. Using the BSM model and the Monte Carlo model for the selected option pricing, and comparing the actual option price. It is found that the pricing efficiency of the Monte Carlo model is higher than that of the BSM model when the number of simulations reaches 30,000 times in the call option, and there is little difference between the two in the put option pricing. It is recommended to prefer the Monte Carlo model when pricing call options and the more convenient BSM model when pricing put options.</w:t>
      </w:r>
    </w:p>
    <w:p>
      <w:r>
        <w:t>POSSIBLE 2020: Monte Carlo methods and market models for European swaptions pricing — https://openalex.org/W3204112699</w:t>
      </w:r>
    </w:p>
    <w:p>
      <w:r>
        <w:t>Shared claim-specific concepts: monte, carlo, used; EU scope visible. This is a provisional connection, not an outcome finding.</w:t>
      </w:r>
    </w:p>
    <w:p>
      <w:r>
        <w:t>Available abstract (not full text): Affine models for term structure modelling. Exotic options and European swaptions. Structural affine models. Flat and forward volatilities. Probability measures. Forward neutral models. Volatility structures. Monte Carlo Methods in finance. An introduction to Monte Carlo. Monte Carlo integration. The efficiency of the estimator. Generation of random numbers. Variance reduction techniques. Monte Carlo simulation to price swaptions. Swaptions pricing. European swaptions and their use. The choice of the model. Derivation of the specific stochastic process used in Monte Carlo simulation. Modern pricing techniques in the global markets’ landscape. Suggestions for future researches: bermudian swaptions, Longstaff-Schwartz algorithm and least squares Monte Carlo.</w:t>
      </w:r>
    </w:p>
    <w:p>
      <w:r>
        <w:t>POSSIBLE 2020: Advanced Monte Carlo Pricing of European Options in a Market Model with Two Stochastic Volatilities — https://doi.org/10.1007/978-3-030-41850-2_36</w:t>
      </w:r>
    </w:p>
    <w:p>
      <w:r>
        <w:t>Shared claim-specific concepts: monte, carlo; EU scope visible. This is a provisional connection, not an outcome finding.</w:t>
      </w:r>
    </w:p>
    <w:p>
      <w:r>
        <w:t>Available abstract (not full text): Unavailable</w:t>
      </w:r>
    </w:p>
    <w:p>
      <w:pPr>
        <w:pStyle w:val="Heading2"/>
      </w:pPr>
      <w:r>
        <w:t>Understanding and enhancing future infrastructure resiliency: a socio‐ecological approach</w:t>
      </w:r>
    </w:p>
    <w:p>
      <w:r>
        <w:t>Original source (2014): https://doi.org/10.1111/disa.12114</w:t>
      </w:r>
    </w:p>
    <w:p>
      <w:r>
        <w:t>Original wording (abstract; indexed_source_text_not_full_document_verified): This paper seeks to identify and problematise this perspective, presenting research based on the development of a heuristic 'scenario-episode' tool to address, and challenge, it in the context of United Kingdom infrastructure resilience.</w:t>
      </w:r>
    </w:p>
    <w:p>
      <w:r>
        <w:t>POSSIBLE 2022: Problematising philosophical assumptions in EE's Invisible College — https://doi.org/10.1108/ijebr-07-2021-0553</w:t>
      </w:r>
    </w:p>
    <w:p>
      <w:r>
        <w:t>Shared claim-specific concepts: seeks, perspective, heuristic; EU scope not established. This is a provisional connection, not an outcome finding.</w:t>
      </w:r>
    </w:p>
    <w:p>
      <w:r>
        <w:t>Available abstract (not full text): Purpose This paper seeks to energise discussion around philosophical assumptions in entrepreneurship education (EE). Far from being abstract considerations, this paper underscores that philosophical assumptions – which are embodied in research products and inherited from others – have practical implications. Design/methodology/approach The study’s approach is to purposefully unsettle taken-for-granted assumptions implicit within 44 influential articles which have been said to reveal EE's Invisible College. The authors utilise three heuristic tools offered by problematisation – identifying paradigmatic assumptions, (re)conceptualising subject matter and making a reversal – to explore the implications of the meta-theoretical underpinnings of this body of work. The goal of this paper is not to find a definitive answer to the question “what is EE's underlying philosophy?” but rather ask, “what can we learn about philosophical assumptions by reconsidering this particular set of influential articles at a deep level?” Findings With some notable expectations, EE's Invisible College is a place where ideas about an external social reality accessible to the dispassionate researcher are implicitly accepted, where assumptions about the possibility of objective knowledge and the superiority of scientific methodology dominate and where functionalist research products reproduce the social stat</w:t>
      </w:r>
    </w:p>
    <w:p>
      <w:pPr>
        <w:pStyle w:val="Heading2"/>
      </w:pPr>
      <w:r>
        <w:t>Will the real security foresight expert please stand up?</w:t>
      </w:r>
    </w:p>
    <w:p>
      <w:r>
        <w:t>Original source (2014): https://doi.org/10.1007/s40309-014-0037-6</w:t>
      </w:r>
    </w:p>
    <w:p>
      <w:r>
        <w:t>Original wording (abstract; indexed_source_text_not_full_document_verified): In its critical comparative overview of foresight methods and how they are used by different futures institutes in Europe, North America, and their partners, the text argues that while many futures institutes claim to provide foresight expertise, few actually provide the tools needed by policy makers to help prepare for security risks. It identifies two trademarks of genuine security foresight experts: 1.) They will differentiate between trends and futures research 2.) Their methods will have met with success in providing early warning signals.</w:t>
      </w:r>
    </w:p>
    <w:p>
      <w:r>
        <w:t>POSSIBLE 2026: Language teaching in Europe: A comparative overview of pedagogical, theoretical and decolonial approaches from the region — https://openalex.org/W7208794743</w:t>
      </w:r>
    </w:p>
    <w:p>
      <w:r>
        <w:t>Shared claim-specific concepts: critical, comparative, overview, argues; EU scope visible. This is a provisional connection, not an outcome finding.</w:t>
      </w:r>
    </w:p>
    <w:p>
      <w:r>
        <w:t>Available abstract (not full text): This article provides a comparative overview of language teaching in Europe, examining the relationship between pedagogical traditions, theoretical developments, institutional frameworks, and emerging critical and decolonial perspectives. It begins by problematising the notion of Europe as a geographically, politically, culturally, and linguistically contested construct, before tracing major developments in European language education from grammar-translation and the Reform Movement to structuralism, audiolingualism, and Communicative Language Teaching. The discussion highlights the non-linear development of language pedagogy, demonstrating how apparently competing approaches continue to coexist across educational contexts, particularly in higher education. The article subsequently examines the influence of critical pedagogy, interculturality, Southern Theory, translanguaging, and decolonial scholarship, with particular attention to challenges to linguistic hierarchies, standard-language ideologies, and the dominance of Anglophone knowledge production. Contemporary European approaches are considered through the lenses of plurilingualism, intercultural communicative competence, Content and Language Integrated Learning, task-based learning, digital literacies, and artificial intelligence. Particular attention is given to intellectual traditions from Central, Eastern, and Russian-</w:t>
      </w:r>
    </w:p>
    <w:p>
      <w:r>
        <w:t>POSSIBLE 2025: Emergency Regimes in the European Constitutions – A Comparative Overview — https://doi.org/10.1017/err.2025.22</w:t>
      </w:r>
    </w:p>
    <w:p>
      <w:r>
        <w:t>Shared claim-specific concepts: comparative, overview, they, many; EU scope visible. This is a provisional connection, not an outcome finding.</w:t>
      </w:r>
    </w:p>
    <w:p>
      <w:r>
        <w:t>Available abstract (not full text): Abstract European constitutions differ greatly in the depth to which they deal with emergencies: while many constitutions devote more or less detailed regulation to emergency regimes, others almost completely neglect these issues or dedicate only some very short and vague references to emergency situations and powers. This article aims to carry out a systematic comparison of the emergency-related provisions of forty European constitutions, focusing on (1) the level of detail of the regulation, (2) the emergency regimes addressed, and (3) the restrictions on fundamental rights. As the study points out, only two out of the forty constitutions are completely silent on emergency powers. However, the remaining thirty-eight constitutions show wide variation in the level of detail of the emergency regulation; the vast majority of the emergency regimes are related to war or armed attack (or the danger thereof), to internal crises threatening the constitutional order, and to natural disasters. Concerning fundamental rights, the examination of the constitutional texts confirms that twenty-five out of the forty constitutions encompass some provisions on the restriction of these rights in a state of emergency.</w:t>
      </w:r>
    </w:p>
    <w:p>
      <w:r>
        <w:t>POSSIBLE 2025: Regulation of laboratory-developed tests and in-house in vitro diagnostic medical devices in the United States and the European Union—a comparative overview — https://doi.org/10.1016/j.esmoop.2025.105909</w:t>
      </w:r>
    </w:p>
    <w:p>
      <w:r>
        <w:t>Shared claim-specific concepts: critical, comparative, overview, used; EU scope visible. This is a provisional connection, not an outcome finding.</w:t>
      </w:r>
    </w:p>
    <w:p>
      <w:r>
        <w:t>Available abstract (not full text): Process chains in medical diagnostic laboratories lead to an accurate diagnosis and consequently to optimized personalized therapy recommendations. In addition to approved commercial in vitro diagnostic medical devices, devices and tests manufactured and used within a single diagnostic laboratory play a decisive role in these process chains ensuring state-of-the-art diagnostics and consecutive best patient care. It is vital that the implementation and use of such in-house tests, processes and medical devices developed in diagnostic laboratories by health care professionals is quality assured and meets regulatory and legal requirements. Due to the complexity and variety of these tests as well as their dual use in routine care and clinical trials, a thorough understanding of these regulations and their underlying definitions is critical. This review provides a comparative overview of the current state of the regulation of laboratory-developed tests in the United States and in-house developed in vitro diagnostic medical devices in the European Union. It dissects and compares the relevant regulatory ecosystems to identify conceptual similarities and differences. Our work helps laboratories navigate the regulatory landscape and provides a basis for further discussions among key stakeholders including health care providers, payers, legislators and regulatory agencies.</w:t>
      </w:r>
    </w:p>
    <w:p>
      <w:r>
        <w:t>POSSIBLE 2021: REINTEGRATION OF CROP-LIVESTOCK SYSTEMS IN EUROPE: AN OVERVIEW — https://doi.org/10.15302/j-fase-2020373</w:t>
      </w:r>
    </w:p>
    <w:p>
      <w:r>
        <w:t>Shared claim-specific concepts: overview, provide, needed; EU scope visible. This is a provisional connection, not an outcome finding.</w:t>
      </w:r>
    </w:p>
    <w:p>
      <w:r>
        <w:t>Available abstract (not full text): • ICLS combines the benefits of specialization with increased resilience of the system. • Clear opportunities but also barriers for ICLS were observed. • ICLS need to be embedded within future environmental legislation. • ICLS systems with a range of intensities are needed to support a biodiverse landscape. Ongoing specialization of crop and livestock systems provides socioeconomic benefits to the farmer but has led to greater externalization of environmental costs when compared to mixed farming systems. Better integration of crop and livestock systems offers great potential to rebalance the economic and environmental trade-offs in both systems. The aims of this study were to analyze changes in farm structure and review and evaluate the potential for reintegrating specialized intensive crop and livestock systems, with specific emphasis on identifying the co-benefits and barriers to reintegration. Historically, animals were essential to recycle nutrients in the farming system but this became less important with the availability of synthetic fertilisers. Although mixed farm systems can be economically attractive, benefits of scale combined with socio-economic factors have resulted in on-farm and regional specialization with negative environmental impacts. Reintegration is therefore needed to reduce nutrient surpluses at farm, regional and national levels, and to improve soil qual</w:t>
      </w:r>
    </w:p>
    <w:p>
      <w:r>
        <w:t>POSSIBLE 2020: Comparative study of customer relationship management research from East Asia, North America and Europe: A bibliometric overview — https://doi.org/10.1007/s12525-020-00395-7</w:t>
      </w:r>
    </w:p>
    <w:p>
      <w:r>
        <w:t>Shared claim-specific concepts: comparative, overview, north, america; EU scope visible. This is a provisional connection, not an outcome finding.</w:t>
      </w:r>
    </w:p>
    <w:p>
      <w:r>
        <w:t>Available abstract (not full text): Unavailable</w:t>
      </w:r>
    </w:p>
    <w:p>
      <w:r>
        <w:t>POSSIBLE 2018: Comparative studies in education in Southern Europe — https://doi.org/10.1080/03050068.2018.1528774</w:t>
      </w:r>
    </w:p>
    <w:p>
      <w:r>
        <w:t>Shared claim-specific concepts: critical, comparative, overview, different; EU scope visible. This is a provisional connection, not an outcome finding.</w:t>
      </w:r>
    </w:p>
    <w:p>
      <w:r>
        <w:t>Available abstract (not full text): This special issue offers a critical overview of the Southern Europe construction of comparative education and the different sets of philosophical and historical framings, including university cult...</w:t>
      </w:r>
    </w:p>
    <w:p>
      <w:r>
        <w:t>POSSIBLE 2018: Direct healthcare cost of schizophrenia – European overview — https://doi.org/10.1016/j.eurpsy.2017.10.008</w:t>
      </w:r>
    </w:p>
    <w:p>
      <w:r>
        <w:t>Shared claim-specific concepts: overview, methods, provide; EU scope visible. This is a provisional connection, not an outcome finding.</w:t>
      </w:r>
    </w:p>
    <w:p>
      <w:r>
        <w:t>Available abstract (not full text): PURPOSE: To provide an overview on the magnitude of the impact of schizophrenia on the healthcare system in Europe and to gain a better understanding on the most important factors influencing the variation of costs. METHODS: Studies reporting costs and healthcare utilization among patients with schizophrenia were searched in MEDLINE (via Scopus), EMBASE (via Scopus) and Cochrane Database of Systematic Reviews on 19th January 2017. RESULTS: Twenty-three studies, from the 1075 references initially identified, were included in this review. The annual cost per patient ranged from €533 in Ukraine to €13,704 in the Netherlands. Notably drug costs contributed to less than 25% of the direct healthcare cost per patient in every country, which might be explained by similar pharmaceutical prices among countries due to the reference pricing system applied in Europe. Inpatient costs were the largest component of health service costs in the majority of the countries. Despite methodological heterogeneity across studies, four major themes could be identified (age, severity of symptoms, continuation of treatment/persistence, hospitalization) that have substantial impact on the costs of schizophrenia. CONCLUSIONS: Schizophrenia represents a substantial cost for the healthcare system in Europe driven by the high cost per patient. Substantial savings could potentially be achieved by increasing inv</w:t>
      </w:r>
    </w:p>
    <w:p>
      <w:r>
        <w:t>POSSIBLE 2018: A Critical Overview of Targeted Therapies for Glioblastoma — https://doi.org/10.3389/fonc.2018.00419</w:t>
      </w:r>
    </w:p>
    <w:p>
      <w:r>
        <w:t>Shared claim-specific concepts: critical, overview, methods, used, many; EU scope not established. This is a provisional connection, not an outcome finding.</w:t>
      </w:r>
    </w:p>
    <w:p>
      <w:r>
        <w:t xml:space="preserve">Available abstract (not full text): Over the past century, treatment of malignant tumors of the brain has remained a challenge. Refinements in neurosurgical techniques, discovery of powerful chemotherapeutic agents, advances in radiotherapy, applications of biotechnology, and improvements in methods of targeted delivery have led to some extension of length of survival of glioblastoma patients. Refinements in surgery are mentioned because most of the patients with glioblastoma undergo surgery and many of the other innovative therapies are combined with surgery. However, cure of glioblastoma has remained elusive because it requires complete destruction of the tumor. Radical surgical ablation is not possible in the brain and even a small residual tumor leads to rapid recurrence that eventually kills the patient. Blood-brain barrier (BBB) comprising brain endothelial cells lining the cerebral microvasculature, limits delivery of drugs to the brain. Even though opening of the BBB in tumor core occurs locally, BBB limits systemic chemotherapy especially at the tumor periphery, where tumor cells invade normal brain structure comprising intact BBB. Comprehensive approaches are necessary to gain maximally from promising targeted therapies. Common methods used for critical evaluation of targeted therapies for glioblastoma include: (1) novel methods for targeted delivery of chemotherapy; (2) strategies for delivery through </w:t>
      </w:r>
    </w:p>
    <w:p>
      <w:r>
        <w:t>POSSIBLE 2017: Policies for biosimilar uptake in Europe: An overview — https://doi.org/10.1371/journal.pone.0190147</w:t>
      </w:r>
    </w:p>
    <w:p>
      <w:r>
        <w:t>Shared claim-specific concepts: overview, methods, they, used, different, provide; EU scope visible. This is a provisional connection, not an outcome finding.</w:t>
      </w:r>
    </w:p>
    <w:p>
      <w:r>
        <w:t>Available abstract (not full text): BACKGROUND: Across European countries, differences exist in biosimilar policies, leading to variations in uptake of biosimilars and divergences in savings all over Europe. OBJECTIVES: The aim of this article is to provide an overview of different initiatives and policies that may influence the uptake of biosimilars in different European countries. Recommendations will be formulated on how to create sustainable uptake. METHODS: An overview of policies on biosimilars was obtained via a questionnaire, supplemented with relevant articles. Topics were organized in five themes: availability, pricing, reimbursement, demand-side policies, and recommendations to enhance uptake. RESULTS: In all countries studied, biological medicines are available. Restrictions are mainly dependent on local organization of the healthcare system. Countries are willing to include biosimilars for reimbursement, but for commercial reasons they are not always marketed. In two thirds of countries, originator and biosimilar products may be subjected to internal reference pricing systems. Few countries have implemented specific incentives targeting physicians. Several countries are implementing pharmacist substitution; however, the scope and rules governing such substitution tend to vary between these countries. Reported educational policies tend to target primarily physicians, whereas fewer initiatives were rep</w:t>
      </w:r>
    </w:p>
    <w:p>
      <w:r>
        <w:t>POSSIBLE 2017: Early Detection and Intervention of ASD: A European Overview — https://doi.org/10.3390/brainsci7120159</w:t>
      </w:r>
    </w:p>
    <w:p>
      <w:r>
        <w:t>Shared claim-specific concepts: overview, different, provide, tools, needed, makers; EU scope visible. This is a provisional connection, not an outcome finding.</w:t>
      </w:r>
    </w:p>
    <w:p>
      <w:r>
        <w:t>Available abstract (not full text): Over the last several years there has been an increasing focus on early detection of Autism Spectrum Disorder (ASD), not only from the scientific field but also from professional associations and public health systems all across Europe. Not surprisingly, in order to offer better services and quality of life for both children with ASD and their families, different screening procedures and tools have been developed for early assessment and intervention. However, current evidence is needed for healthcare providers and policy makers to be able to implement specific measures and increase autism awareness in European communities. The general aim of this review is to address the latest and most relevant issues related to early detection and treatments. The specific objectives are (1) analyse the impact, describing advantages and drawbacks, of screening procedures based on standardized tests, surveillance programmes, or other observational measures; and (2) provide a European framework of early intervention programmes and practices and what has been learnt from implementing them in public or private settings. This analysis is then discussed and best practices are suggested to help professionals, health systems and policy makers to improve their local procedures or to develop new proposals for early detection and intervention programmes.</w:t>
      </w:r>
    </w:p>
    <w:p>
      <w:r>
        <w:t>POSSIBLE 2016: Medicine and management in European hospitals: a comparative overview — https://doi.org/10.1186/s12913-016-1388-4</w:t>
      </w:r>
    </w:p>
    <w:p>
      <w:r>
        <w:t>Shared claim-specific concepts: comparative, overview, they, text; EU scope visible. This is a provisional connection, not an outcome finding.</w:t>
      </w:r>
    </w:p>
    <w:p>
      <w:r>
        <w:t>Available abstract (not full text): BACKGROUND: Since the early 1980s all European countries have given priority to reforming the management of health services. A distinctive feature of these reforms has also been the drive to co-opt professionals themselves into the management of services, taking on full time or part time (hybrid) management or leadership roles. However, although these trends are well documented in the literature, our understanding of the nature and impact of reforms and how they are re-shaping the relationship between medicine and management remains limited. Most studies have tended to be nationally specific, located within a single discipline and focused primarily on describing new management practices. This article serves as an Introduction to a special issue of BMC Health Services Research which seeks to address these concerns. It builds on the work of a European Union funded COST Action (ISO903) which ran between 2009 and 2013, focusing specifically on the changing relationship between medicine and management in a European context. MAIN TEXT: Prior to describing the contributions to the special issue, this Introduction sets the scene by exploring four main questions which have characterised much of the recent literature on medicine and management. First is the question of what we understand by the changing relationship between medicine and management and in particular which this means for t</w:t>
      </w:r>
    </w:p>
    <w:p>
      <w:r>
        <w:t>POSSIBLE 2016: Sixth European Working Conditions Survey – Overview Report — https://openalex.org/W2626195662</w:t>
      </w:r>
    </w:p>
    <w:p>
      <w:r>
        <w:t>Shared claim-specific concepts: overview, different; EU scope visible. This is a provisional connection, not an outcome finding.</w:t>
      </w:r>
    </w:p>
    <w:p>
      <w:r>
        <w:t>Available abstract (not full text): [Excerpt] Since 1991, Eurofound has been monitoring working conditions in Europe through its European Working Conditions Survey (EWCS). The survey aims to measure working conditions across European countries, analyse the relationships between different aspects of these, identify groups at risk, highlight issues of concern and areas of progress and, ultimately, contribute to developing EU policy aimed at improving job quality. In 2015, the sixth EWCS interviewed almost 44,000 workers (both employees and self-employed people) in 35 European countries: the 28 EU Member States, the five EU candidate countries, and Norway and Switzerland. Workers were asked a range of questions concerning employment status, work organisation, learning and training, working time duration and organisation, physical and psychosocial risk factors, health and safety, work–life balance, worker participation, earnings and financial security, as well as work and health.</w:t>
      </w:r>
    </w:p>
    <w:p>
      <w:pPr>
        <w:pStyle w:val="Heading2"/>
      </w:pPr>
      <w:r>
        <w:t>A strategic energy technology policy towards 2050: no-regret strategies for European technology push</w:t>
      </w:r>
    </w:p>
    <w:p>
      <w:r>
        <w:t>Original source (2013): https://doi.org/10.1504/ijetp.2013.058143</w:t>
      </w:r>
    </w:p>
    <w:p>
      <w:r>
        <w:t>Original wording (abstract; indexed_source_text_not_full_document_verified): We discuss how European energy technology policy towards 2050 can be effective despite: 1) uncertain carbon prices; 2) uncertain technological change; and 3) uncertain or alternating policy paradigms shifting the focus from decarbonisation towards competitiveness or energy supply security.</w:t>
      </w:r>
    </w:p>
    <w:p>
      <w:r>
        <w:t>POSSIBLE 2023: Proposal for a sustainability framework for energy technologies — https://doi.org/10.2760/11063</w:t>
      </w:r>
    </w:p>
    <w:p>
      <w:r>
        <w:t>Shared claim-specific concepts: energy, technology, security; EU scope visible. This is a provisional connection, not an outcome finding.</w:t>
      </w:r>
    </w:p>
    <w:p>
      <w:r>
        <w:t>Available abstract (not full text): The European Green Deal is a flagship initiative of the European Commission aimed at achieving a sustainable future through a clean energy transition. This report proposes a sustainability assessment framework (SAF) for evaluating energy technologies, inspired by the Safe and Sustainable by Design (SSbD) framework. It supports the Clean Energy Technology Observatory (CETO) in monitoring research and innovation activities for clean energy technologies. The background concepts underlying the SAF are discussed, including sustainability principles, life cycle assessment, sustainable innovation, and energy-specific concepts. The proposed SAF includes three dimensions: supply security, environmental sustainability, and social sustainability. Energy security encompasses economic aspects, such as stable energy supply, accessibility of resources, and trade considerations. Environmental sustainability is based on the Product Environmental Footprint methodology and aligned with the SSbD framework. The social sustainability dimension considers impacts on workers, local communities, value chain actors and society, according to the Social Life Cycle Assessment methodology. The framework has a hierarchical structure placing energy security first, and recognizing its interconnections with environmental and social objectives. The framework supports the European Union's priority on energy securi</w:t>
      </w:r>
    </w:p>
    <w:p>
      <w:r>
        <w:t>POSSIBLE 2023: Power-to-hydrogen and hydrogen-to-X energy systems for the industry of the future in Europe — https://doi.org/10.1016/j.ijhydene.2023.01.194</w:t>
      </w:r>
    </w:p>
    <w:p>
      <w:r>
        <w:t>Shared claim-specific concepts: discuss, energy, technology, technological, focus; EU scope visible. This is a provisional connection, not an outcome finding.</w:t>
      </w:r>
    </w:p>
    <w:p>
      <w:r>
        <w:t>Available abstract (not full text): The EU is promoting hydrogen as enabling energy carrier that may account for up to 20% of energy and especially fulfill between 20% and 50% of transportation demands and between 5% and 20% of industrial needs. To ensure the success of this shift, Power-to-Hydrogen and Hydrogen-to-X technologies have attracted significant interest because they transform renewable power directly into green hydrogen, via water electrolysis, which can be stored and transferred more readily than other fuels for several end-uses. The present paper aims to discuss the role of such technologies in the current and future energy systems, with a specific reference to the European scenario. The main energy sectors where hydrogen could play an important role will be discussed, such as transportation, power generation, manufacturing sectors, refining and agriculture, with a focus on potential technological integration and synergies, providing a guideline for industrial players up to 2050 with a discussion about technology maturity by presenting short-term/long-term roadmaps.</w:t>
      </w:r>
    </w:p>
    <w:p>
      <w:r>
        <w:t>POSSIBLE 2023: The Use of Information and Communication Technologies and Renewable Energy in Europe — https://doi.org/10.4018/978-1-6684-5996-6.ch009</w:t>
      </w:r>
    </w:p>
    <w:p>
      <w:r>
        <w:t>Shared claim-specific concepts: energy, carbon; EU scope visible. This is a provisional connection, not an outcome finding.</w:t>
      </w:r>
    </w:p>
    <w:p>
      <w:r>
        <w:t>Available abstract (not full text): Information and communication technologies (ICTs) can help in cutting up to 20% of global carbon emissions by assisting consumers, different industries, and the public sector in energy savings and energy efficiency improvement. This chapter explores the relationship between ICTs and the development of renewable energy in European countries. In the first part of the research, the author conducted a cluster analysis to measure the differences in the use of ICTs in Europe through information society indicators. The results of the clustering (hierarchical and K-means) showed the existence of four clusters, and the increased differences between clusters from 2015 to 2020. The second part of the research confirms the existence of differences between clusters in the share of energy consumption from renewable sources, and the differences proved to be statistically significant. The results are discussed in terms of implications for public transportation, concluding that local governments must start and/or keep using ICTs for urban solutions for the future to be greener and sustainable.</w:t>
      </w:r>
    </w:p>
    <w:p>
      <w:r>
        <w:t>POSSIBLE 2023: Energy Economic Development in Europe — https://doi.org/10.3390/books978-3-0365-7112-6</w:t>
      </w:r>
    </w:p>
    <w:p>
      <w:r>
        <w:t>Shared claim-specific concepts: energy, carbon, security; EU scope visible. This is a provisional connection, not an outcome finding.</w:t>
      </w:r>
    </w:p>
    <w:p>
      <w:r>
        <w:t>Available abstract (not full text): This reprint explores the challenges faced by Europe as it transitions to renewable energy sources to reduce carbon emissions and enhance energy security. With 10 articles covering various countries and sectors, the book delves into issues such as solar and wind energy intermittency, the role of energy policies, and the integration of energy grids and markets. The collection also includes studies on the impact of energy policies on residential energy efficiency, the use of financial incentives for eco-friendly housing, and the benefits of district heating. The reprint aims to provide policymakers, academics, and practitioners with valuable insights into the current state of renewable energy in Europe and the policies and actions that can be taken to achieve a sustainable energy future.</w:t>
      </w:r>
    </w:p>
    <w:p>
      <w:r>
        <w:t>POSSIBLE 2023: The contribution of European citizen‐led energy initiatives to sustainable development goals — https://doi.org/10.1002/sd.2844</w:t>
      </w:r>
    </w:p>
    <w:p>
      <w:r>
        <w:t>Shared claim-specific concepts: discuss, energy, effective, despite, technological; EU scope visible. This is a provisional connection, not an outcome finding.</w:t>
      </w:r>
    </w:p>
    <w:p>
      <w:r>
        <w:t>Available abstract (not full text): Abstract Energy communities (ECs) are emerging as vital contributors to the United Nations' Sustainable Development Goals, despite being unnoticed. This article is the first to comprehensively discuss and quantify European citizen‐led energy initiatives' contributions to SDGs 7 (ensure access to affordable and clean energy), 9 (fostering industry, innovation, and infrastructure), and 11 (promote sustainable cities and communities). With SDG7 at their core, these initiatives prioritize sustainable energy systems, aligning with environmental impact reduction, resource efficiency, and social resilience goals. They contribute to SDG9 in energy and ICT sectors through job creation and social and technological innovation. Promoting SDG11 via inclusive engagement, they reinforce democratic principles and preserve cultural heritage. They can leverage their expertise with policy support to aid SDG implementation and serve as a global exemplar, extending impact to SDGs 12 and 17. Our analysis underscores a disconnect between European support for ECs and broader sustainability agendas, hampering effective impact.</w:t>
      </w:r>
    </w:p>
    <w:p>
      <w:r>
        <w:t>POSSIBLE 2021: Energy justice within, between and beyond European community energy initiatives: A review — https://doi.org/10.1016/j.erss.2021.102157</w:t>
      </w:r>
    </w:p>
    <w:p>
      <w:r>
        <w:t>Shared claim-specific concepts: energy; EU scope visible. This is a provisional connection, not an outcome finding.</w:t>
      </w:r>
    </w:p>
    <w:p>
      <w:r>
        <w:t>Available abstract (not full text): Recent European policy efforts stimulate the emergence of community energy initiatives, and the European Commission explicitly aims to enable a just transition towards a low-carbon energy system. One of the prevalent assumptions is that fostering community energy will bring about energy justice. Intrigued by this assumption, we conduct an extending systematic literature review to explore how the notion of energy justice is discussed within scholarly work on community energy initiatives in Europe. We detected a tendency of community energy scholars to not (yet) fully employ the inherent scope the concept of energy justice entails. Therefore, we propose that community energy justice should be analyzed through three different lenses: energy justice occurring within community energy initiatives, between initiatives and related actors, and beyond initiatives. Extending the energy justice lens to address these different levels helps to better bring out the encompassing premise that the notion of energy justice entails, both analytically and in practice. Through our analysis different energy justice impacts come to the fore, for example related to social inequality: not all societal groups are equally positioned to benefit from policies focused on community initiatives. Considering the policy efforts to stimulate community energy development, we argue that these impacts can be amplifi</w:t>
      </w:r>
    </w:p>
    <w:p>
      <w:r>
        <w:t>POSSIBLE 2020: Critically reviewing smart home technology applications and business models in Europe — https://doi.org/10.1016/j.enpol.2020.111631</w:t>
      </w:r>
    </w:p>
    <w:p>
      <w:r>
        <w:t>Shared claim-specific concepts: discuss, energy, technology, carbon, focus, security; EU scope visible. This is a provisional connection, not an outcome finding.</w:t>
      </w:r>
    </w:p>
    <w:p>
      <w:r>
        <w:t>Available abstract (not full text):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r>
        <w:t>POSSIBLE 2019: Social Innovation in Community Energy in Europe: A Review of the Evidence — https://doi.org/10.3389/fenrg.2019.00031</w:t>
      </w:r>
    </w:p>
    <w:p>
      <w:r>
        <w:t>Shared claim-specific concepts: energy;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2019: Achieving sustainability transitions in residential energy use across Europe: The importance of problem framings — https://doi.org/10.1016/j.enpol.2019.110927</w:t>
      </w:r>
    </w:p>
    <w:p>
      <w:r>
        <w:t>Shared claim-specific concepts: energy, technology; EU scope visible. This is a provisional connection, not an outcome finding.</w:t>
      </w:r>
    </w:p>
    <w:p>
      <w:r>
        <w:t>Available abstract (not full text): Reducing greenhouse gas emissions in the residential sector is central to European energy policy. However, the speed and scale of sustainable energy transitions need to accelerate. There is a growing consensus that meeting energy targets is highly dependent on interrelated socio-material and cultural aspects of energy use. New ways of framing energy demand that go beyond dominant efficiency- and behavior models are needed. Recognizing these concerns, this paper reports on a review of 1067 Sustainable Energy Consumption Initiatives (SECIs) that aim to reduce residential energy use across 30 European countries. The initiatives are categorized and a corresponding Problem Framing Typology (PFT) is developed, highlighting important aspects of different types of problem framings. The typology contains four categories including 1) Changes in technology; 2) Changes in individual behavior; 3) Changes in everyday life situations; 4) and Changes in complex interactions. Applying the PFT to the 1067 SECIs shows that the vast majority (75%) of SECIs are positioned within category 1 and 2, indicating a lingering bias towards technocratic consumer behavioral strategies. The limitations of such approaches are discussed, and it is argued that systematically addressing interactions between technology, businesses, culture and everyday-life is more likely to lead to long-term transformation.</w:t>
      </w:r>
    </w:p>
    <w:p>
      <w:r>
        <w:t>POSSIBLE 2019: A PESTLE Analysis of Biofuels Energy Industry in Europe — https://doi.org/10.3390/su11215981</w:t>
      </w:r>
    </w:p>
    <w:p>
      <w:r>
        <w:t>Shared claim-specific concepts: discuss, energy, despite, carbon, technological; EU scope visible. This is a provisional connection, not an outcome finding.</w:t>
      </w:r>
    </w:p>
    <w:p>
      <w:r>
        <w:t>Available abstract (not full text): Biofuels production is expected to be an intrinsic confluence to the renewable energy sector in the coming years under the European regulations for renewable energy. Key standpoints of the biofuels promotions are the reduction of national carbon emissions and rural deployment. Despite jubilant outlook of biofuels for sustainable development, research efforts still tend to link the biofuel industry and regional growth. The aim of this study is to explore and review the biofuels industry through a socio-political, techno-economic, legal and environmental (PESTLE) analysis approach, and discuss the interrelation between technological facets and sustainable deployment.</w:t>
      </w:r>
    </w:p>
    <w:p>
      <w:r>
        <w:t>POSSIBLE 2019: Performance of markets for European renewable energy certificates — https://doi.org/10.1016/j.enpol.2019.01.051</w:t>
      </w:r>
    </w:p>
    <w:p>
      <w:r>
        <w:t>Shared claim-specific concepts: energy, despite; EU scope visible. This is a provisional connection, not an outcome finding.</w:t>
      </w:r>
    </w:p>
    <w:p>
      <w:r>
        <w:t>Available abstract (not full text): To address the problem of information asymmetry in renewable electricity markets, European governments have introduced certification schemes. While certification appears to be an increasingly important trade mechanism for renewable electricity, it is unclear to what extent certificate markets are functioning properly. In addition, countries have chosen very different designs for their certification schemes. In order to assess the performance of markets for Guarantee of Origin certificates in twenty European countries, we construct four market performance indicators and analyse their development over 2001–2016: the churn rate, price volatility, the certification rate and the expiration rate. We also investigate the relationship between market performance and two design features of certification schemes: the public/private nature of the certifier and the presence of an international standard. We find that, despite increasing shares of renewable electricity are being certified, certificate markets suffer from poor liquidity and very volatile prices. In addition, we conclude that adopting an international standard fosters the development of certificate systems.</w:t>
      </w:r>
    </w:p>
    <w:p>
      <w:r>
        <w:t>POSSIBLE 2019: Effects of renewable energy on landscape in Europe: Comparison of hydro, wind, solar, bio-, geothermal and infrastructure energy landscapes — https://doi.org/10.15201/hungeobull.68.4.1</w:t>
      </w:r>
    </w:p>
    <w:p>
      <w:r>
        <w:t>Shared claim-specific concepts: energy, technological; EU scope visible. This is a provisional connection, not an outcome finding.</w:t>
      </w:r>
    </w:p>
    <w:p>
      <w:r>
        <w:t>Available abstract (not full text): Landscape quality has become a fundamental issue in the development of renewable energy (henceforth abbreviated RE) projects. Rapid technological advances in RE production and distribution, coupled with changing policy frameworks, bring specific challenges during planning in order to avoid degradation of landscape quality. The current work provides a comprehensive review on RE landscapes and the impacts of RE systems on landscape for most European countries. It is based on a review by an interdisciplinary international team of experts of empirical research findings on landscape impacts of RE from thirty-seven countries that have participated in the COST Action TU1401 Renewable Energy and Landscape Quality (RELY).</w:t>
      </w:r>
    </w:p>
    <w:p>
      <w:pPr>
        <w:pStyle w:val="Heading2"/>
      </w:pPr>
      <w:r>
        <w:t>Alternative future energy pathways: Assessment of the potential of innovative decentralised energy systems in the UK</w:t>
      </w:r>
    </w:p>
    <w:p>
      <w:r>
        <w:t>Original source (2013): https://doi.org/10.1016/j.enpol.2013.10.080</w:t>
      </w:r>
    </w:p>
    <w:p>
      <w:r>
        <w:t>Original wording (abstract; indexed_source_text_not_full_document_verified): In order to meet its 2050 target of 80% carbon emissions reduction, the UK is facing a challenge of restructuring its energy system, possibly by introducing more decentralised energy (DE) systems. The case studies present a high potential for replication and scaling up in the UK context and demonstrate that the increased implementation of DE systems could also enhance social and governance benefits.</w:t>
      </w:r>
    </w:p>
    <w:p>
      <w:r>
        <w:t>POSSIBLE 2023: Growing Double Materiality into Corporate Sustainability Reporting in Order to Meet Green Deal Targets — https://doi.org/10.2478/9788367405546-034</w:t>
      </w:r>
    </w:p>
    <w:p>
      <w:r>
        <w:t>Shared claim-specific concepts: order, meet, potential; EU scope not established. This is a provisional connection, not an outcome finding.</w:t>
      </w:r>
    </w:p>
    <w:p>
      <w:r>
        <w:t>Available abstract (not full text): The International Conferences on Economics and Social Sciences (ICESS) organized by Bucharest University of Economic Studies provide an opportunity for all those interested in Economics and Social Sciences to discuss and exchange research ideas. The papers presented at the Conference are available online in the Conference Proceedings series (ISSN 2704-6524): Volume 2019 Collaborative Research for Excellence in Economics and Social Sciences, ISBN 9788366675322 Volume 2020 Innovative Models to Revive the Global Economy, ISBN 9788395815072 Volume 2021 Resilience and Economic Intelligence Through Digitalization and Big Data Analytics, ISBN 9788366675704 Volume 2022 Fostering recovery through metaverse business modelling, ISBN 978-83-67405-07-2 The world today is vastly different than what it was even a few decades ago, as a result of advances in technology, globalization, and societal changes. Recently, particular attention has been given to sustainable development raising the question of how to drive economic growth in a responsible manner by harnessing technology’s potential while accounting for diverse national perspectives. In 2015, the United Nations agreed upon 17 Sustainable Development Goals (SDGs) aimed to transform our world by 2030. However, without the support of stakeholders from government, business and civil societies, the SDGs are</w:t>
      </w:r>
    </w:p>
    <w:p>
      <w:r>
        <w:t>POSSIBLE 2023: Nuclear Data Uncertainty Analysis to Meet the Target Accuracy Requirements on the MYRRHAkeff — https://doi.org/10.1051/epjconf/202328408012</w:t>
      </w:r>
    </w:p>
    <w:p>
      <w:r>
        <w:t>Shared claim-specific concepts: order, meet, target, reduction, system; EU scope visible. This is a provisional connection, not an outcome finding.</w:t>
      </w:r>
    </w:p>
    <w:p>
      <w:r>
        <w:t>Available abstract (not full text): MYRRHA is a flexible experimental facility being designed at the SCK CEN, in Mol, Belgium. Cooled by lead-bismuth, it is conceived to operate both in sub-critical mode, as an accelerator driven system, and in critical mode, as a fast reactor. In order to comply with MYRRHA reactor design requirements, uncertainties due to nuclear data must be quantified. Significant gaps between the uncertainties and the target accuracies have been systematically shown in the past. In this paper, first, a Sensitivity and Uncertainty analysis with JEFF-3.3 nuclear data library of the effective neutron multiplication factorkeffof the latest MYRRHA reactor design - v1.8 - is presented. Then, since target accuracy forkeffof 300 pcm is exceeded, a Target Accuracy Requirement assessment is performed in order to find out the required accuracy on cross section data to meet the requested target accuracy. To reach the requested target accuracy, a reduction of the uncertainty in the fission and capture cross sections of240Pu JEFF-3.3 evaluation is needed.</w:t>
      </w:r>
    </w:p>
    <w:p>
      <w:r>
        <w:t>POSSIBLE 2022: Designing electric vehicle incentives to meet emission reduction targets — https://doi.org/10.1016/j.trd.2022.103320</w:t>
      </w:r>
    </w:p>
    <w:p>
      <w:r>
        <w:t>Shared claim-specific concepts: meet, emissions, reduction; EU scope not established. This is a provisional connection, not an outcome finding.</w:t>
      </w:r>
    </w:p>
    <w:p>
      <w:r>
        <w:t>Available abstract (not full text): Electric vehicles are expected to reduce transportation emissions. We design and allocate rebates and charging infrastructure investments to induce electric vehicle adoption and achieve emission reduction targets. A nonlinear mixed-integer mathematical model is proposed to optimize the investment allocation over a planning horizon. Logistic functions describe the vehicle demand driven by capital and ownership costs and network externalities. A simulated annealing algorithm is used to solve the nonlinear programming problem that is applied using data representative of the United States market. Our analysis indicates that rebates should be provided earlier than chargers due to neighborhood effects of electric vehicle adoption and the minimization of expenditure; availability of home charging influences consumers choice and the drivers electrified travel distance; rebates are more effective for modest drivers while charging stations should be prioritized for frequent drivers; network externalities should be further investigated because of their impact on electric vehicle demand.</w:t>
      </w:r>
    </w:p>
    <w:p>
      <w:r>
        <w:t>POSSIBLE 2021: Negative-emissions technology portfolios to meet the 1.5 °C target — https://doi.org/10.1016/j.gloenvcha.2021.102238</w:t>
      </w:r>
    </w:p>
    <w:p>
      <w:r>
        <w:t>Shared claim-specific concepts: meet, target, carbon, present; EU scope not established. This is a provisional connection, not an outcome finding.</w:t>
      </w:r>
    </w:p>
    <w:p>
      <w:r>
        <w:t>Available abstract (not full text): Our carbon-intensive economy has led to an average temperature rise of 1 °C since pre-industrial times. As a consequence, the world has seen increasing droughts, significant shrinking of the polar ice caps, and steady sea-level rise. To stall these issues’ worsening further, we must limit global warming to 1.5 °C. In addition to the economy’s decarbonization, this endeavour requires the use of negative-emissions technologies (NETs) that remove the main greenhouse gas, carbon dioxide, from the atmosphere. While techno-economic feasibility alone has driven the definition of negative-emissions solutions, NETs’ diverse, far-reaching implications demand a more holistic assessment. Here, we present a comprehensive framework, integrating NETs’ critical performance aspects of feasibility, effectiveness, and side impacts, to define the optimal technology mix within realistic outlooks. The resulting technology portfolios provide a useful new benchmark to compare carbon avoidance and removal measures and deliberately choose the best path to solve the climate emergency.</w:t>
      </w:r>
    </w:p>
    <w:p>
      <w:r>
        <w:t>POSSIBLE 2021: Direct air capture of CO2: A response to meet the global climate targets — https://doi.org/10.1557/s43581-021-00005-9</w:t>
      </w:r>
    </w:p>
    <w:p>
      <w:r>
        <w:t>Shared claim-specific concepts: meet, target, carbon, emissions, energy, high; EU scope not established. This is a provisional connection, not an outcome finding.</w:t>
      </w:r>
    </w:p>
    <w:p>
      <w:r>
        <w:t>Available abstract (not full text): Highlights DAC can help deal with difficult to avoid emissions. Large-scale deployment of DAC requires serious government, private, and corporate support and investment particularly to offset the capital cost as well as operational costs. Further optimizations to the costs can be found in choice of energy source as well as advances in CO 2 capture technology such as high capacity and selectivity materials, faster reaction kinetics, and ease of reusability. Abstract Direct air capture (DAC) technologies are receiving increasing attention from the scientific community, commercial enterprises, policymakers and governments. While deep decarbonization of all sectors is required to meet the Paris Agreement target, DAC can help deal with difficult to avoid emissions (aviation, ocean-shipping, iron-steel, cement, mining, plastics, fertilizers, pulp and paper). While large-scale deployment of DAC discussions continues, a closer look to the capital and operational costs, different capture technologies, the choice of energy source, land and water requirements, and other environmental impacts of DAC are reviewed and examined. Cost per ton of CO 2 captured discussions of leading industrial DAC developers with their carbon capture technologies are presented, and their detailed cost comparisons are evaluated based on the choice of energy operation together with process energy requirements. Va</w:t>
      </w:r>
    </w:p>
    <w:p>
      <w:r>
        <w:t>POSSIBLE 2019: IFRS Reconciliation Adjustment and Subsequent Meet or Beat Target Earnings — https://doi.org/10.13106/jafeb.2019.vol6.no1.33</w:t>
      </w:r>
    </w:p>
    <w:p>
      <w:r>
        <w:t>Shared claim-specific concepts: order, meet, target; EU scope not established. This is a provisional connection, not an outcome finding.</w:t>
      </w:r>
    </w:p>
    <w:p>
      <w:r>
        <w:t>Available abstract (not full text): This study analyzed the association between IFRS adjustments, measured with the IFRS reconciliations, and the subsequent meeting of target earnings. IFRS adjustments include the amounts to be adjusted intentionally, as well as the differences in accounting standards. This study estimated intentional IFRS adjustments and analyzed their association with meeting target earnings. As the results of our analysis, meeting target earnings was associated positively with intentional IFRS adjustments for the total assets, was negatively associated with them for current assets, and was positively associated with them for non-current assets. Since understatement of current assets can be realized into earnings in a short period of time, it seems that current assets were underestimated intentionally in order to meet target earnings subsequently. In contrast, it is considered that non-current assets were overestimated to make them more likely to meet target earnings either by increasing the firm size or by improving financial solvency. The results of this study imply that IFRS adjustments are useful to manage earnings for meeting target earnings. Since accounting standards may be established and revised constantly, which adjustments for them may occur, the results on IFRS adjustments are expected to have implications for investors, policy-makers, and standards establishment entities.</w:t>
      </w:r>
    </w:p>
    <w:p>
      <w:r>
        <w:t>POSSIBLE 2018: Uneven conservation efforts compromise Brazil to meet the Target 11 of Convention on Biological Diversity — https://doi.org/10.1016/j.pecon.2017.12.001</w:t>
      </w:r>
    </w:p>
    <w:p>
      <w:r>
        <w:t>Shared claim-specific concepts: order, meet, target, system, high; EU scope not established. This is a provisional connection, not an outcome finding.</w:t>
      </w:r>
    </w:p>
    <w:p>
      <w:r>
        <w:t>Available abstract (not full text): • Aichis Target 11 has not been adequately met. • Quality of the management of Conservation Units was poor for all indicators. • The only biome properly covered by Conservation Units in Brazil is the Amazon. • Areas of Environmental Protection offer poor protection and predominate in the system. • The funds for management should be at least 3.4 times bigger than current budget. Brazil is the most biodiverse country in the world. It performed an expansion of its Protected Areas system in order to better preserve nature and to accomplish international agreements, such as the Target 11 of the Convention on Biological Diversity, which establishes a minimum percentage of territorial coverage and adequate management of Protected Areas (PAs). We evaluated the achievement of those objectives by analyzing the distribution of Conservation Units (CUs), Indigenous Territories and other classes of PAs on Brazilian biomes, as well as their current management situation. The country is unlikely to meet the target due to the lack of PAs outside the Amazon biome and to poor CUs management conditions, whose main causes are the fragile financial situation of environmental agencies and the high costs of land tenure regularization. In addition to other environmental policies setbacks, the Brazilian environmental leadership is seriously threatened.</w:t>
      </w:r>
    </w:p>
    <w:p>
      <w:r>
        <w:t>POSSIBLE 2018: Brazilian Flora 2020: Innovation and collaboration to meet Target 1 of the Global Strategy for Plant Conservation (GSPC) — https://doi.org/10.1590/2175-7860201869402</w:t>
      </w:r>
    </w:p>
    <w:p>
      <w:r>
        <w:t>Shared claim-specific concepts: meet, target, systems, present; EU scope not established. This is a provisional connection, not an outcome finding.</w:t>
      </w:r>
    </w:p>
    <w:p>
      <w:r>
        <w:t>Available abstract (not full text): Abstract The Global Strategy for Plant Conservation (GSPC) was established by the Conference of Parties in 2002 to decrease the loss of plant diversity, reduce poverty and contribute to sustainable development. To achieve this overarching goal, the GSPC has established a series of targets, one of which is to ensure that plant diversity is well understood, so that it can be effectively conserved and used in a sustainable manner. Brazil hosts more than 46,000 species of plants, algae and fungi, representing one of the most biodiverse countries on Earth, and playing a key role in the GSPC. To meet the GSPC goals of Target 1 and facilitate access to plant diversity, Brazil committed to preparing the List of Species of the Brazilian Flora (2008-2015) and the Brazilian Flora 2020 (2016-present). Managing all the information associated with such great biodiversity has proven to be an extremely challenging task. Here, we synthesize the history of these projects, focusing on the multidisciplinary and collaborative approach adopted to develop and manage the inclusion of all the knowledge generated though digital information systems. We further describe the methods used, challenges faced, and strategies adopted, as well as summarize advances to date and prospects for completing the Brazilian flora in 2020.</w:t>
      </w:r>
    </w:p>
    <w:p>
      <w:r>
        <w:t>POSSIBLE 2017: Tianqi could ramp up mine output to meet lithium target — https://openalex.org/W2898820048</w:t>
      </w:r>
    </w:p>
    <w:p>
      <w:r>
        <w:t>Shared claim-specific concepts: order, meet, target; EU scope not established. This is a provisional connection, not an outcome finding.</w:t>
      </w:r>
    </w:p>
    <w:p>
      <w:r>
        <w:t>Available abstract (not full text): In order to ensure sufficient raw material supply to meet its 100,000tpa lithium chemical production target, Chinese producer Tianqi could further increase spodumene output at its joint-venture Australian mine or speed up production at its new Sichuan project.</w:t>
        <w:br/>
        <w:br/>
        <w:br/>
        <w:br/>
        <w:t>Chinese producer Tianqi Lithium Corp could ramp up spodumene production at joint-venture Talison Lithium Ltd and speed up progress of its Sichuan project in order to meet internal raw material demand.</w:t>
        <w:br/>
        <w:br/>
        <w:br/>
        <w:br/>
        <w:t>During a question and answer session in mid August, investors questioned Tianqi on the supply gap as the lithium concentrate output at Talison mine in Australia as still insufficient to meet Tianqi's demand.</w:t>
        <w:br/>
        <w:br/>
        <w:br/>
        <w:br/>
        <w:t>Talison - a JV between Albermarle Corp and Tianqi - has been expanding its lithium concentrate production at its Greenbushes spodumene mine in Australia. The 1.34m tpa spodumene ramp-up at Talison was scheduled to be completed in Q2 2019.</w:t>
      </w:r>
    </w:p>
    <w:p>
      <w:r>
        <w:t>POSSIBLE 2016: Reducing emissions from agriculture to meet the 2 °C target — https://doi.org/10.1111/gcb.13340</w:t>
      </w:r>
    </w:p>
    <w:p>
      <w:r>
        <w:t>Shared claim-specific concepts: meet, target, carbon, emissions; EU scope not established. This is a provisional connection, not an outcome finding.</w:t>
      </w:r>
    </w:p>
    <w:p>
      <w:r>
        <w:t>Available abstract (not full text): Abstract More than 100 countries pledged to reduce agricultural greenhouse gas (GHG) emissions in the 2015 Paris Agreement of the United Nations Framework Convention on Climate Change. Yet technical information about how much mitigation is needed in the sector vs. how much is feasible remains poor. We identify a preliminary global target for reducing emissions from agriculture of ~1 GtCO2e yr−1by 2030 to limit warming in 2100 to 2 °C above pre‐industrial levels. Yet plausible agricultural development pathways with mitigation cobenefits deliver only 21–40% of needed mitigation. The target indicates that more transformative technical and policy options will be needed, such as methane inhibitors and finance for new practices. A more comprehensive target for the 2 °C limit should be developed to include soil carbon and agriculture‐related mitigation options. Excluding agricultural emissions from mitigation targets and plans will increase the cost of mitigation in other sectors or reduce the feasibility of meeting the 2 °C limit.</w:t>
      </w:r>
    </w:p>
    <w:p>
      <w:r>
        <w:t>POSSIBLE 2016: Work stealing for interactive services to meet target latency — https://doi.org/10.1145/2851141.2851151</w:t>
      </w:r>
    </w:p>
    <w:p>
      <w:r>
        <w:t>Shared claim-specific concepts: meet, target, systems; EU scope not established. This is a provisional connection, not an outcome finding.</w:t>
      </w:r>
    </w:p>
    <w:p>
      <w:r>
        <w:t>Available abstract (not full text): Interactive web services increasingly drive critical business workloads such as search, advertising, games, shopping, and finance. Whereas optimizing parallel programs and distributed server systems have historically focused on average latency and throughput, the primary metric for interactive applications is instead consistent responsiveness, i.e., minimizing the number of requests that miss a target latency. This paper is the first to show how to generalize work-stealing, which is traditionally used to minimize the makespan of a single parallel job, to optimize for a target latency in interactive services with multiple parallel requests.</w:t>
      </w:r>
    </w:p>
    <w:p>
      <w:r>
        <w:t>POSSIBLE 2015: Nominal GDP Targeting: A Policy Recommendation to Meet the Fed’s Dual Mandate — https://openalex.org/W851463466</w:t>
      </w:r>
    </w:p>
    <w:p>
      <w:r>
        <w:t>Shared claim-specific concepts: order, meet, challenge; EU scope not established. This is a provisional connection, not an outcome finding.</w:t>
      </w:r>
    </w:p>
    <w:p>
      <w:r>
        <w:t>Available abstract (not full text): This paper was written in early December 2014 in response to the Federal Reserve Challenge Team’s argument for a regime change in the Federal Reserve to nominal GDP targeting as the appropriate policy to return the U.S. economy to long-term sustainable economic growth. After the 2007 recession, the FOMC took extraordinary measures to minimize the collateral damage caused by bank balance sheets weighed down with mortgage-backed securities and other below-investment grade assets. The periodic “stress tests” and use of emergency lending facilities were historically unprecedented, however, the economy six years later was still growing slowly in part due to market uncertainty with FOMC forward guidance policy. This paper argues that the Fed is justified in using a policy that risks short-term rapid inflation in order to meet the “dual mandate” of full employment and price stability, and to prevent cyclical unemployment in the economy from deteriorating into structural unemployment.</w:t>
      </w:r>
    </w:p>
    <w:p>
      <w:pPr>
        <w:pStyle w:val="Heading2"/>
      </w:pPr>
      <w:r>
        <w:t>Analytical support to foresighting EU roles as a Global Security Actor</w:t>
      </w:r>
    </w:p>
    <w:p>
      <w:r>
        <w:t>Original source (2013): https://doi.org/10.11610/isij.2902</w:t>
      </w:r>
    </w:p>
    <w:p>
      <w:r>
        <w:t>Original wording (abstract; indexed_source_text_not_full_document_verified): Making decisions on major investments, including investments in security research, requires good grasp of the future, which by definition is uncertain.This paper presents the analytical process, methods, and tools, including the DSTO Scenario Analysis Tool Suite, used in the elaboration and selection of a set of context scenarios and possible new roles for EU as a global actor based on the wider Petersberg tasks.Results of this exploratory process within the FP7 FOCUS project are intended to derive suggestions for the EU's security research planning.The conclusion emphasises the critical importance of providing rigorous analytical support, in particular when security foresight involves subject matter experts that are not part of a dedicated research team.</w:t>
      </w:r>
    </w:p>
    <w:p>
      <w:r>
        <w:t>POSSIBLE 2026: Evaluation of the Structural Competitiveness of Major Container Ports in Europe Using a Hybrid Multi-Criteria Decision-Making Approach (CRITIC-TOPSIS-SAW) — https://doi.org/10.25295/fsecon.1850229</w:t>
      </w:r>
    </w:p>
    <w:p>
      <w:r>
        <w:t>Shared claim-specific concepts: making, major, investments, methods; EU scope visible. This is a provisional connection, not an outcome finding.</w:t>
      </w:r>
    </w:p>
    <w:p>
      <w:r>
        <w:t>Available abstract (not full text): This study aims to evaluate the infrastructural competitiveness of Europe’s ten largest container ports using a quantitative approach and to identify the key infrastructure components that determine it. The study examines critical criteria such as quay length, maximum depth, number of cranes, terminal area, and annual capacity. Methodologically, a hybrid Multi-Criteria Decision Making (MCDM) approach was employed, incorporating CRITIC for the objective weighting of criteria and SAW and TOPSIS methods for ranking port performances. The findings revealed that the number of cranes (27.10%) and maximum depth (22.96%) were the most distinctive factors in the structural competitiveness of ports. According to the performance ranking, both SAW and TOPSIS results identified the ports of Antwerp-Bruges and Rotterdam as the top two ports with the strongest infrastructure in Europe. The high level of agreement obtained among different ranking methods indicates that the findings are consistent and robust in terms of sensitivity analysis. Moreover, this situation is also supported by the value of 0.9879 for the Spearman Rank Correlation Coefficient. Consequently, it is recommended that port authorities and decision-makers prioritize strategic investments not only in terms of physical space size but also in terms of crane capacity, which increases operational speed, and depth increases suitab</w:t>
      </w:r>
    </w:p>
    <w:p>
      <w:r>
        <w:t>POSSIBLE 2025: Logistics Security in Transport and Decision-making Problems in the Management of European Satellite Resources in Space — https://doi.org/10.54740/ros.2025.063</w:t>
      </w:r>
    </w:p>
    <w:p>
      <w:r>
        <w:t>Shared claim-specific concepts: major, security, process, context; EU scope visible. This is a provisional connection, not an outcome finding.</w:t>
      </w:r>
    </w:p>
    <w:p>
      <w:r>
        <w:t>Available abstract (not full text): The development of space technology and its widespread use for civilian and military purposes are increasing the importance of space for the functioning of modern states, in terms of their security. This article addresses the management of satellite systems in Europe, which underpin the functioning and conduct of business by European economies. The widespread use of satellite services, the use of data and products in the daily lives of citizens, the progress of civilization, and the rising standard of living have led society to become dependent on daily access to technologies and services based on satellite resources. Economic functioning, production, trade in goods and services, and industrial development all rely on space resources. Naturally, the growing importance of space usage has led to an increase in potential threats, both natural and human-induced, stemming from the use of space and the development of anti-satellite (ASAT) capabilities. In this context, ensuring logistical security is a major challenge for all stakeholders interested in using space for various purposes, such as navigation, Earth observation, and communications. This applies to all critical services, from component production and supply, through ground infrastructure, to the maintenance and replacement of orbital components. Environmental protection is an important aspect of replacing worn orbital comp</w:t>
      </w:r>
    </w:p>
    <w:p>
      <w:r>
        <w:t>POSSIBLE 2024: Decision-Making for Human Security in a Complex Crisis — https://doi.org/10.4324/9781003429173-1</w:t>
      </w:r>
    </w:p>
    <w:p>
      <w:r>
        <w:t>Shared claim-specific concepts: decisions, security, used; EU scope not established. This is a provisional connection, not an outcome finding.</w:t>
      </w:r>
    </w:p>
    <w:p>
      <w:r>
        <w:t>Available abstract (not full text): This chapter is the introductory chapter to the book Human Security and Epidemics in Africa: Learning from COVID-19, Ebola and HIV and aims to discuss lessons learned within the framework of human security in Africa. In this chapter, the author identified the book’s central themes as reactivity, coordination, and collaboration and applied decision-making theory to human security. The themes are then used as a framework for analysis and reflection to discover the many lessons that can be learned from Africa on how to shape the future security environment of people living in Africa. A synopsis of chapters from various parts of Africa is then related to the main themes of reactivity, coordination, and collaboration to explain how the people of Africa dealt with and are still dealing with pandemics to secure the well-being of people. The book’s main findings are that in a globalised world, the reality of pandemics, political violence, and natural disasters will always be with us, and resilience is about developing networks and communities of inquiry that allow for personal learning beyond self-imposed boundaries and constraints and to participate in decisions in reaction to challenging circumstances.</w:t>
      </w:r>
    </w:p>
    <w:p>
      <w:r>
        <w:t>POSSIBLE 2023: Risky decision-making in major depressive disorder: A three-level meta-analysis — https://doi.org/10.1016/j.ijchp.2023.100417</w:t>
      </w:r>
    </w:p>
    <w:p>
      <w:r>
        <w:t>Shared claim-specific concepts: making, decisions, major; EU scope visible. This is a provisional connection, not an outcome finding.</w:t>
      </w:r>
    </w:p>
    <w:p>
      <w:r>
        <w:t>Available abstract (not full text): Individuals with major depressive disorder (MDD) are usually observed making inappropriate risky decisions. However, whether and to what extent MDD is associated with impairments in risky decision-making remains unclear. We performed a three-level meta-analysis to explore the relationship between risky decision-making and MDD. We searched the Web of Science, PubMed, Scopus, and PsycINFO databases up to February 7, 2023, and calculated Hedges' g to demonstrate the difference in risky decision-making between MDD patients and healthy controls (HCs). The moderating effect of sample and task characteristics were also revealed. Across 73 effect sizes in 39 cross-sectional studies, MDD patients exhibited greater risk-seeking than HCs (Hedges' g = 0.187, p = .030). Furthermore, age (p = .068), region (p = .005), and task type (p &lt; .001) were found to have moderating effects. Specifically, patients preferred risk-seeking over HCs as age increased. European patients showed significantly increased risk-seeking compared to American and Asian patients. Patients in the Iowa Gambling Task (IGT) exhibited a notable rise in risk-seeking compared to other tasks, along with an increased risk aversion in the Balloon Analogue Risk Task (BART). The multiple-moderator analysis showed that only task type had significant effects, which may be explained by a tentative framework of "operationalization-me</w:t>
      </w:r>
    </w:p>
    <w:p>
      <w:r>
        <w:t>POSSIBLE 2023: Achieving Algorithmic Transparency and Managing Risks of Data Security when Making Decisions without Human Interference: Legal Approaches — https://doi.org/10.21202/jdtl.2023.42</w:t>
      </w:r>
    </w:p>
    <w:p>
      <w:r>
        <w:t>Shared claim-specific concepts: making, decisions, including, security, methods; EU scope visible. This is a provisional connection, not an outcome finding.</w:t>
      </w:r>
    </w:p>
    <w:p>
      <w:r>
        <w:t>Available abstract (not full text): Objective: to compare modern approaches in law to the use of program codes and algorithms in decision-making that meet the principles of transparency and openness, as well as the increasingly stringent requirements for ensuring the security of personal and other big data obtained and processed algorithmically. Methods: the main methods for researching the principle of transparency in algorithmic decision-making were formal-legal and comparative analysis of legal acts and international standards of information security, as well as the principles and legal constructions contained in them. Results: it was determined that the development of information security standardization, inclusion in legal acts of requirements for the development of information technologies that comply with the principles of transparency and openness of applied algorithms will minimize the risks associated with the unlawful processing of users' big data and obtaining information about their privacy. Proposals were identified, related to the implementation of algorithmic transparency in the field of data processing legal regulation. Recommendations were formulated, based on which the legislator can solve the problem of ensuring the openness of the logic of information technology algorithms with regard to modern standards of information security. Scientific novelty: it consists in the substantiation of new tre</w:t>
      </w:r>
    </w:p>
    <w:p>
      <w:r>
        <w:t>POSSIBLE 2023: THE IMPORTANCE OF MP’S PROFILE IN MAKING SECURITY DECISIONS — https://doi.org/10.20544/icp.8.1.23.p30</w:t>
      </w:r>
    </w:p>
    <w:p>
      <w:r>
        <w:t>Shared claim-specific concepts: making, decisions, security, process, used; EU scope visible. This is a provisional connection, not an outcome finding.</w:t>
      </w:r>
    </w:p>
    <w:p>
      <w:r>
        <w:t xml:space="preserve">Available abstract (not full text): In today's world, security issues are an imperative and integral part of the public policies of the modern state and society.As a result of this reality, the profile and role of the Members of Parliament (MPs) in the legislature are constantly evolving.As the MPs have the authority to participate in decisions that directly impact citizen's rights, freedoms, and obligations it is essential for them to possess knowledge in security, defense, intelligence, terrorism, cyber attacks, and geopolitical challenges, in order to qualitatively perceive all aspects of specific issues when making decisions in this domain.Therefore, although there are many factors that influence the MP's decisions, an additional dilemma arises whether formal education, previous work experience, or involvement in security-related organizations would imply added value to the MP's role in the adoption process of more quality decisions in the field of security.This paper aims to compare the constitutional and legal position of the MPs in the Assembly of the Republic of North Macedonia and three member states of the European Union (the Republic of Croatia, the Republic of Slovenia, and the Republic of Italy) concerning their professional education and its impact on making quality decisions, especially in security matters.The normative method, the comparative method and the method of content analysis will be used </w:t>
      </w:r>
    </w:p>
    <w:p>
      <w:r>
        <w:t>POSSIBLE 2022: Disclosures about algorithmic decision making in the corporate reports of Western European companies — https://doi.org/10.1016/j.accinf.2022.100596</w:t>
      </w:r>
    </w:p>
    <w:p>
      <w:r>
        <w:t>Shared claim-specific concepts: making, major, tools; EU scope visible. This is a provisional connection, not an outcome finding.</w:t>
      </w:r>
    </w:p>
    <w:p>
      <w:r>
        <w:t>Available abstract (not full text): Over the last decade, the use of different artificial intelligence (AI) tools has increased. To shed some light on the emerging trend of AI disclosure, the aim of this paper is to analyse the current practices of major Western European companies regarding the automated decision-making (ADM) disclosure in their annual or sustainability reports. This paper proposes a methodology based on bigrams that enables the automatic extraction of the information on ADM that companies disclose. The sample consisted of 962 annual/sustainability reports, published in 2018 and 2019, of 337 companies listed on 13 Western European countries’ stock markets. Our findings show that ADM disclosure is still at an early stage and that the first adopters are mostly companies operating in the financial sector.</w:t>
      </w:r>
    </w:p>
    <w:p>
      <w:r>
        <w:t>POSSIBLE 2021: European Resuscitation Council Guidelines 2021: Ethics of resuscitation and end of life decisions — https://doi.org/10.1016/j.resuscitation.2021.02.017</w:t>
      </w:r>
    </w:p>
    <w:p>
      <w:r>
        <w:t>Shared claim-specific concepts: making, decisions, major; EU scope visible. This is a provisional connection, not an outcome finding.</w:t>
      </w:r>
    </w:p>
    <w:p>
      <w:r>
        <w:t>Available abstract (not full text): These European Resuscitation Council Ethics guidelines provide evidence-based recommendations for the ethical, routine practice of resuscitation and end-of-life care of adults and children. The guideline primarily focus on major ethical practice interventions (i.e. advance directives, advance care planning, and shared decision making), decision making regarding resuscitation, education, and research. These areas are tightly related to the application of the principles of bioethics in the practice of resuscitation and end-of-life care.</w:t>
      </w:r>
    </w:p>
    <w:p>
      <w:r>
        <w:t>POSSIBLE 2021: Vaccination as a Matter of Security and Security Management in European Union — https://doi.org/10.35808/ersj/2729</w:t>
      </w:r>
    </w:p>
    <w:p>
      <w:r>
        <w:t>Shared claim-specific concepts: making, including, security, process, possible; EU scope visible. This is a provisional connection, not an outcome finding.</w:t>
      </w:r>
    </w:p>
    <w:p>
      <w:r>
        <w:t>Available abstract (not full text): Purpose: Due to pandemic Covid-19, health security has grown into a key sectoral security area, and the virus, itself, the threat it carries and the fight against it have been securitized.One of the threads that is securitized is the issue of Sars-CoV-2 vaccination.The research aims to present securitization process on that field using the case of institutions of European Union.Design/Methodology/Approach: The authors analyzes the documents issued or signed by the Health Security Committee and the statements of its representatives regarding the vaccination process, its importance and method of carrying out in terms of the relationship between this issue and ensuring security.Findings: Vaccination against covid-19 is presented as a "security issue" and thus securitized.However, the process has several dimensions, the ways in which it is carried out and the goals that EU decision-makers want to achieve with it.The multi-level narrative and the ubiquitous language of threats make the administration of the dose of the vaccine much more important than just protecting one's own health, for which you can / should change the law, rules of the game and even influence the freedom of economic activity.Practical implications: Making an issue a security issue through the process of effective securitization brings with it a social consent to special (extraordinary) actions by political decis</w:t>
      </w:r>
    </w:p>
    <w:p>
      <w:r>
        <w:t>POSSIBLE 2021: A Security-by-Design Decision-Making Model for Risk Management in Autonomous Vehicles — https://doi.org/10.1109/access.2021.3098675</w:t>
      </w:r>
    </w:p>
    <w:p>
      <w:r>
        <w:t>Shared claim-specific concepts: security, process, methods, used; EU scope not established. This is a provisional connection, not an outcome finding.</w:t>
      </w:r>
    </w:p>
    <w:p>
      <w:r>
        <w:t>Available abstract (not full text): Autonomous/self-driving vehicles have gained significant attention these days, as one of the intelligent transportation systems. However, those vehicles have risks related to their physical implementation and security against cyber threats. Therefore, this study proposes a new security-by-design model for estimating the uncertainty of autonomous vehicles and measuring cyber risks; thus it assists decision-makers in addressing the risks of the physical design and their attack surfaces. The proposed model is developed using neutrosophic sets that efficiently tackle multi-criteria decision-making (MCDM) problems with extensive conflicting criteria and alternatives. The proposed model integrates MCDM, Analytic Hierarchy Process (AHP), Multi-Attributive Border Approximation Area Comparison (MABAC), and Preference Ranking Organization Method for Enrichment Evaluations II (PROMETHEE II), along with single-valued neutrosophic sets (SVNSs). An illustrative case considering ten risks in self-driving vehicles is used to validate the feasibility of the proposed model. Compared to the state-of-the-art methods, the proposed model is considered consistent and reliable to deal with and represent uncertainty and incomplete risk information using neutrosophic sets.</w:t>
      </w:r>
    </w:p>
    <w:p>
      <w:r>
        <w:t>POSSIBLE 2020: Storylines for decision-making: climate and food security in Namibia — https://doi.org/10.1080/17565529.2020.1808438</w:t>
      </w:r>
    </w:p>
    <w:p>
      <w:r>
        <w:t>Shared claim-specific concepts: security, used, possible; EU scope not established. This is a provisional connection, not an outcome finding.</w:t>
      </w:r>
    </w:p>
    <w:p>
      <w:r>
        <w:t>Available abstract (not full text): Storylines are plausible descriptions of past or future events and can be used to characterize uncertainty through discrete possible futures. They thereby bridge the gap between global-scale future projections and local-scale impacts, providing decision-makers with useful information about potential impacts in multivariate systems despite large swathes of missing data. Here we demonstrate the storyline approach using the case of household food security in the Caprivi region of Namibia, an example of a complex system with multiple interacting drivers. We develop a network characterizing influences on household food security, highlighting drivers that are affected by the local weather (with climate understood to constitute the collection of possible weather states). The network is used to understand the storyline leading to household impacts in 2013–14, a consumption year affected by flooding, and the effects of a range of interventions across wealth groups. Counterfactual storylines are also developed to characterize potential impacts under different local and national conditions. Through this we demonstrate how a storyline approach can embed local contextual information to provide decision-makers with comprehensible and assessable information about possible futures and interventions. We highlight the importance of identifying common drivers, in this case the local weather, in p</w:t>
      </w:r>
    </w:p>
    <w:p>
      <w:r>
        <w:t>POSSIBLE 2019: The European guideline on management of major bleeding and coagulopathy following trauma: fifth edition — https://doi.org/10.1186/s13054-019-2347-3</w:t>
      </w:r>
    </w:p>
    <w:p>
      <w:r>
        <w:t>Shared claim-specific concepts: major, including, process, methods; EU scope visible. This is a provisional connection, not an outcome finding.</w:t>
      </w:r>
    </w:p>
    <w:p>
      <w:r>
        <w:t>Available abstract (not full text): Background: Severe traumatic injury continues to present challenges to healthcare systems around the world, and post-traumatic bleeding remains a leading cause of potentially preventable death among injured patients.Now in its fifth edition, this document aims to provide guidance on the management of major bleeding and coagulopathy following traumatic injury and encourages adaptation of the guiding principles described here to individual institutional circumstances and resources.Methods: The pan-European, multidisciplinary Task Force for Advanced Bleeding Care in Trauma was founded in 2004, and the current author group included representatives of six relevant European professional societies.The group applied a structured, evidence-based consensus approach to address scientific queries that served as the basis for each recommendation and supporting rationale.Expert opinion and current clinical practice were also considered, particularly in areas in which randomised clinical trials have not or cannot be performed.Existing recommendations were re-examined and revised based on scientific evidence that has emerged since the previous edition and observed shifts in clinical practice.New recommendations were formulated to reflect current clinical concerns and areas in which new research data have been generated.Results: Advances in our understanding of the pathophysiology of post-traum</w:t>
      </w:r>
    </w:p>
    <w:p>
      <w:pPr>
        <w:pStyle w:val="Heading2"/>
      </w:pPr>
      <w:r>
        <w:t>Animal health aspects of adaptation to climate change: beating the heat and parasites in a warming Europe</w:t>
      </w:r>
    </w:p>
    <w:p>
      <w:r>
        <w:t>Original source (2013): https://doi.org/10.1017/s175173111300075x</w:t>
      </w:r>
    </w:p>
    <w:p>
      <w:r>
        <w:t>Original wording (abstract; indexed_source_text_not_full_document_verified): We investigate the direct and indirect effects of climate change on the epidemiology of important livestock pathogens, with a particular focus on parasitic infections, and the likely animal health consequences associated with selected adaptation options. Adaptation options aimed at taking advantage of new opportunities and/or minimising the risks of negative impacts will, in themselves, have implications for animal health and welfare.</w:t>
      </w:r>
    </w:p>
    <w:p>
      <w:r>
        <w:t>POSSIBLE 2025: Direct and Indirect Regulations for Medical Devices in Europe and Germany — https://doi.org/10.1007/978-3-032-03577-6_14</w:t>
      </w:r>
    </w:p>
    <w:p>
      <w:r>
        <w:t>Shared claim-specific concepts: direct, indirect, aimed; EU scope visible. This is a provisional connection, not an outcome finding.</w:t>
      </w:r>
    </w:p>
    <w:p>
      <w:r>
        <w:t>Available abstract (not full text): The regulation of medical devices plays a crucial role in ensuring the safety and efficacy of medical devices used daily in patient care. This chapter provides a comprehensive overview of the direct and indirect regulation of medical devices in Germany and Europe, focusing on the transition from the Medical Devices Directive (MDD) to the Medical Device Regulation (MDR) and the In Vitro Diagnostic Regulation (IVDR). It highlights the historical context, challenges faced, and the introduction of new regulations aimed at further enhancing safety, performance, and transparency. The chapter also discusses the current regulatory framework, key requirements, and the impact of broader European regulations such as REACH, RoHS, and GDPR on the medical device industry, as well as future developments.</w:t>
      </w:r>
    </w:p>
    <w:p>
      <w:r>
        <w:t>POSSIBLE 2024: Distinct roles of direct and indirect electrification in pathways to a renewables-dominated European energy system — https://doi.org/10.1016/j.oneear.2024.01.015</w:t>
      </w:r>
    </w:p>
    <w:p>
      <w:r>
        <w:t>Shared claim-specific concepts: direct, indirect, climate; EU scope visible. This is a provisional connection, not an outcome finding.</w:t>
      </w:r>
    </w:p>
    <w:p>
      <w:r>
        <w:t>Available abstract (not full text): Renewable electricity can facilitate climate change mitigation in the buildings, industry and transport sector via direct electrification or indirect electrification, that is, converting electricity to hydrogen-based fuels. While direct electrification is generally energy efficient, indirect electrification can partially build upon existing applications and infrastructure. However, their roles and relative importance have not been well researched in mitigation scenarios. Here, we derive plausible ranges for both strategies based on EU climate neutrality scenarios using the REMIND model. We find that by 2050 direct electrification is the dominant strategy with an electricity share of 42%–60% in final energy, while indirect electrification is necessary in hard-to-electrify sectors and contributes a share of 9%–26%. Our analysis highlights that policy makers should respect the distinct sectoral roles of both strategies by fostering an end-use transformation towards direct electrification while prioritizing hydrogen and synthetic fuels for applications where they are indispensable.</w:t>
      </w:r>
    </w:p>
    <w:p>
      <w:r>
        <w:t>POSSIBLE 2024: Contribution of climate change to the spatial expansion of West Nile virus in Europe — https://doi.org/10.1038/s41467-024-45290-3</w:t>
      </w:r>
    </w:p>
    <w:p>
      <w:r>
        <w:t>Shared claim-specific concepts: investigate, direct, climate, health; EU scope visible. This is a provisional connection, not an outcome finding.</w:t>
      </w:r>
    </w:p>
    <w:p>
      <w:r>
        <w:t>Available abstract (not full text): West Nile virus (WNV) is an emerging mosquito-borne pathogen in Europe where it represents a new public health threat. While climate change has been cited as a potential driver of its spatial expansion on the continent, a formal evaluation of this causal relationship is lacking. Here, we investigate the extent to which WNV spatial expansion in Europe can be attributed to climate change while accounting for other direct human influences such as land-use and human population changes. To this end, we trained ecological niche models to predict the risk of local WNV circulation leading to human cases to then unravel the isolated effect of climate change by comparing factual simulations to a counterfactual based on the same environmental changes but a counterfactual climate where long-term trends have been removed. Our findings demonstrate a notable increase in the area ecologically suitable for WNV circulation during the period 1901-2019, whereas this area remains largely unchanged in a no-climate-change counterfactual. We show that the drastic increase in the human population at risk of exposure is partly due to historical changes in population density, but that climate change has also been a critical driver behind the heightened risk of WNV circulation in Europe.</w:t>
      </w:r>
    </w:p>
    <w:p>
      <w:r>
        <w:t>POSSIBLE 2024: Direct and lagged climate change effects intensified the 2022 European drought — https://doi.org/10.1038/s41561-024-01559-2</w:t>
      </w:r>
    </w:p>
    <w:p>
      <w:r>
        <w:t>Shared claim-specific concepts: direct, climate, likely, consequences, associated; EU scope visible. This is a provisional connection, not an outcome finding.</w:t>
      </w:r>
    </w:p>
    <w:p>
      <w:r>
        <w:t>Available abstract (not full text): Abstract In 2022, Europe faced an extensive summer drought with severe socio-economic consequences. By combining observations and climate model outputs with hydrological and land-surface simulations, we show that central and southern Europe experienced the highest observed total water storage deficit since satellite observations began in 2002, likely representing the highest and most widespread soil moisture deficit in the last six decades. While precipitation deficits primarily drove the soil moisture drought, human-induced global warming contributed to over 30% of the drought intensity and its spatial extent via enhancing evaporation. We identify that 14-41% of the climate change contribution was mediated by the warming that started to dry out the soil before the hydrological year 2022, indicating the importance of considering lagged effects of climate change to avoid underestimating associated risks. Qualitatively similar effects were observed in river discharges. These results highlight that global warming effects on droughts are already underway, widespread and long-lasting, and that drought risk may escalate with further human-induced warming in the future.</w:t>
      </w:r>
    </w:p>
    <w:p>
      <w:r>
        <w:t>POSSIBLE 2023: The Direct and Indirect Influences of Interrelated Regional-Level Sociodemographic Factors on Heat-Attributable Mortality in Europe: Insights for Adaptation Strategies — https://doi.org/10.1289/ehp11766</w:t>
      </w:r>
    </w:p>
    <w:p>
      <w:r>
        <w:t>Shared claim-specific concepts: direct, indirect, climate, health, adaptation; EU scope visible. This is a provisional connection, not an outcome finding.</w:t>
      </w:r>
    </w:p>
    <w:p>
      <w:r>
        <w:t>Available abstract (not full text): BACKGROUND: Heat is a significant cause of mortality, but impact patterns are heterogenous. Previous studies assessing such heterogeneity focused exclusively on risk rather than heat-attributable mortality burdens and assume predictors are independent. OBJECTIVES: We assessed how four interrelated regional-level sociodemographic predictors-education, life expectancy, the ratio of older to younger people (aging index), and relative income-influence heterogeneity in heat-attributable mortality burdens in Europe and then derived insights into adaptation strategies. METHODS: We extracted four outcomes from a temperature-mortality study covering 16 European countries: the rate of increase in mortality risk at moderate and extreme temperatures (moderate and extreme slope, respectively), the minimum mortality temperature percentile (MMTP), and the underlying mortality rate. We used structural equation modeling with country-level random effects to quantify the direct and indirect influences of the predictors on the outcomes. RESULTS: ). Relative income had relatively small, mixed influences. DISCUSSION: Our novel approach provided insights into actions for reducing the health impacts of heat. First, the results show the interrelations between possible vulnerability-generating mechanisms and suggest future research directions. Second, the findings point to the need for a dual approach t</w:t>
      </w:r>
    </w:p>
    <w:p>
      <w:r>
        <w:t>POSSIBLE 2022: Direct and indirect effects of universities on European regional productivity — https://doi.org/10.1111/pirs.12698</w:t>
      </w:r>
    </w:p>
    <w:p>
      <w:r>
        <w:t>Shared claim-specific concepts: direct, indirect; EU scope visible. This is a provisional connection, not an outcome finding.</w:t>
      </w:r>
    </w:p>
    <w:p>
      <w:r>
        <w:t>Available abstract (not full text): Universities are fundamental in driving economic performance as they generate human capital, research and knowledge diffusion. We propose a novel analysis by investigating their effects on European regions' total factor productivity (TFP) over the period 2000–2016. We distinguish between direct effects, due to universities societal role (“third mission”), and indirect ones originating from human and technological capital creation. Our contribution is threefold. First and foremost, we provide evidence that the presence of universities has a sizeable impact on regional TFP. Second, this impact spreads across regional boundaries. Third, universities effectively drive human and technological capital growth, thus indirectly fostering productivity enhancements.</w:t>
      </w:r>
    </w:p>
    <w:p>
      <w:r>
        <w:t>POSSIBLE 2022: Direct and indirect effect of European Uniondirectives in the context of European UnionCourt of Justice decisions — https://doi.org/10.46925//rdluz.38.06</w:t>
      </w:r>
    </w:p>
    <w:p>
      <w:r>
        <w:t>Shared claim-specific concepts: direct, indirect, particular; EU scope visible. This is a provisional connection, not an outcome finding.</w:t>
      </w:r>
    </w:p>
    <w:p>
      <w:r>
        <w:t>Available abstract (not full text): The objective of this article is to analyze the direct effect of EU directives in vertical and horizontal legal relationships as well as theindirect effect of EU directivesin the context of EU Court of Justice decisions. In particular, attention is paid to the study of the consolidated legal positions regarding the possibility of the “verticaldirecteffect”, “horizontaldirecteffect” and “indirect effect”of EU directives.Dialectical, comparative-legal, historical, and formal dogmatic methods were used in the research.As the resultof analyzewas made the conclusion that the EU directives, which are used by national courts to fulfill their obligations regarding the respective interpretation, can not be considered with direct effect, because in such disputes they serve as a means of determiningthe scope of other legal provisions that the national court treats or interprets. In such situations, the directive may be applied in cases indirectly, that is, by virtue of another (national) provision, as interpreted.</w:t>
      </w:r>
    </w:p>
    <w:p>
      <w:r>
        <w:t>POSSIBLE 2022: Investigating the Effects of Climate Change on Structural Actions — https://doi.org/10.1080/10168664.2022.2098894</w:t>
      </w:r>
    </w:p>
    <w:p>
      <w:r>
        <w:t>Shared claim-specific concepts: investigate, direct, indirect, climate, likely, consequences; EU scope visible. This is a provisional connection, not an outcome finding.</w:t>
      </w:r>
    </w:p>
    <w:p>
      <w:r>
        <w:t>Available abstract (not full text): The changing climate with resulting more extreme weather events will likely impact infrastructure assets and services. This phenomenon can present direct threats to the assets as well as significant indirect effects for those relying on the services those assets deliver. Such threats are path-dependent and place-specific, as they strongly depend on current and future climate variability, location, asset design life, function and condition. One key question is how climate change is likely to increase both the probability and magnitude of extreme weather events under different scenarios of climate change. To address this issue, this paper investigates selected effects of climate change and their consequences on structural performance, in the context of evolving loading scenarios in three different continental regions: Europe, North America, and Asia. The aim is to investigate some main place-specific changes of the exposure in terms of intensity/frequency of extreme events as well as the associated challenges, considering some recent activities of members of the IABSE TG6.1. Climate change can significantly affect built infrastructure and the society by increasing the occurrence and magnitude of extreme events and increasing potential losses. Therefore, specific relationships relating hazard levels and structural vulnerability to climate change effects should be determined.</w:t>
      </w:r>
    </w:p>
    <w:p>
      <w:r>
        <w:t>POSSIBLE 2021: Investigating direct and indirect globalization-based acculturation — https://doi.org/10.1016/j.ijintrel.2021.07.012</w:t>
      </w:r>
    </w:p>
    <w:p>
      <w:r>
        <w:t>Shared claim-specific concepts: direct, indirect, associated; EU scope not established. This is a provisional connection, not an outcome finding.</w:t>
      </w:r>
    </w:p>
    <w:p>
      <w:r>
        <w:t xml:space="preserve">Available abstract (not full text): Cultural globalization affects most people around the world in contemporary, modern societies. The resulting intercultural contact have been examined using the theory of globalization-based acculturation. However, little is known about possible differences and similarities in processes underlying the effects of direct (e.g., through contact with immigrants) and indirect (e.g., engagement with cultural elements through media) forms of new cultural exposure. Drawing on the contact hypothesis, social identity theory, and symbolic threat theory, we examined whether perceived intercultural threat and local and global identities would explain whether both forms of contact result in multicultural acquisition or in ethnic protection. In Study 1 (N = 402), indirect, but not direct, intercultural contact was positively associated with multicultural acquisition; and both types of intercultural contact were negatively linked with ethnic protection. Global identity significantly mediated the association of both direct and indirect intercultural contact with both multicultural acquisition and ethnic protection, whereas perceived cultural threat only significantly mediated the associations of direct intercultural contact with multicultural acquisition and ethnic protection. In Study 2 (N = 424), higher levels of ethnic protection, and lower levels of multicultural acquisition, emerged in the </w:t>
      </w:r>
    </w:p>
    <w:p>
      <w:r>
        <w:t>POSSIBLE 2021: Effect of Climate Change on Introduced and Native Agricultural Invasive Insect Pests in Europe — https://doi.org/10.3390/insects12110985</w:t>
      </w:r>
    </w:p>
    <w:p>
      <w:r>
        <w:t>Shared claim-specific concepts: climate, important; EU scope visible. This is a provisional connection, not an outcome finding.</w:t>
      </w:r>
    </w:p>
    <w:p>
      <w:r>
        <w:t>Available abstract (not full text): Climate change and invasive species are major environmental issues facing the world today. They represent the major threats for various types of ecosystems worldwide, mainly managed ecosystems such as agriculture. This study aims to examine the link between climate change and the biological invasion of insect pest species. Increased international trade systems and human mobility have led to increasing introduction rates of invasive insects while climate change could decrease barriers for their establishment and distribution. To mitigate environmental and economic damage it is important to understand the biotic and abiotic factors affecting the process of invasion (transport, introduction, establishment, and dispersal) in terms of climate change. We highlight the major biotic factors affecting the biological invasion process: diet breadth, phenological plasticity, and lifecycle strategies. Finally, we present alien insect pest invasion management that includes prevention, eradication, and assessment of the biological invasion in the form of modelling prediction tools.</w:t>
      </w:r>
    </w:p>
    <w:p>
      <w:r>
        <w:t>POSSIBLE 2021: Climate Change and Glacier Reaction in the European Alps — https://doi.org/10.1093/acrefore/9780190228620.013.763</w:t>
      </w:r>
    </w:p>
    <w:p>
      <w:r>
        <w:t>Shared claim-specific concepts: direct, climate, important, particular; EU scope visible. This is a provisional connection, not an outcome finding.</w:t>
      </w:r>
    </w:p>
    <w:p>
      <w:r>
        <w:t xml:space="preserve">Available abstract (not full text): Abstract Glaciers are probably the most obvious features of Earth’s changing climate. They enable one to see the effects of a warming or a cooling of the atmosphere by landscape changes on time scales short enough to be perceived or recognized by humans. However, the relationship between a retreating and advancing glacier and the climate is not linear, as glacier flow can filter the direct signal of the climate. Thus, glaciers can advance during periods of warming or, vice versa, retreat during periods of cooling. In fact, it is the mass change of the glacier (i.e., the mass balance) that directly links the glacier reaction to an atmospheric signal. The mechanism-based understanding of the relationship between the changing climate and glacier reaction received important and significant momentum from the science of the Alpine region. This strong momentum from the Alps has to do with the well-established science tradition in Europe in the 19th and beginning of the 20th century, which resulted in a series of important inventions to measure climate and glacier properties. Even at that time, knowledge was gained that is still valid in the early 21st century (e.g., the climate is changing and fluctuating; glacier changes are caused by changing climate; and the ice age was the result of shifting climate). Above all others, Albrecht Penck and Eduard Brückner were the key scientists in </w:t>
      </w:r>
    </w:p>
    <w:p>
      <w:r>
        <w:t>POSSIBLE 2020: Investigating the direct and indirect effects of forest fragmentation on plant functional diversity — https://doi.org/10.1371/journal.pone.0235210</w:t>
      </w:r>
    </w:p>
    <w:p>
      <w:r>
        <w:t>Shared claim-specific concepts: direct, indirect; EU scope not established. This is a provisional connection, not an outcome finding.</w:t>
      </w:r>
    </w:p>
    <w:p>
      <w:r>
        <w:t>Available abstract (not full text): Ongoing habitat loss and fragmentation alter the functional diversity of forests. Generalising the magnitude of change in functional diversity of fragmented landscapes and its drivers is challenging because of the multiple scales at which landscape fragmentation takes place. Here we propose a multi-scale approach to determine whether fragmentation processes at the local and landscape scales are reducing functional diversity of trees in the East Usambara Mountains, Tanzania. We employ a structural equation modelling approach using five key plant traits (seed length, dispersal mode, shade tolerance, maximum tree height, and wood density) to better understand the functional responses of trees to fragmentation at multiple scales. Our results suggest both direct and indirect effects of forest fragmentation on tree functional richness, evenness and divergence. A reduction in fragment area appears to exacerbate the negative effects resulting from an increased amount of edge habitat and loss of shape complexity, further reducing richness and evenness of traits related to resource acquisition and favouring tree species with fast growth. As anthropogenic disturbances affect forests around the world, we advocate to include the direct and indirect effects of forest fragmentation processes to gain a better understanding of shifts in functional diversity that can inform future management eff</w:t>
      </w:r>
    </w:p>
    <w:p>
      <w:pPr>
        <w:pStyle w:val="Heading2"/>
      </w:pPr>
      <w:r>
        <w:t>Application of the UK Foresight Obesity Model in Ireland: The Health and Economic Consequences of Projected Obesity Trends in Ireland</w:t>
      </w:r>
    </w:p>
    <w:p>
      <w:r>
        <w:t>Original source (2013): https://doi.org/10.1371/journal.pone.0079827</w:t>
      </w:r>
    </w:p>
    <w:p>
      <w:r>
        <w:t>Original wording (abstract; indexed_source_text_not_full_document_verified): The direct healthcare costs associated with these increases will amount to €5.4 billion by 2030. A 5% reduction in population BMI levels by 2030 is projected to result in €495 million less being spent in obesity-related direct healthcare costs over twenty years.</w:t>
      </w:r>
    </w:p>
    <w:p>
      <w:r>
        <w:t>POSSIBLE 2025: Comparative Analysis of Direct Costs of Cancer and Risk Factors in Europe — https://doi.org/10.24818/ejis.2025.03</w:t>
      </w:r>
    </w:p>
    <w:p>
      <w:r>
        <w:t>Shared claim-specific concepts: direct, healthcare, associated; EU scope visible. This is a provisional connection, not an outcome finding.</w:t>
      </w:r>
    </w:p>
    <w:p>
      <w:r>
        <w:t>Available abstract (not full text): This study explores the direct costs and risk factors associated with cancer across European Union member states, emphasizing the economic and public health implications. A Cancer Risk Factors Index (CRFI) is developed to quantify and compare the impact of various determinants, including obesity, smoking, alcohol consumption, socioeconomic conditions, and pollution. Using data from Eurostat and other authoritative sources, we analyze the correlation between CRFI scores, healthcare expenditures, and cancer mortality rates. Results reveal significant disparities in cancer risk factors and healthcare investments across countries, with lower CRFI scores generally associated with higher healthcare spending and improved outcomes. The findings underscore the importance of comprehensive public health strategies and targeted interventions to address modifiable risk factors, reduce cancer-related mortality, and promote equitable healthcare access.</w:t>
      </w:r>
    </w:p>
    <w:p>
      <w:r>
        <w:t>POSSIBLE 2024: Modelling costs of interventional pulmonary embolism treatment: implications of US trends for a European healthcare system — https://doi.org/10.1093/ehjacc/zuae019</w:t>
      </w:r>
    </w:p>
    <w:p>
      <w:r>
        <w:t>Shared claim-specific concepts: healthcare, result, million; EU scope visible. This is a provisional connection, not an outcome finding.</w:t>
      </w:r>
    </w:p>
    <w:p>
      <w:r>
        <w:t>Available abstract (not full text): AIMS: Catheter-directed treatment (CDT) of acute pulmonary embolism (PE) is entering a growth phase in Europe following a steady increase in the USA in the past decade, but the potential economic impact on European healthcare systems remains unknown. METHODS AND RESULTS: We built two statistical models for the monthly trend of proportion of CDT among patients with severe (intermediate- or high-risk) PE in the USA. The conservative model was based on admission data from the National Inpatient Sample (NIS) 2016-20 and the model reflecting increasing access to advanced treatment from the PERT™ national quality assurance database registry 2018-21. By applying these models to the forecast of annual PE-related hospitalizations in Germany, we calculated the annual number of severe PE cases and the expected increase in CDT use for the period 2025-30. The NIS-based model yielded a slow increase, reaching 3.1% (95% confidence interval 3.0-3.2%) among all hospitalizations with PE in 2030; in the PERT-based model, increase would be steeper, reaching 8.7% (8.3-9.2%). Based on current reimbursement rates, we estimated an increase of annual costs for PE-related hospitalizations in Germany ranging from 15.3 to 49.8 million euros by 2030. This calculation does not account for potential cost savings, including those from reduced length of hospital stay. CONCLUSION: Our approach and results, whic</w:t>
      </w:r>
    </w:p>
    <w:p>
      <w:r>
        <w:t>POSSIBLE 2023: DIRECT HOSPITAL COSTS PER CASE FOR PERIPROSTHETHIC HIP AND KNEE JOINT INFECTION IN EUROPE: A SYSTEMATIC REVIEW — https://doi.org/10.1302/1358-992x.2023.17.052</w:t>
      </w:r>
    </w:p>
    <w:p>
      <w:r>
        <w:t>Shared claim-specific concepts: direct, healthcare, associated, population; EU scope visible. This is a provisional connection, not an outcome finding.</w:t>
      </w:r>
    </w:p>
    <w:p>
      <w:r>
        <w:t>Available abstract (not full text): Aim The number of periprosthetic joint infections (PJI) is increasing due to ageing population and increasing numbers of arthroplasty procedures and treatment is costly. Aim of the study was to analyze the direct healthcare costs of PJI in Europe for total hip arthroplasties (THA) and total knee arthroplasties (TKA). Method A systematic review in PubMed with search of direct costs of PJI in European countries was performed. Thereby the term cost* AND (infection OR PJI) AND (prosthesis OR knee OR hip OR “TKA” OR “THA” OR arthroplast*) was combined with each European country to detect relevant publications. Publications with definition of performed procedure and joint localization were included into further analysis. The mean value of direct healthcare cost was calculated for the respective joint and the respective operation performed. Results Screening revealed 1,274 eligible publications. After review of abstracts and full-texts n=11 manuscripts were included into final analysis (Figure 1). The mean combined direct hospital costs for revision for PJI after TKA and THA was 26,311€. Mean costs for revision procedures for PJI after TKA were 24,617€. Direct costs for TKA-PJI treated with debridement, antibiotics and implant retention (DAIR) were on average 10,121€. For two-stage revisions in knee arthroplasties total average costs were 30,829€. Referring to revision surgery for PJI</w:t>
      </w:r>
    </w:p>
    <w:p>
      <w:r>
        <w:t>POSSIBLE 2022: Healthcare resource utilisation and medical costs for children with interstitial lung diseases (chILD) in Europe — https://doi.org/10.1136/thoraxjnl-2021-217751</w:t>
      </w:r>
    </w:p>
    <w:p>
      <w:r>
        <w:t>Shared claim-specific concepts: direct, healthcare, associated; EU scope visible. This is a provisional connection, not an outcome finding.</w:t>
      </w:r>
    </w:p>
    <w:p>
      <w:r>
        <w:t>Available abstract (not full text): BACKGROUND: No data on healthcare utilisation and associated costs for the many rare entities of children's interstitial lung diseases (chILD) exist. This paper portrays healthcare utilisation structures among individuals with chILD, provides a pan-European estimate of a 3-month interval per-capita costs and delineates crucial cost drivers. METHODS: Based on longitudinal healthcare resource utilisation pattern of 445 children included in the Kids Lung Register diagnosed with chILD across 10 European countries, we delineated direct medical and non-medical costs of care per 3-month interval. Country-specific utilisation patterns were assessed with a children-tailored modification of the validated FIMA questionnaire and valued by German unit costs. Costs of care and their drivers were subsequently identified via gamma-distributed generalised linear regression models. RESULTS: During the 3 months prior to inclusion into the registry (baseline), the rate of hospital admissions and inpatient days was high. Unadjusted direct medical per capita costs (€19 818) exceeded indirect (€1 907) and direct non-medical costs (€1 125) by far. Country-specific total costs ranged from €8 713 in Italy to €28 788 in Poland. Highest expenses were caused by the disease categories 'diffuse parenchymal lung disease (DPLD)-diffuse developmental disorders' (€45 536) and 'DPLD-unclear in the non-neonate' (€</w:t>
      </w:r>
    </w:p>
    <w:p>
      <w:r>
        <w:t>POSSIBLE 2022: Direct healthcare costs of Rome IV or Rome III ‐defined irritable bowel syndrome in the United Kingdom — https://doi.org/10.1111/apt.16939</w:t>
      </w:r>
    </w:p>
    <w:p>
      <w:r>
        <w:t>Shared claim-specific concepts: direct, healthcare, billion; EU scope not established. This is a provisional connection, not an outcome finding.</w:t>
      </w:r>
    </w:p>
    <w:p>
      <w:r>
        <w:t>Available abstract (not full text): BACKGROUND: Previous studies have demonstrated a substantial economic impact of irritable bowel syndrome (IBS). AIMS: To provide contemporaneous estimates of direct healthcare costs of IBS in the United Kingdom. METHODS: We collected demographic, gastrointestinal and psychological symptoms, quality of life and healthcare usage data from adults with Rome IV or Rome III IBS in the United Kingdom. We calculated the mean annual direct healthcare costs of IBS per person and used contemporaneous IBS prevalence data, together with census data, to estimate annual direct costs of IBS. We also examined predictors of higher costs. RESULTS: The mean annual direct cost of IBS per person among 752 individuals with Rome IV IBS was £556.65 (SD £1023.92) and £474.16 (SD £897.86) for 995 individuals with Rome III IBS. We estimate the annual direct healthcare cost of IBS in the United Kingdom is £1.27 billion if the Rome IV criteria are used to define IBS, and £2.07 billion using Rome III. Among individuals with Rome IV IBS, mean annual costs were higher in those with opiate use (£907.90 vs £470.58, p &lt; 0.001), more severe symptoms (p &lt; 0.001 for trend), a shorter duration of IBS (1 year, £1227.14 vs &gt;5 years £501.60, p = 0.002), lower quality of life (p &lt; 0.001 for trend), and higher depression, somatisation and gastrointestinal symptom-specific anxiety scores (P &lt; 0.001 for trend for all). CONC</w:t>
      </w:r>
    </w:p>
    <w:p>
      <w:r>
        <w:t>POSSIBLE 2021: Direct healthcare costs of lip, oral cavity and oropharyngeal cancer in Brazil — https://doi.org/10.1371/journal.pone.0246475</w:t>
      </w:r>
    </w:p>
    <w:p>
      <w:r>
        <w:t>Shared claim-specific concepts: direct, healthcare, associated, million, spent, over; EU scope not established. This is a provisional connection, not an outcome finding.</w:t>
      </w:r>
    </w:p>
    <w:p>
      <w:r>
        <w:t>Available abstract (not full text): The efficiency of public policies includes the measurement of the health resources used and their associated costs. There is a lack of studies evaluating the economic impact of oral cancer (OC). This study aims to estimate the healthcare costs of OC in Brazil from 2008 to 2016. This is a partial economic evaluation using the gross costing top-down method, considering the direct healthcare costs related to outpatients, inpatients, intensive care units, and the number of procedures, from the perspective of the public health sector. The data were extracted from the Outpatient and Inpatient Information System of the National Health System, by diagnosis according to the 10th Revision of the International Classification of Diseases, according to sites of interest: C00 to C06, C09 and C10. The values were adjusted for annual accumulated inflation and expressed in 2018 I$ (1 I$ = R$2,044). Expenditure on OC healthcare in Brazil was I$495.6 million, which was composed of 50.8% (I$251.6 million) outpatient and 49.2% (I$244.0 million) inpatient healthcare. About 177,317 admissions and 6,224,236 outpatient procedures were registered. Chemotherapy and radiotherapy comprised the largest number of procedures (88.8%) and costs (94.9%). Most of the costs were spent on people over 50 years old (72.9%) and on males (75.6%). Direct healthcare costs in Brazil for OC are substantial. Outpatient proc</w:t>
      </w:r>
    </w:p>
    <w:p>
      <w:r>
        <w:t>POSSIBLE 2020: Real‐world data for direct stage‐specific costs of melanoma healthcare — https://doi.org/10.1111/bjd.18896</w:t>
      </w:r>
    </w:p>
    <w:p>
      <w:r>
        <w:t>Shared claim-specific concepts: direct, healthcare, population; EU scope visible. This is a provisional connection, not an outcome finding.</w:t>
      </w:r>
    </w:p>
    <w:p>
      <w:r>
        <w:t>Available abstract (not full text): Dear Editor, In Europe, melanoma is the fourth most common cancer diagnosed in young adults (20–45 years old).1 It also has one of the fastest‐growing incidence rates globally, and this trend is expected to continue in all European countries.2 Thus, and also due to the costly new treatment options available, the economic burden of this illness is expected to keep increasing as well.3 In times of limited resources, evidence of the cost of a disease should be among the main pillars supporting policymakers. Thus, we aimed to provide a detailed estimate of the real‐world, stage‐specific, direct healthcare costs of melanoma from the perspective of the Italian National Healthcare Service, to enable policymakers to draw comparisons and make decisions regarding the allocation of public resources in this era of promising, but expensive, novel pharmacological strategies. We considered 599 cases of melanoma diagnosed in 2015 in four provinces of the Veneto region. Melanomas of unknown thickness at diagnosis (39 patients) were disregarded. We considered the costs of delivering care to patients from the first suspicion of pathology until the end of the second year after the diagnosis, stratified by cost item and tumour–nodes–metastasis (TNM) stage of melanoma at diagnosis, in two ways. We calculated firstly, overall costs (including all the health expenditures of a given patient) and second</w:t>
      </w:r>
    </w:p>
    <w:p>
      <w:r>
        <w:t>POSSIBLE 2020: Estimate of Burden and Direct Healthcare Cost of Infectious Waterborne Disease in the United States — https://doi.org/10.3201/eid2701.190676</w:t>
      </w:r>
    </w:p>
    <w:p>
      <w:r>
        <w:t>Shared claim-specific concepts: direct, healthcare, billion, million; EU scope not established. This is a provisional connection, not an outcome finding.</w:t>
      </w:r>
    </w:p>
    <w:p>
      <w:r>
        <w:t>Available abstract (not full text): Provision of safe drinking water in the United States is a great public health achievement. However, new waterborne disease challenges have emerged (e.g., aging infrastructure, chlorine-tolerant and biofilm-related pathogens, increased recreational water use). Comprehensive estimates of the health burden for all water exposure routes (ingestion, contact, inhalation) and sources (drinking, recreational, environmental) are needed. We estimated total illnesses, emergency department (ED) visits, hospitalizations, deaths, and direct healthcare costs for 17 waterborne infectious diseases. About 7.15 million waterborne illnesses occur annually (95% credible interval [CrI] 3.88 million-12.0 million), results in 601,000 ED visits (95% CrI 364,000-866,000), 118,000 hospitalizations (95% CrI 86,800-150,000), and 6,630 deaths (95% CrI 4,520-8,870) and incurring US $3.33 billion (95% CrI 1.37 billion-8.77 billion) in direct healthcare costs. Otitis externa and norovirus infection were the most common illnesses. Most hospitalizations and deaths were caused by biofilm-associated pathogens (nontuberculous mycobacteria, Pseudomonas, Legionella), costing US $2.39 billion annually.</w:t>
      </w:r>
    </w:p>
    <w:p>
      <w:r>
        <w:t>POSSIBLE 2019: Costs of irritable bowel syndrome in European countries with universal healthcare coverage: a meta-analysis. — https://doi.org/10.26355/eurrev_201904_17580</w:t>
      </w:r>
    </w:p>
    <w:p>
      <w:r>
        <w:t>Shared claim-specific concepts: direct, healthcare, billion, population; EU scope visible. This is a provisional connection, not an outcome finding.</w:t>
      </w:r>
    </w:p>
    <w:p>
      <w:r>
        <w:t>Available abstract (not full text): OBJECTIVE: To provide an overall estimate of the direct, indirect and total costs of irritable bowel syndrome (IBS) for the adult population of the European countries with universal healthcare coverage. MATERIALS AND METHODS: We searched MedLine and Scopus databases (up to September 2018) to identify the European studies that evaluated the economic impact of IBS. Mean annual direct, indirect and total per-capita IBS costs were estimated using random-effect single-group meta-analyses of continuous data. All analyses were stratified by payer category (governments, insurance, societal), and the results were expressed as summary mean and 95% CI. RESULTS: A total of 24 studies were included in the meta-analyses. Only two studies evaluated IBS costs in Italy. The pooled summary of direct IBS per-capita cost, obtained from 23 European datasets (n=15,157), was €1837/year (95% CI: 1480-2195), with large differences across payers (from €1183 to €3358, in countries with publicly-funded and insurance-based health systems, respectively). The mean indirect cost, extracted from 13 datasets (n=3978), was €2314/year (95% CI: 1811-2817), again with wide differences across payers. Finally, the meta-analysis estimating the total annual cost, based upon 11 European datasets (n=2757), yielded a summary estimate of €2889/year (95% CI: 2318-3460) per patient, ranging from €1602 (insurance-based health</w:t>
      </w:r>
    </w:p>
    <w:p>
      <w:r>
        <w:t>POSSIBLE 2019: Direct healthcare costs of spinal disorders in Brazil — https://doi.org/10.1007/s00038-019-01211-6</w:t>
      </w:r>
    </w:p>
    <w:p>
      <w:r>
        <w:t>Shared claim-specific concepts: direct, healthcare; EU scope not established. This is a provisional connection, not an outcome finding.</w:t>
      </w:r>
    </w:p>
    <w:p>
      <w:r>
        <w:t>Available abstract (not full text): Unavailable</w:t>
      </w:r>
    </w:p>
    <w:p>
      <w:r>
        <w:t>POSSIBLE 2019: Direct healthcare costs of sedentary behaviour in the UK — https://doi.org/10.1136/jech-2018-211758</w:t>
      </w:r>
    </w:p>
    <w:p>
      <w:r>
        <w:t>Shared claim-specific concepts: direct, healthcare, associated, increases, billion, population; EU scope not established. This is a provisional connection, not an outcome finding.</w:t>
      </w:r>
    </w:p>
    <w:p>
      <w:r>
        <w:t>Available abstract (not full text): BACKGROUND: Growing evidence indicates that prolonged sedentary behaviour increases the risk of several chronic health conditions and all-cause mortality. Sedentary behaviour is prevalent among adults in the UK. Quantifying the costs associated with sedentary behaviour is an important step in the development of public health policy. METHODS: National Health Service (NHS) costs associated with prolonged sedentary behaviour (≥6 hours/day) were estimated over a 1-year period in 2016-2017 costs. We calculated a population attributable fraction (PAF) for five health outcomes (type 2 diabetes, cardiovascular disease [CVD], colon cancer, endometrial cancer and lung cancer). Adjustments were made for potential double-counting due to comorbidities. We also calculated the avoidable deaths due to prolonged sedentary behaviour using the PAF for all-cause mortality. RESULTS: The total NHS costs attributable to prolonged sedentary behaviour in the UK in 2016-2017 were £0.8 billion, which included expenditure on CVD (£424 million), type 2 diabetes (£281 million), colon cancer (£30 million), lung cancer (£19 million) and endometrial cancer (£7 million). After adjustment for potential double-counting, the estimated total was £0.7 billion. If prolonged sedentary behaviour was eliminated, 69 276 UK deaths might have been avoided in 2016. CONCLUSIONS: In this conservative estimate of direct health</w:t>
      </w:r>
    </w:p>
    <w:p>
      <w:r>
        <w:t>POSSIBLE 2018: Direct healthcare cost of schizophrenia – European overview — https://doi.org/10.1016/j.eurpsy.2017.10.008</w:t>
      </w:r>
    </w:p>
    <w:p>
      <w:r>
        <w:t>Shared claim-specific concepts: direct, healthcare, less; EU scope visible. This is a provisional connection, not an outcome finding.</w:t>
      </w:r>
    </w:p>
    <w:p>
      <w:r>
        <w:t>Available abstract (not full text): PURPOSE: To provide an overview on the magnitude of the impact of schizophrenia on the healthcare system in Europe and to gain a better understanding on the most important factors influencing the variation of costs. METHODS: Studies reporting costs and healthcare utilization among patients with schizophrenia were searched in MEDLINE (via Scopus), EMBASE (via Scopus) and Cochrane Database of Systematic Reviews on 19th January 2017. RESULTS: Twenty-three studies, from the 1075 references initially identified, were included in this review. The annual cost per patient ranged from €533 in Ukraine to €13,704 in the Netherlands. Notably drug costs contributed to less than 25% of the direct healthcare cost per patient in every country, which might be explained by similar pharmaceutical prices among countries due to the reference pricing system applied in Europe. Inpatient costs were the largest component of health service costs in the majority of the countries. Despite methodological heterogeneity across studies, four major themes could be identified (age, severity of symptoms, continuation of treatment/persistence, hospitalization) that have substantial impact on the costs of schizophrenia. CONCLUSIONS: Schizophrenia represents a substantial cost for the healthcare system in Europe driven by the high cost per patient. Substantial savings could potentially be achieved by increasing inv</w:t>
      </w:r>
    </w:p>
    <w:p>
      <w:pPr>
        <w:pStyle w:val="Heading2"/>
      </w:pPr>
      <w:r>
        <w:t>Climate change, extreme weather events, air pollution and respiratory health in Europe</w:t>
      </w:r>
    </w:p>
    <w:p>
      <w:r>
        <w:t>Original source (2013): https://doi.org/10.1183/09031936.00074712</w:t>
      </w:r>
    </w:p>
    <w:p>
      <w:r>
        <w:t>Original wording (abstract; indexed_source_text_not_full_document_verified): Due to climate change and other factors, air pollution patterns are changing in several urbanised areas of the world, with a significant effect on respiratory health both independently and synergistically with weather conditions; climate scenarios show Europe as one of the most vulnerable regions.</w:t>
      </w:r>
    </w:p>
    <w:p>
      <w:r>
        <w:t>POSSIBLE 2026: The temperature increase due to climate change will not favour Cydalima perspectalis in southern Europe — https://doi.org/10.1017/s0007485326100911</w:t>
      </w:r>
    </w:p>
    <w:p>
      <w:r>
        <w:t>Shared claim-specific concepts: due, climate, patterns, conditions, show; EU scope visible. This is a provisional connection, not an outcome finding.</w:t>
      </w:r>
    </w:p>
    <w:p>
      <w:r>
        <w:t>Available abstract (not full text): Abstract Native boxwood across Europe has been destroyed by the invasive moth Cydalima perspectalis . To date, climatic conditions and natural enemies have not been able to contain the pests. Increases in temperature due to climate change (CC) may affect insect development and voltinism, with species-specific effects. Its spread across European countries indicates that the expansion of C. perspectalis is not limited by cold winters. However, in southern Europe, rising maximum temperatures can affect pests and their host plants. Despite this, the effects of high temperatures on herbivorous pests have been studied far less extensively than those of low temperatures. Our results show that elevated temperatures accelerate egg development but prolong larval development, reduce adult longevity and fertility, and substantially increase mortality across the egg, larval, and pupal stages. These findings indicate that spring–summer temperatures in the Mediterranean Basin are approaching the upper thermal limits of this species and that further warming is unlikely to facilitate its expansion in this region. Although high temperatures did not reduce diapause induction, they increased larval mortality, and field monitoring showed that altitude, more than thermal time, dominated the patterns of first-flight emergence. Habitat orientation (North or South) may further mediate pest–host coexist</w:t>
      </w:r>
    </w:p>
    <w:p>
      <w:r>
        <w:t>POSSIBLE 2026: The obstacles and changes in Sino-European trade routes in the twenty-first century due to climate change and geopolitical risks — https://doi.org/10.1057/s41599-026-08607-9</w:t>
      </w:r>
    </w:p>
    <w:p>
      <w:r>
        <w:t>Shared claim-specific concepts: due, climate, factors, areas; EU scope visible. This is a provisional connection, not an outcome finding.</w:t>
      </w:r>
    </w:p>
    <w:p>
      <w:r>
        <w:t>Available abstract (not full text): In the 21st century, global climate change and geopolitical risks are interconnected, presenting new challenges and influencing the trade dynamics between China and Europe. This paper investigates the effects of climate change and geopolitical risks on the trade route between China and Europe using bibliometric analysis and review. It seeks to identify potential trends in this trade path for the 21st century. Research indicates that, influenced by climate change and geopolitical factors, trade routes between China and Europe are transitioning from traditional single trade channels to multiple trade channels, such as the joint Arctic Northeast Passage and the China-Europe Railway Express. This process generates opportunities, including enhanced efficiency and stability in Sino-Europe trade, due to the development of new trade channels. However, it introduces difficulties, including unpredictability in climate change forecasts and weaknesses arising from geopolitical tensions. This compels China and Europe to take proactive measures. The melting of Arctic sea ice presents new commercial opportunities related to climate change. Consequently, the observed variations in navigable durations and ecological sensitivity have led China and Europe to implement proactive adaptation strategies. This includes collaborative ice monitoring networks and standardized green ship technology, desig</w:t>
      </w:r>
    </w:p>
    <w:p>
      <w:r>
        <w:t>POSSIBLE 2025: Assessing the Future Risk of Damage to European Cultural Heritage Due to Climate Change — https://doi.org/10.3390/heritage8050175</w:t>
      </w:r>
    </w:p>
    <w:p>
      <w:r>
        <w:t>Shared claim-specific concepts: due, climate, significant, show; EU scope visible. This is a provisional connection, not an outcome finding.</w:t>
      </w:r>
    </w:p>
    <w:p>
      <w:r>
        <w:t>Available abstract (not full text): This study presents an integrated approach for assessing the risk of damage to cultural heritage due to climate change, applied to five selected European cultural sites. Future changes in climate parameters and indices associated with climate pressure on cultural heritage sites are analyzed using a set of EURO-CORDEX high-resolution Regional Climate Model (RCM) simulations under three different future emission scenarios (RCP2.6, RCP4.5, and RCP8.5). Our results are reported for three different time periods, 1971–2000 (reference period), and two future periods, 2021–2050 and 2071–2100. The aim of this study is to apply the Heritage Outdoor Microclimate (HMRout) and Predicted Risk of Damage (PRD) indices to quantify the risk of damage to inorganic materials resulting from future long-term changes in temperature and relative humidity (RH). Projections show a significant rise in temperature leading to increased HMRout values and higher heat stress across CH sites. The projected temperature increase results in a rise in HMRout index across all studied cultural heritage sites, with the rate of increase varying by period and scenario. Overall, as a result of the rising HMRout index, the predicted risk of damage to monuments made from inorganic materials due to heat stress is expected to increase. The PRD index is projected to increase by up to 87% in certain CH sites by the end of the</w:t>
      </w:r>
    </w:p>
    <w:p>
      <w:r>
        <w:t>POSSIBLE 2024: Groundwater stress in Europe—assessing uncertainties in future groundwater discharge alterations due to water abstractions and climate change — https://doi.org/10.3389/frwa.2024.1448625</w:t>
      </w:r>
    </w:p>
    <w:p>
      <w:r>
        <w:t>Shared claim-specific concepts: due, climate, show; EU scope visible. This is a provisional connection, not an outcome finding.</w:t>
      </w:r>
    </w:p>
    <w:p>
      <w:r>
        <w:t>Available abstract (not full text): Groundwater sustains human well-being and ecosystems functioning. Many regions in Europe have experienced declining groundwater levels caused by decreasing groundwater recharge (GWR) or increasing groundwater abstractions (GWAs). These changes can lead to groundwater-related stress, threatening ecosystems and water supplies. Existing groundwater stress indicators estimate stress during a given period but do not address how stress changes or show the uncertainty of future stress. We propose a novel indicator of future groundwater stress (GWSI) due to changes in GWR and GWA and, thus, the alteration of long-term mean annual groundwater discharge (GWD). Groundwater stress is defined as any alteration in GWD since ecosystems are adapted to an equilibrium state. Focusing on decreasing GWD, which is generally more harmful than increasing GWD, we quantified the future GWSI in Europe by integrating scenarios of GWR and GWA in 2070–2099. GWR was evaluated using an ISIMIP2b multi-model ensemble of eight global hydrological models driven by the output of four global climate models under two greenhouse gas emission scenarios. GWA scenarios for irrigation, domestic and manufacturing sectors were combined with the GWR projections to generate an ensemble of GWSIs, simplified into three groundwater stress scenarios (high, intermediate, low). Projected GWSIs vary significantly among the scenari</w:t>
      </w:r>
    </w:p>
    <w:p>
      <w:r>
        <w:t>POSSIBLE 2023: Advanced mycotoxin control and decontamination techniques in view of an increased aflatoxin risk in Europe due to climate change — https://doi.org/10.3389/fmicb.2022.1085891</w:t>
      </w:r>
    </w:p>
    <w:p>
      <w:r>
        <w:t>Shared claim-specific concepts: due, climate, factors, health, both; EU scope visible. This is a provisional connection, not an outcome finding.</w:t>
      </w:r>
    </w:p>
    <w:p>
      <w:r>
        <w:t>Available abstract (not full text): spp. found in staple food and feed commodities worldwide. Aflatoxins are carcinogenic, teratogenic, and mutagenic, and pose a serious threat to the health of both humans and animals. The global economy and trade are significantly affected as well. Various models and datasets related to aflatoxins in maize have been developed and used but have not yet been linked. The prevention of crop loss due to aflatoxin contamination is complex and challenging. Hence, the set-up of advanced decontamination is crucial to cope with the challenge of climate change, growing population, unstable political scenarios, and food security problems also in European countries. After harvest, decontamination methods can be applied during transport, storage, or processing, but their application for aflatoxin reduction is still limited. Therefore, this review aims to investigate the effects of environmental factors on aflatoxin production because of climate change and to critically discuss the present-day and novel decontamination techniques to unravel gaps and limitations to propose them as a tool to tackle an increased aflatoxin risk in Europe.</w:t>
      </w:r>
    </w:p>
    <w:p>
      <w:r>
        <w:t>POSSIBLE 2022: Assessing the Projected Changes in European Air Stagnation due to Climate Change — https://doi.org/10.1175/jcli-d-22-0180.1</w:t>
      </w:r>
    </w:p>
    <w:p>
      <w:r>
        <w:t>Shared claim-specific concepts: due, climate, air, pollution, health, weather; EU scope visible. This is a provisional connection, not an outcome finding.</w:t>
      </w:r>
    </w:p>
    <w:p>
      <w:r>
        <w:t>Available abstract (not full text): Abstract Air pollution is a major environmental threat to human health. Pollutants can reach extreme levels in the lower atmosphere when weather conditions permit. As pollutant concentrations depend on scales and processes that are not fully represented in current global circulation models (GCMs), and it is often too computationally expensive to run models with atmospheric chemistry and aerosol processes, air stagnation is often used as a proxy for pollution events with particular success in Europe. However, the variables required to identify air stagnation can have biases in GCM output, which adds uncertainty to projected trends in air stagnation. Here, the representation of air stagnation in GCMs is assessed for Europe in the historical period and in end-of-century projections based on a high-emission scenario using three methods for identifying air stagnation. The monthly frequency of stagnation during summer and autumn is projected to increase with climate change when stagnation is identified by a well-established index. However, this increase is not present when air-stagnation frequency is estimated using a statistical model based on the synoptic- to large-scale atmospheric circulation. This implies that the projected increases in air stagnation are not driven by an increase in frequency or severity of large-scale circulation events that are conducive to stagnation. Indeed</w:t>
      </w:r>
    </w:p>
    <w:p>
      <w:r>
        <w:t>POSSIBLE 2022: The State of Dark Coniferous Forests on the East European Plain Due to Climate Change — https://doi.org/10.3390/life12111874</w:t>
      </w:r>
    </w:p>
    <w:p>
      <w:r>
        <w:t>Shared claim-specific concepts: due, climate, factors, changing, significant; EU scope visible. This is a provisional connection, not an outcome finding.</w:t>
      </w:r>
    </w:p>
    <w:p>
      <w:r>
        <w:t>Available abstract (not full text): As a result of global climate changes, negative processes have been recorded in the coniferous forests of the Northern Hemisphere. Similar processes are observed in the Urals, including in Udmurtia. In the course of this research, archival analysis methods were used, as well as field research methods. In the process of analyzing archival materials in the Urals, a reduction of spruce forests was observed. If in the 20th century the share of spruce forests in the region was 50%, then in the 21th century it decreased to 35%. As a result of this research, it was revealed that the most unfavorable sanitary condition was recorded in the boreal–subboreal zone of Udmurtia, with a sanitary condition index of 3.2 (from 2.62 to 3.73). The main reason for the unfavorable sanitary condition of spruce forests was the vital activity of Ips typographus L. According to our research, in 11 sample plots out of 18, a high score for sanitary condition was associated with the vital activity of bark beetles. The correlation coefficient of the index of the sanitary condition of plantings and the number of individuals of Picea obovata Ledeb. affected by Ips typographus L. was0.93. Bark beetle activity has increased in the 21th century, which is associated with changing climatic factors. Unstable precipitation over recent years (differences of more than 100 mm) and an average temperature increase of 1.2</w:t>
      </w:r>
    </w:p>
    <w:p>
      <w:r>
        <w:t>POSSIBLE 2022: Reviewing the links and feedbacks between climate change and air pollution in Europe — https://doi.org/10.3389/fenvs.2022.954045</w:t>
      </w:r>
    </w:p>
    <w:p>
      <w:r>
        <w:t>Shared claim-specific concepts: due, climate, other, air, pollution;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2021: Predicted Aflatoxin B1 Increase in Europe Due to Climate Change: Actions and Reactions at Global Level — https://doi.org/10.3390/toxins13040292</w:t>
      </w:r>
    </w:p>
    <w:p>
      <w:r>
        <w:t>Shared claim-specific concepts: due, climate, areas, health, both; EU scope visible. This is a provisional connection, not an outcome finding.</w:t>
      </w:r>
    </w:p>
    <w:p>
      <w:r>
        <w:t>Available abstract (not full text): Climate change (CC) is predicted to increase the risk of aflatoxin (AF) contamination in maize, as highlighted by a project supported by EFSA in 2009. We performed a comprehensive literature search using the Scopus search engine to extract peer-reviewed studies citing this study. A total of 224 papers were identified after step I filtering (187 + 37), while step II filtering identified 25 of these papers for quantitative analysis. The unselected papers (199) were categorized as “actions” because they provided a sounding board for the expected impact of CC on AFB1 contamination, without adding new data on the topic. The remaining papers were considered as “reactions” of the scientific community because they went a step further in their data and ideas. Interesting statements taken from the “reactions” could be summarized with the following keywords: Chain and multi-actor approach, intersectoral and multidisciplinary, resilience, human and animal health, and global vision. In addition, fields meriting increased research efforts were summarized as the improvement of predictive modeling; extension to different crops and geographic areas; and the impact of CC on fungi and mycotoxin co-occurrence, both in crops and their value chains, up to consumers.</w:t>
      </w:r>
    </w:p>
    <w:p>
      <w:r>
        <w:t>POSSIBLE 2020: Campylobacter infections expected to increase due to climate change in Northern Europe — https://doi.org/10.1038/s41598-020-70593-y</w:t>
      </w:r>
    </w:p>
    <w:p>
      <w:r>
        <w:t>Shared claim-specific concepts: due, climate, patterns, world, health, show; EU scope visible. This is a provisional connection, not an outcome finding.</w:t>
      </w:r>
    </w:p>
    <w:p>
      <w:r>
        <w:t>Available abstract (not full text): Global climate change is predicted to alter precipitation and temperature patterns across the world, affecting a range of infectious diseases and particularly foodborne infections such as Campylobacter. In this study, we used national surveillance data to analyse the relationship between climate and campylobacteriosis in Denmark, Finland, Norway and Sweden and estimate the impact of climate changes on future disease patterns. We show that Campylobacter incidences are linked to increases in temperature and especially precipitation in the week before illness, suggesting a non-food transmission route. These four countries may experience a doubling of Campylobacter cases by the end of the 2080s, corresponding to around 6,000 excess cases per year caused only by climate changes. Considering the strong worldwide burden of campylobacteriosis, it is important to assess local and regional impacts of climate change in order to initiate timely public health management and adaptation strategies.</w:t>
      </w:r>
    </w:p>
    <w:p>
      <w:r>
        <w:t>POSSIBLE 2020: Climate and air quality impacts due to mitigation of non-methane near-term climate forcers — https://doi.org/10.5194/acp-20-9641-2020</w:t>
      </w:r>
    </w:p>
    <w:p>
      <w:r>
        <w:t>Shared claim-specific concepts: due, climate, other, air, significant, effect; EU scope not established. This is a provisional connection, not an outcome finding.</w:t>
      </w:r>
    </w:p>
    <w:p>
      <w:r>
        <w:t>Available abstract (not full text): Abstract. Over the next few decades, policies that optimally address both climate change and air quality are essential. Although targeting near-term climate forcers (NTCFs), defined here as aerosols, tropospheric ozone and precursor gases (but not methane), should improve air quality, NTCF reductions will also impact climate. How future policies affect the abundance of NTCFs and their impact on climate and air quality remains uncertain. Here, we quantify the 2015–2055 climate and air quality effects of non-methane NTCFs using state-of-the-art chemistry-climate model simulations conducted for the Aerosol and Chemistry Model Intercomparison Project (AerChemMIP). Simulations are driven by two future scenarios featuring similar increases in greenhouse gases (GHGs) but with weak versus strong levels of air quality control measures. Unsurprisingly, we find significant improvements in air quality under NTCF mitigation (strong versus weak air quality controls). Surface ozone (O3) and fine particulate matter (PM2.5) decrease by −15 % and −25 %, respectively, over global land surfaces, with larger reductions in some regions including south and southeast Asia. Non-methane NTCF mitigation, however, leads to additional climate change due to the removal of aerosol which causes a net warming effect, including global mean surface temperature and precipitation increases of 0.24 K and 1.1 %, res</w:t>
      </w:r>
    </w:p>
    <w:p>
      <w:r>
        <w:t>POSSIBLE 2019: Changes to Land Area Used for Grain Maize Production in Central Europe due to Predicted Climate Change — https://doi.org/10.1155/2019/9168285</w:t>
      </w:r>
    </w:p>
    <w:p>
      <w:r>
        <w:t>Shared claim-specific concepts: due, climate, other, conditions; EU scope visible. This is a provisional connection, not an outcome finding.</w:t>
      </w:r>
    </w:p>
    <w:p>
      <w:r>
        <w:t>Available abstract (not full text): Regional biogeographical models are considered to be important tools for supporting decisions relating to sustainable agricultural planning for climate change. These models are useful for a better understanding of the impact of climate change on individual crop species due to their sensitivity to regional ecological conditions. This paper deals with the application of a regional biogeographical model in order to predict the impact of climate change on growing conditions for grain maize in Central Europe. The model is based on a detailed knowledge of the relationships between the climatic characteristics of vegetation zones in landscapes with ecological growing conditions suitable for grain maize in the region under study. The results gained from using the model indicate a substantial increase in the total area suitable for growing of grain maize in the study region. By 2070, this area is expected to be triple the size it is today. Special maps are used to visualize prediction scenarios in order to support decision-making in regional planning in the study region, where grain maize is an important agricultural crop. This biogeographical model can be used in other European regions, where basic data related to vegetation zones are available.</w:t>
      </w:r>
    </w:p>
    <w:p>
      <w:pPr>
        <w:pStyle w:val="Heading2"/>
      </w:pPr>
      <w:r>
        <w:t>Comments: The Long-Term Outlook</w:t>
      </w:r>
    </w:p>
    <w:p>
      <w:r>
        <w:t>Original source (2013): https://doi.org/10.2118/0113-0018-jpt</w:t>
      </w:r>
    </w:p>
    <w:p>
      <w:r>
        <w:t>Original wording (abstract; indexed_source_text_not_full_document_verified): Here are some of the significant findings from the report: Energy demand in developing nations will rise 65% by 2040, reflecting growing prosperity and expanding economies. ExxonMobil forecasts that global energy consumption will rise 35% by 2040, primarily in China and India.</w:t>
      </w:r>
    </w:p>
    <w:p>
      <w:r>
        <w:t>POSSIBLE 2025: Still Here — https://doi.org/10.7146/ageculturehumanities.v8i.141931</w:t>
      </w:r>
    </w:p>
    <w:p>
      <w:r>
        <w:t>Shared claim-specific concepts: here, significant, findings; EU scope not established. This is a provisional connection, not an outcome finding.</w:t>
      </w:r>
    </w:p>
    <w:p>
      <w:r>
        <w:t>Available abstract (not full text): Following the completion of a clinical research project assessing music therapy for home-dwelling people with dementia and their significant other, we developed an interactive photo exhibition, “Still here,” that was launched on World Alzheimer´s Day, September 21st, 2021, in the city center of Bergen. We aimed to communicate to the local citizens how music may facilitate experiences of positive identity and relational mutuality for people with dementia and their significant others. Stereotypes about loss and decline still characterize the mainstream discourse of dementia. Myths, misconceptions, and stigma are associated with dementia and have a significant impact on the people who live with the condition. We aimed to portray a different narrative of dementia to the public, a narrative of resilience and creative capacity—and, in so doing, to knowingly recuperate and communicate the idea of psychological resilience in contradistinction to the neoliberal constructions of this concept. We intended to reflect a perspective closer to how individuals describe or experience living with dementia. This paper tells the story of how the exhibition was developed to disseminate the findings of our research project, elaborating on the challenges current narratives on dementia present in our field and how the photographs became narrators of another story of dementia.</w:t>
      </w:r>
    </w:p>
    <w:p>
      <w:r>
        <w:t>POSSIBLE 2025: Synonymous but Significant: New Findings of Pathological Variants in Hermansky–Pudlak Syndrome — https://doi.org/10.1111/pcmr.13221</w:t>
      </w:r>
    </w:p>
    <w:p>
      <w:r>
        <w:t>Shared claim-specific concepts: here, significant, findings, expanding; EU scope not established. This is a provisional connection, not an outcome finding.</w:t>
      </w:r>
    </w:p>
    <w:p>
      <w:r>
        <w:t>Available abstract (not full text): Hermansky-Pudlak syndrome (HPS) is a rare autosomal recessive disorder characterized by oculocutaneous albinism and systemic complications, including bleeding tendencies. While 11 genes associated with HPS have been identified, cases of HPS5 remain exceedingly rare, particularly in Japan. Here, we report two Japanese patients with novel pathological HPS5 variants, expanding the genetic spectrum of this disorder. Both patients exhibited typical features of mild skin and hair hypopigmentation, and significant ocular involvement. Genetic analysis revealed a heterozygous nonsense variant, NG_008877.1 (NM_181507.2): c.2275G&gt;T, in both patients, inherited from their fathers. Additionally, maternal variants NG_008877.1 (NM_181507.2): c.2952-13G&gt;A and NG_008877.1 (NM_181507.2): c.1128A&gt;G were identified in patient 1 and patient 2, respectively. These variants, initially presumed non-pathogenic, were found to induce alternative splicing, leading to truncated protein production. Our findings highlight the functional importance of synonymous variants and their potential role in HPS. This report represents the first documented case of a synonymous pathogenic variant associated with HPS and underscores the need for comprehensive genetic and transcriptomic analyses in rare genetic disorders.</w:t>
      </w:r>
    </w:p>
    <w:p>
      <w:r>
        <w:t>POSSIBLE 2024: Developing a relational approach to energy demand: A methodological and conceptual guide — https://doi.org/10.1016/j.erss.2024.103441</w:t>
      </w:r>
    </w:p>
    <w:p>
      <w:r>
        <w:t>Shared claim-specific concepts: energy, developing, reflecting; EU scope not established. This is a provisional connection, not an outcome finding.</w:t>
      </w:r>
    </w:p>
    <w:p>
      <w:r>
        <w:t>Available abstract (not full text): In a recent review of research on the role of social relations in shaping energy demand, authors documented increasing interest in relational approaches to energy [1]. Relational approaches to energy conceive of human behaviour as produced and reproduced by social relations and interactions, placing relationships at the centre of inquiry, as well as understanding these relationships in the context of infrastructure and the built environment. In this paper, we build on a relational approach in new economic sociology, and on our research project about the social relations of energy retrofit, to offer a methodological and conceptual guide to those working on energy demand topics. We detail the ontological and epistemological starting points of our relational approach, and articulate how research can be designed to capture the role of social relations in shaping decision-making on energy, as well as to offer innovative insights for policy-makers and practitioners. We use our experience in a research project on energy retrofit as a case study, reflecting on the practical aspects of this research approach to provide suggestions for research design for those interested in doing similar work. This includes defining key concepts and the way they interact in a conceptual framework for a relational approach to energy. We also offer some conceptually driven research questions as a starting</w:t>
      </w:r>
    </w:p>
    <w:p>
      <w:r>
        <w:t>POSSIBLE 2023: Energy Demand and Energy Efficiency in Developing Countries — https://doi.org/10.3390/en16031056</w:t>
      </w:r>
    </w:p>
    <w:p>
      <w:r>
        <w:t>Shared claim-specific concepts: here, energy, developing; EU scope not established. This is a provisional connection, not an outcome finding.</w:t>
      </w:r>
    </w:p>
    <w:p>
      <w:r>
        <w:t>Available abstract (not full text): This paper investigates relative aggregate energy efficiency for a panel of 39 developing countries by econometrically estimating an energy-demand function (EDF) using the stochastic frontier analysis (SFA) approach to provide relative energy efficiency scores over the period 1989 to 2008. Energy efficiency is arguably difficult to define or even conceptualise with several interpretations in the literature but here it is based on an economists’ perspective of efficiency. Hence, the estimates of ‘true’ energy efficiency found in the paper using this approach approximate the economically efficient use of energy capturing both technical and allocative efficiency and the results confirm that energy intensity should not be considered as a de facto standard indicator of energy efficiency. While, by controlling for a range of socio-economic factors, the measurements of energy efficiency obtained by the analysis are deemed more appropriate and hence it is argued that this analysis should be undertaken to avoid potentially misleading advice to policy makers. This study contributes to the literature since it is, as far as is known, the first attempt to apply the benchmarking parametric stochastic frontier technique to econometrically estimate energy efficiency for a large panel of only developing counties around the world. Moreover, the results from such analysis are arguably particularl</w:t>
      </w:r>
    </w:p>
    <w:p>
      <w:r>
        <w:t>POSSIBLE 2023: Energy Demand Forecasting and Optimizing Electric Systems for Developing Countries — https://doi.org/10.1109/access.2023.3250110</w:t>
      </w:r>
    </w:p>
    <w:p>
      <w:r>
        <w:t>Shared claim-specific concepts: energy, developing, consumption; EU scope not established. This is a provisional connection, not an outcome finding.</w:t>
      </w:r>
    </w:p>
    <w:p>
      <w:r>
        <w:t>Available abstract (not full text): Currently, developing countries are experiencing a massive shift toward industrialization. Developing countries lack the technical sophistication and infrastructure to encourage low-carbon and sustainable economic growth because of weak public awareness, regulations, and technology. Developing countries must plan the industrialization process for maximum energy efficiency of production, thereby reducing their CO2emissions significantly by increasing energy efficiency. This paper attempts to review the current pragmatic methods for forecasting the future load demands from minutes to years ahead in developing countries, following the Preferred Reporting Items for Systematic review and Meta-Analysis Protocols (PRISMA-P). Our primary focus is to provide an optimal forecasting model selection strategy for potential researchers and forecasters. Based on the strengths and weaknesses of the different models, we will discuss the most suitable methods to tailor them to multiple applications and scenarios of load forecasting. The comparison elements are Forecast horizons, Spatio-temporal resolutions, factors affecting the load, different dimensional reduction techniques, model complexity analysis, and the MAPE for error analysis. From the results, We have found ANN hybridized with meta-heuristic techniques to be superior in most of the analysis cases. ANN’s ability to handle non-linear da</w:t>
      </w:r>
    </w:p>
    <w:p>
      <w:r>
        <w:t>POSSIBLE 2023: Swarming self-adhesive microgels enabled aneurysm on-demand embolization in physiological blood flow — https://doi.org/10.1126/sciadv.adf9278</w:t>
      </w:r>
    </w:p>
    <w:p>
      <w:r>
        <w:t>Shared claim-specific concepts: here, significant, rise; EU scope not established. This is a provisional connection, not an outcome finding.</w:t>
      </w:r>
    </w:p>
    <w:p>
      <w:r>
        <w:t>Available abstract (not full text): The recent rise of swarming microrobotics offers great promise in the revolution of minimally invasive embolization procedure for treating aneurysm. However, targeted embolization treatment of aneurysm using microrobots has significant challenges in the delivery capability and filling controllability. Here, we develop an interventional catheterization-integrated swarming microrobotic platform for aneurysm on-demand embolization in physiological blood flow. A pH-responsive self-healing hydrogel doped with magnetic and imaging agents is developed as the embolic microgels, which enables long-term self-adhesion under biological condition in a controllable manner. The embolization strategy is initiated by catheter-assisted deployment of swarming microgels, followed by the application of external magnetic field for targeted aggregation of microrobots into aneurysm sac under the real-time guidance of ultrasound and fluoroscopy imaging. Mild acidic stimulus is applied to trigger the welding of microgels with satisfactory bio-/hemocompatibility and physical stability and realize complete embolization. Our work presents a promising connection between the design and control of microrobotic swarms toward practical applications in dynamic environments.</w:t>
      </w:r>
    </w:p>
    <w:p>
      <w:r>
        <w:t>POSSIBLE 2021: “They Belong Here” — https://doi.org/10.4103/cs.cs_13_21</w:t>
      </w:r>
    </w:p>
    <w:p>
      <w:r>
        <w:t>Shared claim-specific concepts: here, significant, findings, growing; EU scope visible. This is a provisional connection, not an outcome finding.</w:t>
      </w:r>
    </w:p>
    <w:p>
      <w:r>
        <w:t xml:space="preserve">Available abstract (not full text): Reintegrating wolves in human-dominated landscapes constitutes a significant conservation challenge. After decades of studying human-wolf interactions through a conflict lens, there is growing recognition that more nuanced perspectives are needed. However, this recognition has hitherto yielded few practical changes, and few have studied what underpins successful coexistence. Here we show that disproportionate focus on and resource allocation to conflict within conservation programmes risks undermining existing convivial relationships with large carnivores. Using a coexistence lens, we studied human-wolf interactions in Sanabria-La Carballeda in Spain; the region has one of the highest densities of wolves in Europe. We explored the underlying social and ecological conditions that have permitted both wolves and people to persist in the area, studied the mutual impacts, and surveyed how interactions are influenced by broader socio-economic processes. The findings of this novel approach to studying human-wildlife interactions elucidates how areas of functional coexistence have been neglected in policy, leaving them vulnerable to depopulation, low agricultural profitability, and the loss of biocultural diversity. When institutions fail to support functional coexistence, we risk losing the knowledge, the traditions and the trust of those who have sustained Europe's large carnivores, </w:t>
      </w:r>
    </w:p>
    <w:p>
      <w:r>
        <w:t>POSSIBLE 2021: A model of energy poverty and access: Estimating household electricity demand and appliance ownership — https://doi.org/10.1016/j.eneco.2021.105266</w:t>
      </w:r>
    </w:p>
    <w:p>
      <w:r>
        <w:t>Shared claim-specific concepts: here, energy, developing, nations, rise; EU scope not established. This is a provisional connection, not an outcome finding.</w:t>
      </w:r>
    </w:p>
    <w:p>
      <w:r>
        <w:t xml:space="preserve">Available abstract (not full text): In countries that have a large share of population in energy poverty, appliance and electricity demand can be expected to rise. Approaches to estimate latent demand of energy poor populations often assume a constant income elasticity of demand. Here, we develop a novel simulation-based structural estimation approach to estimate responsiveness of electricity demand to income accounting for non-linearities, and considering other important drivers. We apply the model using micro-data for four developing nations to assess the implications of policy scenarios for achieving the Sustainable Development Goal SDG 7 under different socio-economic futures. We find that under scenarios that include policies to achieve universal access to electricity, total electricity demand is higher but the average per capita is lower than in no access policy futures. We also find that the level of adoption of electrical appliances varies significantly by country, appliance type, climate and income, with a high and stable share of electricity used for entertainment in all four countries and socio-economic futures. However, the share of electricity used for food preservation and preparation and clothes maintenance rises significantly with income as people are able to afford appliances that provide greater convenience. Our results confirm that as energy poor populations gain access to electricity services </w:t>
      </w:r>
    </w:p>
    <w:p>
      <w:r>
        <w:t>POSSIBLE 2020: Demand for Crop Insurance in Developing Countries: New Evidence from India — https://doi.org/10.1111/1477-9552.12403</w:t>
      </w:r>
    </w:p>
    <w:p>
      <w:r>
        <w:t>Shared claim-specific concepts: developing, india; EU scope not established. This is a provisional connection, not an outcome finding.</w:t>
      </w:r>
    </w:p>
    <w:p>
      <w:r>
        <w:t>Available abstract (not full text): Determining farmers' real demand for crop insurance is difficult, especially in developing countries, where there is a lack of formal financial sector integration and a high reliance on informal risk mitigation options. We provide some new estimates of farmers' willingness-to-pay for insurance in the context of a large-scale subsidised programme in India. We conducted a discrete choice experiment with agricultural households across four states in India, enabling us to estimate preferences for specific insurance policy attributes such as coverage period, method of loss assessment, timing of indemnity payments and the cost of insurance. Our results suggest that farmers do value crop insurance under certain conditions and some are willing to pay a premium for such coverage in excess of the subsidised rates they are currently required to pay under this programme. In particular, farmers value the assurances that they will receive timely payouts when they incur losses, and may not have a strong preference for the method with which losses are assessed. On the other hand, farmers are quite sensitive to coverage periods. Our baseline assessment shows that when optimised to farmer requirements, there can be a sizeable demand for crop insurance by developing country farmers.</w:t>
      </w:r>
    </w:p>
    <w:p>
      <w:r>
        <w:t>POSSIBLE 2020: Smart Flexible Electronics‐Integrated Wound Dressing for Real‐Time Monitoring and On‐Demand Treatment of Infected Wounds — https://doi.org/10.1002/advs.201902673</w:t>
      </w:r>
    </w:p>
    <w:p>
      <w:r>
        <w:t>Shared claim-specific concepts: here, developing; EU scope not established. This is a provisional connection, not an outcome finding.</w:t>
      </w:r>
    </w:p>
    <w:p>
      <w:r>
        <w:t>Available abstract (not full text): As the most frequent wound complication, infection has become a major clinical challenge in wound management. To overcome the "Black Box" status of the wound-healing process, next-generation wound dressings with the abilities of real-time monitoring, diagnosis during early stages, and on-demand therapy has attracted considerable attention. Here, by combining the emerging development of bioelectronics, a smart flexible electronics-integrated wound dressing with a double-layer structure, the upper layer of which is polydimethylsiloxane-encapsulated flexible electronics integrated with a temperature sensor and ultraviolet (UV) light-emitting diodes, and the lower layer of which is a UV-responsive antibacterial hydrogel, is designed. This dressing is expected to provide early infection diagnosis via real-time wound-temperature monitoring by the integrated sensor and on-demand infection treatment by the release of antibiotics from the hydrogel by in situ UV irradiation. The integrated system possesses good flexibility, excellent compatibility, and high monitoring sensitivity and durability. Animal experiment results demonstrate that the integrated system is capable of monitoring wound status in real time, detecting bacterial infection and providing effective treatment on the basis of need. This proof-of-concept research holds great promise in developing new strategies to significant</w:t>
      </w:r>
    </w:p>
    <w:p>
      <w:r>
        <w:t>POSSIBLE 2019: Travel demand modeling for developing countries — https://doi.org/10.25669/e9jn-xt5w</w:t>
      </w:r>
    </w:p>
    <w:p>
      <w:r>
        <w:t>Shared claim-specific concepts: significant, developing, primarily; EU scope not established. This is a provisional connection, not an outcome finding.</w:t>
      </w:r>
    </w:p>
    <w:p>
      <w:r>
        <w:t>Available abstract (not full text): The transportation planning process or travel demand forecasting process which is most commonly used at present, called the Urban Transportation Planning Process (UTPP), has its origins in studies performed about three decades ago in urban areas in the United States. This conventional planning process was designed primarily for the western/developed world where affordability and accessibility to a personal automobile is a common feature; The UTPP based models used in forecasting future travel demand rely heavily on socio-economic variables that are associated with an individual's propensity to travel. The socio-economic environments in the developing and the under-developed world are different from that prevailing in the developed world. Many urban areas in the third-world contain a mix of ethnic groups or households with structural differences in income and social characteristics. Thus, a direct application of the methodology of the UTPP may not be relevant to developing countries in third world settings; The main objectives of this research are to study the travel characteristics and sensitivity of key factors affecting travel demand of the people in the third world and to develop a framework that allows for the treatment of different groups based on one or more socio-economic features, such as income, household size etc; Trip generation models are developed to study the trav</w:t>
      </w:r>
    </w:p>
    <w:p>
      <w:r>
        <w:t>POSSIBLE 2019: Meat Supply and Demand in Developing Countries: Past Trends and Projections to 2000 — https://doi.org/10.1201/9780429307225-2</w:t>
      </w:r>
    </w:p>
    <w:p>
      <w:r>
        <w:t>Shared claim-specific concepts: here, significant, developing, rise, consumption; EU scope not established. This is a provisional connection, not an outcome finding.</w:t>
      </w:r>
    </w:p>
    <w:p>
      <w:r>
        <w:t>Available abstract (not full text): 13 Animal products in various forms of meat, eggs and milk products supply about one-sixth of the calories and one-third of the protein in per capita human food supplies in the world. When income increases, people change their diets to increase consumption of animal products. High consumption of animal products is established in developed countries. With rising per capita incomes, however, demand for these commodities in Third World countries will rise faster than in developed countries. This trend has major implications for livestock and grain production. The analysis presented in this chapter covers 104 developing countries. Twenty-one are in Asia, 19 in North Africa/Middle East, 40 in Sub-Saharan Africa and 24 in Latin America. The author presents an overview of the supply-demand balances for meat and projections to 1990 and 2000. It is clear, using either strong or weak economic growth assumptions, that there will be major shortfalls in supplies of animal products relative to demand in these countries. The output of meat from the early 1960&amp;s;s (1961-65) to the mid-1970&amp;s;s (1973-77) increased in these countries at an average annual rate of 2.9 percent, faster than the corresponding population increase of 2.6 percent. Rising per capita income, however, stimulated meat consumption to rise faster, at 3.2 per cent annually. Net meat exports from these countries consequently de</w:t>
      </w:r>
    </w:p>
    <w:p>
      <w:pPr>
        <w:pStyle w:val="Heading2"/>
      </w:pPr>
      <w:r>
        <w:t>Constructing Resilient Futures: Integrating UK multi-stakeholder transport and energy resilience for 2050</w:t>
      </w:r>
    </w:p>
    <w:p>
      <w:r>
        <w:t>Original source (2013): https://doi.org/10.1016/j.futures.2013.04.003</w:t>
      </w:r>
    </w:p>
    <w:p>
      <w:r>
        <w:t>Original wording (abstract; indexed_source_text_not_full_document_verified): The 2005 terrorist attacks in London and 2007 flooding throughout the UK revealed the shortcomings of the UK Government approach of ‘governing through resilience’ in practice: low levels of stakeholder co-ordination, lack of understanding about critical infrastructure interdependencies, and little attention to long-term adaptation. Starting with a detailed analysis of extant futures studies, scenarios were combined with episodes in order to both draw stakeholders out of their institutional contexts by setting the exercise in the future and to elicit participant responses during future crisis events.</w:t>
      </w:r>
    </w:p>
    <w:p>
      <w:r>
        <w:t>POSSIBLE 2025: Online Interest in Radical Islam and Terrorist Attacks — https://doi.org/10.1515/peps-2024-0054</w:t>
      </w:r>
    </w:p>
    <w:p>
      <w:r>
        <w:t>Shared claim-specific concepts: terrorist, attacks, attention; EU scope not established. This is a provisional connection, not an outcome finding.</w:t>
      </w:r>
    </w:p>
    <w:p>
      <w:r>
        <w:t>Available abstract (not full text): Abstract This study investigates the link between terrorist attacks and public interest in radical Islam and violent extremism, using monthly data from 150 countries between 2004 and 2015. Employing a dynamic common correlated effects (DCCE) estimator to account for potential cross-country correlations, our analysis reveals that attacks carried out in the name of Islam significantly drive online searches for sensitive keywords. Specifically, terms suggesting violent actions, such as “beheadings,” and explicitly jihad-related terms show stronger correlations, indicating heightened interest in the terrorists’ actions and messages. Our findings suggest that terrorist attacks not only occur in areas where public attention to terrorism is already heightened but also intensify interest in violent extremism within those regions. This amplification may contribute to terrorists’ objectives by increasing the public visibility they seek.</w:t>
      </w:r>
    </w:p>
    <w:p>
      <w:r>
        <w:t>POSSIBLE 2025: PREVENTION OF TERRORIST ATTACKS ON CRITICAL INFRASTRUCTURE ON THE EXAMPLE OF AN AIRPORT — https://doi.org/10.29119/1641-3466.2025.216.13</w:t>
      </w:r>
    </w:p>
    <w:p>
      <w:r>
        <w:t>Shared claim-specific concepts: terrorist, attacks, government, approach, resilience, critical; EU scope not established. This is a provisional connection, not an outcome finding.</w:t>
      </w:r>
    </w:p>
    <w:p>
      <w:r>
        <w:t>Available abstract (not full text): Purpose: The purpose of this article is to evaluate the state's critical infrastructure protection system using an airport as an example. Identifying potential weaknesses and suggesting improvements is a key part of this assessment. Selected research is presented to highlight the need to protect airports from terrorist threats and to illustrate the importance of inter-agency cooperation, resource allocation and advanced security measures in enhancing national security. Design/methodology/approach: The research combines theoretical analysis and empirical investigation. Theoretical methods include a review of the literature and legal frameworks concerning critical infrastructure protection. Empirical research involves a diagnostic survey conducted through structured interviews with experts in national security and airport operations and survey technique using survey questionnaire tool. The data collected were analyzed qualitatively to synthesize key findings and recommendations. Findings: The study reveals that while significant efforts have been made in securing airports, vulnerabilities remain due to accessibility and operational complexity. The findings highlight critical issues such as insufficient inter-agency coordination, inadequate allocation of resources, and the need for better threat anticipation capabilities. Recommendations are provided to address these gaps and impr</w:t>
      </w:r>
    </w:p>
    <w:p>
      <w:r>
        <w:t>POSSIBLE 2023: Terrorist attacks — https://doi.org/10.4324/9781003105824-8</w:t>
      </w:r>
    </w:p>
    <w:p>
      <w:r>
        <w:t>Shared claim-specific concepts: terrorist, attacks, london, government; EU scope visible. This is a provisional connection, not an outcome finding.</w:t>
      </w:r>
    </w:p>
    <w:p>
      <w:r>
        <w:t>Available abstract (not full text): The United Nations has a structure for addressing terrorism as a matter of state concern. Countries such as the UK are members of this framework. UK has had various terrorist attacks over the years. Recently, these have included those ensuing from ‘the Troubles’ in Northern Ireland, Lockerbie and Dunblane in Scotland, the 7/7 tube attacks in London, the 2017 Manchester Arena attack and many others across the UK. Many lessons of dealing with terrorism were learnt from the 9/11 World Trade Center attack in the USA as these filtered into emergency planning forums in the UK. Social workers are learning from such examples. However, the profession as a whole would be challenged to respond effectively if a terrorist attack were to occur in a location that has not experienced one before. Preparing them to do so would require training, including at qualifying level and in-service training through continuing professional development(CDP) on a regular basis, to keep up with a rapidly shifting terrain of government policy in addressing terrorism within a country. The UK’s key response has been the CONTEST Programme aimed at controlling the spread of terrorist ideologies and diverting people from committing terrorist acts. This has been linked to the securitisation of the state, especially as CONTEST has now drawn public sector workers into its ambit. Some of the duties linked to the deradi</w:t>
      </w:r>
    </w:p>
    <w:p>
      <w:r>
        <w:t>POSSIBLE 2023: Cryptocurrency technology revolution: are Bitcoin prices and terrorist attacks related? — https://doi.org/10.1186/s40854-022-00445-3</w:t>
      </w:r>
    </w:p>
    <w:p>
      <w:r>
        <w:t>Shared claim-specific concepts: terrorist, attacks, about; EU scope not established. This is a provisional connection, not an outcome finding.</w:t>
      </w:r>
    </w:p>
    <w:p>
      <w:r>
        <w:t>Available abstract (not full text): As a financial innovation of the information age, cryptocurrency is a complex concept with clear advantages and disadvantages and is worthy of discussion. Exploring from a terrorism perspective, this study uses the time-varying parameter/stochastic volatility vector autoregression model to explore the risk hedging and terrorist financing capabilities of Bitcoin. Empirical results show that both terrorist incidents and brutality may explain Bitcoin price, but their effects are slightly different. Compared to terrorist brutality, terrorist incidents have a weaker impact on Bitcoin price, showing that Bitcoin investors are more concerned about the number of deaths than the frequency of terrorist attacks. In turn, the impact of Bitcoin price on terrorist attacks is negligible. Bitcoin is a potential means of financing terrorism, but it does not currently play an important role. Our research findings can help investors analyze and predict Bitcoin prices and help improve the theoretical system of anti-terrorist financing, helping to maintain world peace and security.</w:t>
      </w:r>
    </w:p>
    <w:p>
      <w:r>
        <w:t>POSSIBLE 2023: Emotions and inventor productivity: Evidence from terrorist attacks — https://doi.org/10.1111/acfi.13213</w:t>
      </w:r>
    </w:p>
    <w:p>
      <w:r>
        <w:t>Shared claim-specific concepts: terrorist, attacks, low; EU scope not established. This is a provisional connection, not an outcome finding.</w:t>
      </w:r>
    </w:p>
    <w:p>
      <w:r>
        <w:t>Available abstract (not full text): Abstract We examine whether the emotional shocks associated with terrorist attacks affect local inventors' productivity. We find that high‐fatality attacks make inventors less innovative, and low‐fatality attacks make them more innovative. Inventors living in high risk‐taking environments have greater increase in productivity following low‐fatality attacks, while less decrease in productivity following high‐fatality attacks. Further, the effect of terrorist attacks on inventor productivity comes mainly from exploratory innovation which involves more risks. Inventors affected by high‐fatality attacks are also more likely to move to places without any significant terrorist attack history, but there is no such effect for low‐fatality attacks.</w:t>
      </w:r>
    </w:p>
    <w:p>
      <w:r>
        <w:t>POSSIBLE 2023: Terrorist attacks sharpen the binary perception of “Us” vs. “Them” — https://doi.org/10.1038/s41598-023-39035-3</w:t>
      </w:r>
    </w:p>
    <w:p>
      <w:r>
        <w:t>Shared claim-specific concepts: terrorist, attacks, government, approach, understanding, about; EU scope not established. This is a provisional connection, not an outcome finding.</w:t>
      </w:r>
    </w:p>
    <w:p>
      <w:r>
        <w:t>Available abstract (not full text): Terrorist attacks not only harm citizens but also shift their attention, which has long-lasting impacts on public opinion and government policies. Yet measuring the changes in public attention beyond media coverage has been methodologically challenging. Here we approach this problem by starting from Wikipedia's répertoire of 5.8 million articles and a sample of 15 recent terrorist attacks. We deploy a complex exclusion procedure to identify topics and themes that consistently received a significant increase in attention due to these incidents. Examining their contents reveals a clear picture: terrorist attacks foster establishing a sharp boundary between "Us" (the target society) and "Them" (the terrorist as the enemy). In the midst of this, one seeks to construct identities of both sides. This triggers curiosity to learn more about "Them" and soul-search for a clearer understanding of "Us". This systematic analysis of public reactions to disruptive events could help mitigate their societal consequences.</w:t>
      </w:r>
    </w:p>
    <w:p>
      <w:r>
        <w:t>POSSIBLE 2022: Spatiotemporal Variation in Emotional Responses to 2017 Terrorist Attacks in London Using Twitter Data — https://doi.org/10.57709/12007502</w:t>
      </w:r>
    </w:p>
    <w:p>
      <w:r>
        <w:t>Shared claim-specific concepts: terrorist, attacks, london; EU scope not established. This is a provisional connection, not an outcome finding.</w:t>
      </w:r>
    </w:p>
    <w:p>
      <w:r>
        <w:t>Available abstract (not full text): Terrorist attacks have a significant impact on human lives. This study examined emotional responses after the terrorist attacks in London in March and June of 2017, respectively. This research extracted tweets related to the two attacks by developing a Python tool interacting with the Twitter Application Program Interface (API). The tweets were analyzed for its negative emotion expression such as sadness. This study then analyzed these negative tweets using the space-time permutation model in SatScan and assessed their variation in space and time. Results suggested two significant clusters of negative tweets after the first attack. These clusters located in the metropolitan area of London and between Manchester and Liverpool within ten days of the attack. The findings may contribute to quick surveillance of emotional responses on the Twitter users.</w:t>
      </w:r>
    </w:p>
    <w:p>
      <w:r>
        <w:t>POSSIBLE 2022: Psychosocial care responses to terrorist attacks: a country case study of Norway, France and Belgium — https://doi.org/10.1186/s12913-022-07691-2</w:t>
      </w:r>
    </w:p>
    <w:p>
      <w:r>
        <w:t>Shared claim-specific concepts: terrorist, attacks, throughout, approach, long-term; EU scope visible. This is a provisional connection, not an outcome finding.</w:t>
      </w:r>
    </w:p>
    <w:p>
      <w:r>
        <w:t>Available abstract (not full text): BACKGROUND: The international terrorism threat urges societies to invest in the planning and organization of psychosocial care. With the aim to contribute to cross-national learning, this study describes the content, target populations and providers of psychosocial care to civilians after terrorist attacks in Norway, France and Belgium. METHODS: We identified and reviewed pre- and post-attack policy documents, guidelines, reports and other relevant grey literature addressing the psychosocial care response to terrorist attacks in Oslo/Utøya, Norway on 22 July 2011; in Paris, France on 13 November 2015; and in Brussels, Belgium on 22 March 2016. RESULTS: In Norway, there was a primary care based approach with multidisciplinary crisis teams in the local municipalities. In response to the terrorist attacks, there were proactive follow-up programs within primary care and occupational health services with screenings of target groups throughout a year. In France, there was a national network of specialized emergency psychosocial units primarily consisting of psychiatrists, psychologists and psychiatric nurses organized by the regional health agencies. They provided psychological support the first month including guidance for long-term healthcare, but there were no systematic screening programs after the acute phase. In Belgium, there were psychosocial intervention networks in the loca</w:t>
      </w:r>
    </w:p>
    <w:p>
      <w:r>
        <w:t>POSSIBLE 2021: Media coverage of terrorist attacks in London in 2017: Comparison of news portals Aktuálně.cz and The Guardian — https://openalex.org/W7135787987</w:t>
      </w:r>
    </w:p>
    <w:p>
      <w:r>
        <w:t>Shared claim-specific concepts: terrorist, attacks, london; EU scope not established. This is a provisional connection, not an outcome finding.</w:t>
      </w:r>
    </w:p>
    <w:p>
      <w:r>
        <w:t>Available abstract (not full text): This thesis is focused on the media coverage of four terrorist attacks that happened in London in 2017. The subject of the research are photographs which were published after the attacks on Czech online news media Aktuálně.cz and British online news portal The Guardian. The coverage on both media is in the case of each attack followed for one week. The aim of this thesis is to describe which photographs both media published, with the main emphasis on certain technical and content variables. Furthermore, the difference between visual representation in Czech and British media is also a subject of this work.</w:t>
      </w:r>
    </w:p>
    <w:p>
      <w:r>
        <w:t>POSSIBLE 2021: Analyzing Canadian PM Justin Trudeau’s Speech about Terrorist Attack on a Muslim Family in Ontario’s London: A Critical Perspective — https://doi.org/10.32996/ijls.2021.1.2.2</w:t>
      </w:r>
    </w:p>
    <w:p>
      <w:r>
        <w:t>Shared claim-specific concepts: terrorist, london, approach, practice, levels, about; EU scope not established. This is a provisional connection, not an outcome finding.</w:t>
      </w:r>
    </w:p>
    <w:p>
      <w:r>
        <w:t xml:space="preserve">Available abstract (not full text): Language considers a form of social practice in Critical Discourse Analysis, and it is frequently used in political discourse written, verbal and visual including public speeches. This paper examines the Prime Minister of Canada's press conference speech, held at the House of Commerce on June 8, 2021 (https://www.rev.com/blog, 2021), in the aftermath of a Muslim family's murder in Ontario's London. The Three-Dimensional Model of Fairclough has been used to investigate the implicit/explicit power displayed in PM Justin's speech, as well as the display of power at the textual, discursive, and societal levels, in the context of the speech's two key themes: anti-Muslim hatred and Islamophobia. The study examines speech using a qualitative approach and addresses power within the discourse as well as the power behind the discourse. The findings show how language reflects political leaders' ideologies and how social behaviors can shape and be shaped by speech. The Prime Minister skillfully employed language to convey the ideological divides between Muslim communities and the western communities. After drawing the line of demarcation, he urged world leaders to take steps to resolve their differences to achieve global harmony and peace. This study enables the general public to comprehend Justin Trudeau's position on prevalent intolerance and the ideology of Islamophobia, as well as its </w:t>
      </w:r>
    </w:p>
    <w:p>
      <w:r>
        <w:t>POSSIBLE 2021: Getting under the Skin: The Impact of Terrorist Attacks on Native and Immigrant Sentiment — https://doi.org/10.1093/sf/soab135</w:t>
      </w:r>
    </w:p>
    <w:p>
      <w:r>
        <w:t>Shared claim-specific concepts: terrorist, attacks, understanding, little; EU scope visible. This is a provisional connection, not an outcome finding.</w:t>
      </w:r>
    </w:p>
    <w:p>
      <w:r>
        <w:t>Available abstract (not full text): Abstract There is growing academic interest in examining how terrorist attacks shape the majority’s attitudes towards minority groups. Yet, little is known of how these minority groups react to the backlash such events provoke. This paper leverages the exogenous occurrence of a series of terrorist attacks during the fieldwork period of two surveys to estimate how such events affect the sentiment of both citizens and asylum seekers in Germany. Results of the natural experiment reveal that the 2016 terror attacks in Nice, Würzburg, and Ansbach substantially increased anti-refugee sentiment among German respondents. In line with this increase in hostility, refugees experienced more discrimination, felt less welcome in Germany, and suffered clinically relevant declines in mental health in the aftermath of the attacks. These results provide a more holistic understanding of how terrorism corrodes intergroup relations and how it affects those that are blamed for the events and thus suffer the brunt of the backlash following their occurrence.</w:t>
      </w:r>
    </w:p>
    <w:p>
      <w:r>
        <w:t>POSSIBLE 2020: Space-Time Surveillance of Negative Emotions after Consecutive Terrorist Attacks in London — https://doi.org/10.3390/ijerph17114000</w:t>
      </w:r>
    </w:p>
    <w:p>
      <w:r>
        <w:t>Shared claim-specific concepts: terrorist, attacks, london, levels, about, attention; EU scope not established. This is a provisional connection, not an outcome finding.</w:t>
      </w:r>
    </w:p>
    <w:p>
      <w:r>
        <w:t>Available abstract (not full text): Terrorist attacks pose significant threats to mental health. There is dearth information about the impact of consecutive terrorist attacks on space-time concentrations of emotional reactions. This study collected (1) Twitter data following the two terrorist attacks in London in March and June of 2017, respectively, and (2) deprivation data at small areal levels in the United Kingdom. The space-time permutation model was used to detect the significant clusters of negative emotions, including fear, sadness, and anger in tweets. Logistic regression models were used to examine the social deprivation of communities associated with negative tweeting. The results reported two significant clusters after the March attack, one was in London, ten days after the attack, and the other was far from the attack site between Manchester and Birmingham, three days after the attack. Attention to the reoccurring attack in June diminished quickly. The socially deprived communities experienced double disadvantage-sending fewer tweets but expressing more negative emotions than their counterparts. The findings suggest that terrorism can affect public emotions far and broad. There is a potential for surveillance to rapidly identify geographically concentrated emotions after consecutive or prolonged disasters using social media data.</w:t>
      </w:r>
    </w:p>
    <w:p>
      <w:pPr>
        <w:pStyle w:val="Heading2"/>
      </w:pPr>
      <w:r>
        <w:t>European Scenario Studies on Future In-Stream Nutrient Concentrations</w:t>
      </w:r>
    </w:p>
    <w:p>
      <w:r>
        <w:t>Original source (2013): https://doi.org/10.13031/trans.56.9961</w:t>
      </w:r>
    </w:p>
    <w:p>
      <w:r>
        <w:t>Original wording (abstract; indexed_source_text_not_full_document_verified): Results indicate that future total nitrogen (TN) loadings are likely to decrease in most parts of central Europe by 5 to 25 kg ha-1 year-1 due to land-use change in the form of reduced cropland area as a result of technological changes, as well as improvements in land-use management based on higher efficiencies of application rates.</w:t>
      </w:r>
    </w:p>
    <w:p>
      <w:r>
        <w:t>POSSIBLE 2026: Assessing precision and accuracy of manure volatile solids, total nitrogen, and total ammoniacal nitrogen analyses across 6 commercial laboratories — https://doi.org/10.3168/jdsc.2025-1007</w:t>
      </w:r>
    </w:p>
    <w:p>
      <w:r>
        <w:t>Shared claim-specific concepts: total, nitrogen, management, higher; EU scope not established. This is a provisional connection, not an outcome finding.</w:t>
      </w:r>
    </w:p>
    <w:p>
      <w:r>
        <w:t>Available abstract (not full text): Manure nutrient analyses inform nutrient management plans and GHG emission inventories, yet the magnitude and sources of measurement variability remain under-studied for several key nutrients. To assess uncertainty in manure nutrient measurements, we quantified intra- and inter-laboratory variation and analytical accuracy for volatile solids (VS), total nitrogen (TN) and total ammoniacal nitrogen (TAN) across 6 US laboratories certified by the Manure Analysis Proficiency Program. Fresh gutter-collected slurry subsamples (250 g) from a free-stall barn received either an equal amount of water (control), one of 2 spike levels of glucose (for VS), or one of 2 spike levels of NH 4 Cl (for TN and TAN). Repeatability (r, repeatability value; SD r , within-laboratory SD; RSD r , relative SD of repeatability) and leave-one-lab-out reproducibility (R, reproducibility value; SD R , between-laboratory SD; RSD R , relative SD of reproducibility), were calculated to evaluate precision. Spike recovery was used to assess accuracy. Repeatability values ranged from 0.30 to 3.49% for VS, 16.2 to 932 mg/kg for TN, and 28.0 to 1.65 × 10 3 mg/kg for TAN, while leave-one-lab-out R ranged from 2.56 to 6.08%, 405 to 683 mg/kg, and 363 to 593 mg/kg, respectively. Variability among laboratories was consistently higher than variability within laboratories but differed by nutrient: overall RSD R averaged 2</w:t>
      </w:r>
    </w:p>
    <w:p>
      <w:r>
        <w:t>POSSIBLE 2026: Industrial pollutant releases to water in Europe (2010-2024) — https://doi.org/10.2909/9f8d7f6c-5c6b-42ee-a684-2d208c088f4a</w:t>
      </w:r>
    </w:p>
    <w:p>
      <w:r>
        <w:t>Shared claim-specific concepts: indicate, total, nitrogen; EU scope visible. This is a provisional connection, not an outcome finding.</w:t>
      </w:r>
    </w:p>
    <w:p>
      <w:r>
        <w:t>Available abstract (not full text):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r>
        <w:t>POSSIBLE 2026: Industrial pollutant releases to water in Europe (2010-2024) — https://doi.org/10.2909/898d92dd-b70d-42c1-956f-8e90f78c7952</w:t>
      </w:r>
    </w:p>
    <w:p>
      <w:r>
        <w:t>Shared claim-specific concepts: indicate, total, nitrogen; EU scope visible. This is a provisional connection, not an outcome finding.</w:t>
      </w:r>
    </w:p>
    <w:p>
      <w:r>
        <w:t>Available abstract (not full text): This indicator tracks trends of industrial emissions of selected water pollutants. The indicator includes releases of certain heavy metals (cadmium, nickel, mercury and lead, presented as the sum of the releases of the four), nutrients (nitrogen and phosphorus) and a global parameter to indicate the load of organic matter (total organic carbon). In addition the indicator show the evolution of the Gross Value Added (GVA) from Industry. Dimensions available in the time-series data: 1. Industrial pollutant releases to water in Europe – Heavy Metals (Cd, Hg, Ni, Pb) 2. Industrial pollutant releases to water in Europe - Total Organic Carbon 3. Industrial pollutant releases to water in Europe - Total Nitrogen 4. Industrial pollutant releases to water in Europe - Total Phosphorus 5. Industrial pollutant releases to water in Europe - Gross Value Added</w:t>
      </w:r>
    </w:p>
    <w:p>
      <w:r>
        <w:t>POSSIBLE 2024: Trends in Air Pollution in Europe, 2000–2019 — https://doi.org/10.4209/aaqr.230237</w:t>
      </w:r>
    </w:p>
    <w:p>
      <w:r>
        <w:t>Shared claim-specific concepts: total, nitrogen, due, improvements; EU scope visible. This is a provisional connection, not an outcome finding.</w:t>
      </w:r>
    </w:p>
    <w:p>
      <w:r>
        <w:t>Available abstract (not full text):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r>
        <w:t>POSSIBLE 2021: Global Impact of COVID-19 Restrictions on the Surface Concentrations of Nitrogen Dioxide and Ozone — https://openalex.org/W3087582936</w:t>
      </w:r>
    </w:p>
    <w:p>
      <w:r>
        <w:t>Shared claim-specific concepts: total, nitrogen, decrease, due, reduced; EU scope visible. This is a provisional connection, not an outcome finding.</w:t>
      </w:r>
    </w:p>
    <w:p>
      <w:r>
        <w:t>Available abstract (not full text): Social distancing to combat the COVID-19 pandemic has led to widespread reductions in air pollutant emissions. Quantifying these changes requires a business-as-usual counterfactual that accounts for the synoptic and seasonal variability of air pollutants. We use a machine learning algorithm driven by information from the NASA GEOS-CF model to assess changes in nitrogen dioxide (NO2) and ozone (O3) at 5756 observation sites in 46 countries from January through June 2020. Reductions in NO2 coincide with the timing and intensity of COVID-19 restrictions, ranging from 60 % in severely affected cities (e.g., Wuhan, Milan) to little change (e.g., Rio de Janeiro, Taipei). On average, NO2 concentrations were 18 (13-23) % lower than business as usual from February 2020 onward. China experienced the earliest and steepest decline, but concentrations since April have mostly recovered and remained within 5 % of the business-as-usual estimate. NO2 reductions in Europe and the US have been more gradual, with a halting recovery starting in late March. We estimate that the global NOx (NO + NO2) emission reduction during the first 6 months of 2020 amounted to 3.1 (2.6-3.6) TgN, equivalent to 5.5 (4.7-6.4) % of the annual anthropogenic total. The response of surface O3 is complicated by competing influences of nonlinear atmospheric chemistry. While surface O3 increased by up to 50 % in some locat</w:t>
      </w:r>
    </w:p>
    <w:p>
      <w:r>
        <w:t>POSSIBLE 2021: Response of chlorophyll a to total nitrogen and total phosphorus concentrations in lotic ecosystems: a systematic review — https://doi.org/10.1186/s13750-021-00238-8</w:t>
      </w:r>
    </w:p>
    <w:p>
      <w:r>
        <w:t>Shared claim-specific concepts: total, nitrogen, based; EU scope not established. This is a provisional connection, not an outcome finding.</w:t>
      </w:r>
    </w:p>
    <w:p>
      <w:r>
        <w:t>Available abstract (not full text): Abstract Background Eutrophication of freshwater ecosystems resulting from nitrogen and phosphorus pollution is a major environmental stressor across the globe. In this systematic review, we compiled and synthesized literature on sestonic and benthic chlorophyll a (chl-a) responses to total nitrogen (TN) and total phosphorus (TP) concentrations in the water column in streams and rivers to provide a state-of-the-science summary of nutrient impacts on these endpoints. This review was motivated by the need for comprehensive information on stressor-response relationships for the most common nutrient and biotic response measures used by state-level environmental managers in the United States to assess eutrophication of lotic ecosystems and support environmental decision making. Methods Searches for peer-reviewed and non-peer-reviewed articles were conducted using bibliographic databases, specialist websites, and search engines. These returns were supplemented with citation mapping and requests for material from experts. Articles were screened for relevance using pre-determined eligibility criteria, and risk of bias was evaluated for each included article based on study type-specific criteria. Narrative summaries and meta-analysis were used to evaluate four primary stressor-response relationships: TN-benthic chl-a, TP-benthic chl-a, TN-sestonic chl-a, and TP-sestonic chl-a. Potential</w:t>
      </w:r>
    </w:p>
    <w:p>
      <w:r>
        <w:t>POSSIBLE 2020: Nitrogen Dioxide (NO2) Pollution Monitoring with Sentinel-5P Satellite Imagery over Europe during the Coronavirus Pandemic Outbreak — https://doi.org/10.3390/rs12213575</w:t>
      </w:r>
    </w:p>
    <w:p>
      <w:r>
        <w:t>Shared claim-specific concepts: nitrogen, decrease, based; EU scope visible. This is a provisional connection, not an outcome finding.</w:t>
      </w:r>
    </w:p>
    <w:p>
      <w:r>
        <w:t xml:space="preserve">Available abstract (not full text): Nitrogen dioxide (NO2) is one of the main air quality pollutants of concern in many urban and industrial areas worldwide, and particularly in the European region, where in 2017 almost 20 countries exceeded the NO2 annual limit values imposed by the European Commission Directive 2008/50/EC (EEA, 2019). NO2 pollution monitoring and regulation is a necessary task to help decision makers to search for a sustainable solution for environmental quality and population health status improvement. In this study, we propose a comparative analysis of the tropospheric NO2 column spatial configuration over Europe between similar periods in 2019 and 2020, based on the ESA Copernicus Sentinel-5P products. The results highlight the NO2 pollution dynamics over the abrupt transition from a normal condition situation to the COVID-19 outbreak context, characterized by a short-time decrease of traffic intensities and industrial activities, revealing remarkable tropospheric NO2 column number density decreases even of 85% in some of the European big cities. The validation approach of the satellite-derived data, based on a cross-correlation analysis with independent data from ground-based observations, provided encouraging values of the correlation coefficients (R2), ranging between 0.5 and 0.75 in different locations. The remarkable decrease of NO2 pollution over Europe during the COVID-19 lockdown is </w:t>
      </w:r>
    </w:p>
    <w:p>
      <w:r>
        <w:t>POSSIBLE 2020: Nitrogen Surplus—A Unified Indicator for Water Pollution in Europe? — https://doi.org/10.3390/w12041197</w:t>
      </w:r>
    </w:p>
    <w:p>
      <w:r>
        <w:t>Shared claim-specific concepts: nitrogen, well, management; EU scope visible. This is a provisional connection, not an outcome finding.</w:t>
      </w:r>
    </w:p>
    <w:p>
      <w:r>
        <w:t xml:space="preserve">Available abstract (not full text): Pollution of ground-and surface waters with nitrates from agricultural sources poses a risk to drinking water quality and has negative impacts on the environment. At the national scale, the gross nitrogen budget (GNB) is accepted as an indicator of pollution caused by nitrates. There is, however, little common EU-wide knowledge on the budget application and its comparability at the farm level for the detection of ground-and surface water pollution caused by nitrates and the monitoring of mitigation measures. Therefore, a survey was carried out among experts of various European countries in order to assess the practice and application of fertilization planning and nitrogen budgeting at the farm level and the differences between countries within Europe. While fertilization planning is practiced in all of the fourteen countries analyzed in this paper, according to current legislation, nitrogen budgets have to be calculated only in Switzerland, Germany and Romania. The survey revealed that methods of fertilization planning and nitrogen budgeting at the farm level are not unified throughout Europe. In most of the cases where budgets are used regularly (Germany, Romania, Switzerland), standard values for the chemical composition of feed, organic fertilizers, animal and plant products are used. The example of the Dutch Annual Nutrient Cycling Assessment (ANCA) tool (and partly of the </w:t>
      </w:r>
    </w:p>
    <w:p>
      <w:r>
        <w:t>POSSIBLE 2019: Effects of anthropogenic nitrogen discharge on dissolved inorganic nitrogen transport in global rivers — https://doi.org/10.1111/gcb.14570</w:t>
      </w:r>
    </w:p>
    <w:p>
      <w:r>
        <w:t>Shared claim-specific concepts: total, nitrogen, based; EU scope visible. This is a provisional connection, not an outcome finding.</w:t>
      </w:r>
    </w:p>
    <w:p>
      <w:r>
        <w:t>Available abstract (not full text): Excess nutrients from fertilizer application, pollution discharge, and water regulations outflow through rivers from lands to oceans, seriously impacting coastal ecosystems. A reasonable representation of these processes in land surface models and River Transport Models (RTMs) is very important for understanding human-environment interactions. In this study, the schemes of riverine dissolved inorganic nitrogen (DIN) transport and human activities including nitrogen discharge and water regulation, were synchronously incorporated into a land surface model coupled with a RTM. The effects of anthropogenic nitrogen discharge on the DIN transport in rivers were studied based on simulations of the period 1991-2010 throughout the entire world, conducted using the developed model, which had a spatial resolution of about 1° for land processes and 0.5° for river transport, and data on fertilizer application, point source pollution, and water use. Our results showed that rivers in western Europe and eastern China were seriously polluted, on average, at a rate of 5,000-15,000 tons per year. In the Yangtze River Basin, the amount of point source pollution in 2010 was about four times more than that in 1991, while the amount of fertilizer used in 2010 doubled, which resulted in the increased riverine DIN levels. Further comparisons suggested that the riverine DIN in the USA was affected prima</w:t>
      </w:r>
    </w:p>
    <w:p>
      <w:r>
        <w:t>POSSIBLE 2017: Response of chlorophyll a to total nitrogen and total phosphorus concentrations in lotic ecosystems: a systematic review protocol — https://doi.org/10.1186/s13750-017-0097-8</w:t>
      </w:r>
    </w:p>
    <w:p>
      <w:r>
        <w:t>Shared claim-specific concepts: total, nitrogen, well, management; EU scope not established. This is a provisional connection, not an outcome finding.</w:t>
      </w:r>
    </w:p>
    <w:p>
      <w:r>
        <w:t>Available abstract (not full text): Abstract Background Eutrophication of freshwater ecosystems resulting from nitrogen and phosphorus pollution is a major stressor across the globe. Despite recognition by scientists and stakeholders of the problems of nutrient pollution, rigorous synthesis of scientific evidence is still needed to inform nutrient-related management decisions, especially in streams and rivers. Nutrient stressor-response relationships are complicated by multiple interacting environmental factors, complex and indirect causal pathways involving diverse biotic assemblages and food web compartments, legacy (historic) nutrient sources such as agricultural sediments, and the naturally high spatiotemporal variability of lotic ecosystems. Determining nutrient levels at which ecosystems are affected is a critical first step for identifying, managing, and restoring aquatic resources impaired by eutrophication and maintaining currently unimpaired resources. The systematic review outlined in this protocol will compile and synthesize literature on the response of chlorophyll a to nutrients in streams, providing a state-of-the-science body of evidence to assess nutrient impacts to one of the most widely-used measures of eutrophication. This review will address two questions: “What is the response of chlorophyll a to total nitrogen and total phosphorus concentrations in lotic ecosystems?” and “How are these rela</w:t>
      </w:r>
    </w:p>
    <w:p>
      <w:r>
        <w:t>POSSIBLE 2017: Global deposition of total reactive nitrogen oxides from 1996 to 2014 constrained with satellite observations of NO 2 columns — https://doi.org/10.5194/acp-17-10071-2017</w:t>
      </w:r>
    </w:p>
    <w:p>
      <w:r>
        <w:t>Shared claim-specific concepts: total, nitrogen, parts; EU scope visible. This is a provisional connection, not an outcome finding.</w:t>
      </w:r>
    </w:p>
    <w:p>
      <w:r>
        <w:t>Available abstract (not full text): Abstract. Reactive nitrogen oxides (NOy) are a major constituent of the nitrogen deposited from the atmosphere, but observational constraints on their deposition are limited by poor or nonexistent measurement coverage in many parts of the world. Here we apply NO2 observations from multiple satellite instruments (GOME, SCIAMACHY, and GOME-2) to constrain the global deposition of NOy over the last 2 decades. We accomplish this by producing top-down estimates of NOx emissions from inverse modeling of satellite NO2 columns over 1996–2014, and including these emissions in the GEOS-Chem chemical transport model to simulate chemistry, transport, and deposition of NOy. Our estimates of long-term mean wet nitrate (NO3−) deposition are highly consistent with available measurements in North America, Europe, and East Asia combined (r = 0.83, normalized mean bias = −7 %, N = 136). Likewise, our calculated trends in wet NO3− deposition are largely consistent with the measurements, with 129 of the 136 gridded model–data pairs sharing overlapping 95 % confidence intervals. We find that global mean NOy deposition over 1996–2014 is 56.0 Tg N yr−1, with a minimum in 2006 of 50.5 Tg N and a maximum in 2012 of 60.8 Tg N. Regional trends are large, with opposing signs in different parts of the world. Over 1996 to 2014, NOy deposition decreased by up to 60 % in eastern North America, doubled in regio</w:t>
      </w:r>
    </w:p>
    <w:p>
      <w:r>
        <w:t>POSSIBLE 2016: Effect of climate data on simulated carbon and nitrogen balances for Europe — https://doi.org/10.1002/2015jg003216</w:t>
      </w:r>
    </w:p>
    <w:p>
      <w:r>
        <w:t>Shared claim-specific concepts: total, nitrogen, based, higher; EU scope visible. This is a provisional connection, not an outcome finding.</w:t>
      </w:r>
    </w:p>
    <w:p>
      <w:r>
        <w:t>Available abstract (not full text): Abstract In this study, we systematically assess the spatial variability in carbon and nitrogen balance simulations related to the choice of global circulation models (GCMs), representative concentration pathways (RCPs), spatial resolutions, and the downscaling methods used as calculated with LPJ‐GUESS. We employed a complete factorial design and performed 24 simulations for Europe with different climate input data sets and different combinations of these four factors. Our results reveal that the variability in simulated output in Europe is moderate with 35.6%–93.5% of the total variability being common among all combinations of factors. The spatial resolution is the most important factor among the examined factors, explaining 1.5%–10.7% of the total variability followed by GCMs (0.3%–7.6%), RCPs (0%–6.3%), and downscaling methods (0.1%–4.6%). The higher‐order interactions effect that captures nonlinear relations between the factors and random effects is pronounced and accounts for 1.6%–45.8% to the total variability. The most distinct hot spots of variability include the mountain ranges in North Scandinavia and the Alps, and the Iberian Peninsula. Based on our findings, we advise to conduct the application of models such as LPJ‐GUESS at a reasonably high spatial resolution which is supported by the model structure. There is no notable gain in simulations of ecosystem carbon an</w:t>
      </w:r>
    </w:p>
    <w:p>
      <w:pPr>
        <w:pStyle w:val="Heading2"/>
      </w:pPr>
      <w:r>
        <w:t>European atmosphere in 2050, a regional air quality and climate perspective under CMIP5 scenarios</w:t>
      </w:r>
    </w:p>
    <w:p>
      <w:r>
        <w:t>Original source (2013): https://doi.org/10.5194/acp-13-7451-2013</w:t>
      </w:r>
    </w:p>
    <w:p>
      <w:r>
        <w:t>Original wording (abstract; indexed_source_text_not_full_document_verified): To quantify changes in air pollution in Europe at the 2050 horizon, we designed a comprehensive modelling system that captures the external factors considered to be most relevant and relies on up-to-date and consistent sets of air pollution and climate policy scenarios. We explored two diverse scenarios: a reference scenario where climate policies are absent and a mitigation scenario which limits global temperature rise to within 2 °C by the end of this century.</w:t>
      </w:r>
    </w:p>
    <w:p>
      <w:r>
        <w:t>POSSIBLE 2026: Climate &amp; Air Quality projections over Europe for 2030 and 2050 — https://openalex.org/W7213705154</w:t>
      </w:r>
    </w:p>
    <w:p>
      <w:r>
        <w:t>Shared claim-specific concepts: quantify, air, relevant, consistent, climate; EU scope visible. This is a provisional connection, not an outcome finding.</w:t>
      </w:r>
    </w:p>
    <w:p>
      <w:r>
        <w:t>Available abstract (not full text): Over Europe, air quality has improved in recent years and is expected to continue improving due to further emission reductions. However, climate change also affects air quality, for instance through changes in wash-out processes or increases in biogenic VOC emissions. The magnitude and direction of these climate-induced air quality changes remain uncertain. To investigate how air quality evolves under different emission projections for species relevant to both climate and air quality, we perform consistent chemistry-climate simulations for Europe for the years 2030 and 2050. For these simulations, we use the global-regional chemistry-climate model MECO(n). MECO(n) consists of the global chemistry-climate model EMAC and the regional atmospheric chemistry model COSMO-CLM/MESSy. The EMAC simulations are performed with a global horizontal resolution of around 120 km. Over Europe, we include up to three nested domains: a 22 km domain covering the entire continent, a 7 km domain for Central Europe, and a 2 km domain over Germany. For present-day and future projections, we use historical simulations and SSP projections (SSP1-2.6 and SSP2-4.5) downscaled consistently over Europe. We present a preliminary analysis of the simulated air quality changes, with a particular focus on the role of transport sector emissions. To quantify the effects of these emissions, we apply a source apportio</w:t>
      </w:r>
    </w:p>
    <w:p>
      <w:r>
        <w:t>POSSIBLE 2025: Quantifying the Climate Penalty on Air Quality in Europe – Insights from INSPEnCaT Project — https://doi.org/10.5194/egusphere-egu25-17230</w:t>
      </w:r>
    </w:p>
    <w:p>
      <w:r>
        <w:t>Shared claim-specific concepts: quantify, air, pollution, system, relies, sets; EU scope visible. This is a provisional connection, not an outcome finding.</w:t>
      </w:r>
    </w:p>
    <w:p>
      <w:r>
        <w:t xml:space="preserve">Available abstract (not full text): The European Commission’s Zero Pollution Action Plan sets ambitious goals to reduce air, water, and soil pollution by 2050, including a 55% reduction in premature deaths from air pollution by 2030. In 2022, fine particulate matter (PM₂.₅), nitrogen dioxide (NO₂), and ozone (O₃) caused 239,000, 48,000, and 70,000 premature deaths, respectively. The interaction between climate change and air pollution presents significant challenges for achieving these ambitious goals. Rising temperatures, frequent heatwaves, and drought conditions enhance the production of O₃ and the formation of secondary organic aerosols (SOA), increasing PM₂.₅ levels by up to 5% in some regions. These compounded effects heighten health and environmental risks. The Mediterranean Basin, a recognized climate change hotspot, faces particularly severe challenges. Under high-warming scenarios (+4°C), intensify emissions of O₃ precursors and wildfire activity in southern Europe. The “climate penalty” — the additional burden of air pollution under changing climate conditions— could at least partly offset the benefits of current mitigation measures. For example, projections indicate a 15% increase in O₃-related premature mortality and respiratory hospitalizations in southern Europe by mid-century. However, uncertainties remain regarding the isolated contribution of climate change to these trends.The INSPEnCaT project </w:t>
      </w:r>
    </w:p>
    <w:p>
      <w:r>
        <w:t>POSSIBLE 2025: High resolution assessment of air quality and health in Europe under different climate mitigation scenarios — https://doi.org/10.1038/s41467-025-60449-2</w:t>
      </w:r>
    </w:p>
    <w:p>
      <w:r>
        <w:t>Shared claim-specific concepts: quantify, air, pollution, climate, policies; EU scope visible. This is a provisional connection, not an outcome finding.</w:t>
      </w:r>
    </w:p>
    <w:p>
      <w:r>
        <w:t>Available abstract (not full text): Climate change mitigation policies lower greenhouse gas emissions and generally reduce fine particulate matter (PM2.5) concentrations, hereby bringing health co-benefits. Yet, the spatial and distributional air quality co-benefits in Europe of such policies are not fully understood. Here, We quantify premature mortality from air pollution in 1366 regions of Europe for different scenarios obtained from the Coupled Model Intercomparison Project Phase 6. We model PM2.5 concentrations at high spatial resolution and then combine it with population data and regional age structure and total mortality, to calculate attributable deaths. We find that the share of the European population meeting WHO (World Health Organization) guideline value for PM2.5 could exceed 90% by 2100 under the most ambitious scenario, while less than 10% under the least ambitious one. Corresponding premature deaths in Europe would total 67,000 (95% CI: 13,000–141,000) per year by the end of the century compared to 282,000 (95% CI: 202,000–364,000). This study quantifies premature mortality from air pollution in 1366 regions of Europe for different scenarios, finding that the share of the European population meeting WHO guideline value for PM2.5 could exceed 90% by 2100 under the most ambitious scenario, while less than 10% under the least ambitious one.</w:t>
      </w:r>
    </w:p>
    <w:p>
      <w:r>
        <w:t>POSSIBLE 2024: Climate change and air pollution impacts on cultural heritage building materials in Europe and Mexico — https://doi.org/10.1016/j.scitotenv.2024.170945</w:t>
      </w:r>
    </w:p>
    <w:p>
      <w:r>
        <w:t>Shared claim-specific concepts: air, pollution, relevant, climate; EU scope visible. This is a provisional connection, not an outcome finding.</w:t>
      </w:r>
    </w:p>
    <w:p>
      <w:r>
        <w:t>Available abstract (not full text): Climate and air pollution have adverse effects on cultural heritage building materials. However, the quantified damage due to modeled changes in climate and air pollution is still poorly studied. Here, we review first the damage affecting these materials and the associated damage equations in the literature. Across all relevant studies (n = 87), we found only nine independent equations to estimate different damage categories, mainly limited to limestones. Then, by using current meteorological data and future bias-corrected CMIP6 climate and air pollution data at high resolution (1 km; historical and business-as-usual scenario) and applying these equations, we quantified the relative contributions of climate and air pollution changes on the building materials of eight cultural heritage sites of the European project Sustainable COnservation and REstoration of built cultural heritage (SCORE) from 2020 to 2100. On average across the sites, a significant decrease in damage is projected in surface recession (-10 % ± 10 %), biomass accumulation (-20 % ± 18 %), and wind-rain erosion (-7 % ± 6 %) in response to future climate and air pollution changes, except in the regions where precipitation substantially increases (Northern Europe). A large uncertainty in the relative magnitude of the damage to built cultural heritage materials was found for the same site, changes in surface recessio</w:t>
      </w:r>
    </w:p>
    <w:p>
      <w:r>
        <w:t>POSSIBLE 2023: The Future Impact of Shipping Emissions on Air Quality in Europe under Climate Change — https://doi.org/10.3390/atmos14071126</w:t>
      </w:r>
    </w:p>
    <w:p>
      <w:r>
        <w:t>Shared claim-specific concepts: quantify, air, modelling, system, climate, two; EU scope visible. This is a provisional connection, not an outcome finding.</w:t>
      </w:r>
    </w:p>
    <w:p>
      <w:r>
        <w:t>Available abstract (not full text): Ship engine combustion emits several atmospheric pollutants, such as PM, SOx, and NOx, which can have adverse health effects and are significant contributors to decreased air quality. Due to the distribution of maritime transport activity routes in the EU, a large portion of the population is exposed to shipping emissions throughout Europe. Therefore, in light of the European Commission long-term objective of “zero-waste, zero-emission” for maritime transport, the focus of this study was to quantify the impact of shipping emissions in the present, as well as the future, considering both emissions projection for the shipping sector and a climate change scenario. The WRF-CHIMERE modelling system was used to quantify the impact of shipping in Europe. To obtain the current and future contributions of maritime transport to the total pollutant concentrations, simulations were divided into two present (baseline and without shipping) and three future scenarios (shipping projection, climate change, and shipping projection and climate change). The results indicate that the current and future impacts of shipping emissions on pollutant concentrations are similar in some regions (NO2 for Northern Europe and SO2 for Southern Europe), which is due to the enforcement of emission control areas for those pollutants. However, efforts towards lowering emissions from the shipping sector are negated</w:t>
      </w:r>
    </w:p>
    <w:p>
      <w:r>
        <w:t>POSSIBLE 2023: Clean air in Europe for all — https://doi.org/10.1097/ee9.0000000000000245</w:t>
      </w:r>
    </w:p>
    <w:p>
      <w:r>
        <w:t>Shared claim-specific concepts: air, pollution, designed, comprehensive, climate; EU scope visible. This is a provisional connection, not an outcome finding.</w:t>
      </w:r>
    </w:p>
    <w:p>
      <w:r>
        <w:t>Available abstract (not full text):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r>
        <w:t>POSSIBLE 2023: Science Europe Response Public consultation on Horizon 2020 and Horizon Europe — https://doi.org/10.5281/zenodo.7664436</w:t>
      </w:r>
    </w:p>
    <w:p>
      <w:r>
        <w:t>Shared claim-specific concepts: horizon, two, policies; EU scope visible. This is a provisional connection, not an outcome finding.</w:t>
      </w:r>
    </w:p>
    <w:p>
      <w:r>
        <w:t>Available abstract (not full text): As representative of major public organisations that fund and perform excellent research in Europe, Science Europe welcomes the opportunity to contribute to the reflection on the past, present, and future of the European Framework Programmes for Research and Innovation (R&amp;I). They are crucial instruments to boost European scientific excellence, facilitate collaboration among the European R&amp;I communities, and further develop the European Research Area (ERA). Despite a steady increase over the past decades, the budget of the programmes remains insufficient, and a majority of positively evaluated projects remain unfunded. The R&amp;I community must continue to advocate an increase of the budget, and to oppose any reductions over its lifetime, either during the yearly budget negotiations, or when new EU programmes are created and need funding. In this respect, it is crucial that citizens understand the importance of R&amp;I and support it. The main objective of the Framework Programmes has shifted since the preparation of Horizon 2020. A bigger focus was placed on a utilitarian purpose of scientific outputs for rapid (economic) impact. Additionally, political agendas became stronger drivers of R&amp;I strategies. Science Europe advocates a stronger focus on the generation of knowledge for its own intrinsic value, and on the confidence that excellent research and innovation will lead to impact.</w:t>
      </w:r>
    </w:p>
    <w:p>
      <w:r>
        <w:t>POSSIBLE 2022: Reviewing the links and feedbacks between climate change and air pollution in Europe — https://doi.org/10.3389/fenvs.2022.954045</w:t>
      </w:r>
    </w:p>
    <w:p>
      <w:r>
        <w:t>Shared claim-specific concepts: quantify, air, pollution, climate, policies;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2022: Quantifying the role of the large-scale circulation on European summer precipitation change — https://doi.org/10.1007/s00382-022-06250-z</w:t>
      </w:r>
    </w:p>
    <w:p>
      <w:r>
        <w:t>Shared claim-specific concepts: quantify, climate; EU scope visible. This is a provisional connection, not an outcome finding.</w:t>
      </w:r>
    </w:p>
    <w:p>
      <w:r>
        <w:t>Available abstract (not full text): Abstract Regional climate projections indicate that European summer precipitation may change considerably in the future. Southern Europe can expect substantial drying while Northern Europe could actually become wetter. Model spread and internal variability in these projections are large, however, and unravelling the processes that underlie the changes is essential to get more confidence in these projections. Large-scale circulation change is one of the contributors to model spread. In this paper we quantify the role of future large-scale circulation changes to summer precipitation change, using a 16-member single-model ensemble obtained with the regional climate model RACMO2, forced by the global climate model EC-Earth2.3 and the RCP8.5 emission scenario. Using the method of circulation analogues three contributions to the future precipitation change are distinguished. The first is the precipitation change occurring without circulation change (referred to as the thermodynamic term). This contribution is characterised by a marked drying-to-wetting gradient as one moves north from the Mediterranean. The second contribution measures the effects of changes in the mean circulation. It has a very different spatial pattern and is closely related to the development of a region of high pressure (attaining its maximum west of Ireland) and the associated anti-cyclonic circulation response</w:t>
      </w:r>
    </w:p>
    <w:p>
      <w:r>
        <w:t>POSSIBLE 2022: Health horizons: Future trends and technologies from the European Medicines Agency’s horizon scanning collaborations — https://doi.org/10.3389/fmed.2022.1064003</w:t>
      </w:r>
    </w:p>
    <w:p>
      <w:r>
        <w:t>Shared claim-specific concepts: horizon, relevant; EU scope visible. This is a provisional connection, not an outcome finding.</w:t>
      </w:r>
    </w:p>
    <w:p>
      <w:r>
        <w:t>Available abstract (not full text):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r>
        <w:t>POSSIBLE 2021: Air traffic and contrail changes over Europe during COVID-19: a model study — https://doi.org/10.5194/acp-21-7429-2021</w:t>
      </w:r>
    </w:p>
    <w:p>
      <w:r>
        <w:t>Shared claim-specific concepts: air, climate, reference; EU scope visible. This is a provisional connection, not an outcome finding.</w:t>
      </w:r>
    </w:p>
    <w:p>
      <w:r>
        <w:t>Available abstract (not full text): Abstract. The strong reduction of air traffic during the COVID-19 pandemic provides a test case for the relation between air traffic density, contrails, and their radiative forcing of climate change. Air traffic and contrail cirrus changes are quantified for a European domain for March to August 2020 and compared to the same period in 2019. Traffic data show a 72 % reduction in flight distance compared with 2019. This paper investigates the induced contrail changes in a model study. The contrail model results depend on various methodological details tested in parameter studies. In the reference case, the reduced traffic caused an even stronger reduction in contrail length, partly because the weather conditions in 2020 were less favourable for contrail formation than in 2019. Contrail coverage over Europe with an optical depth larger than 0.1 decreased from 4.6 % in 2019 to 1.4 % in 2020; total cirrus cover amount changed from 28 to 25 %. The reduced contrail coverage caused 70 % less longwave and 73 % less shortwave radiative forcing with the consequential reduction of 54 % in the net forcing. The methods include recently developed models for performance parameters and soot emissions. The overall propulsion efficiency of the aircraft is about 20 % smaller than estimated in earlier studies, resulting in 3 % fewer contrails. Considerable sensitivity to soot emissions is found hig</w:t>
      </w:r>
    </w:p>
    <w:p>
      <w:r>
        <w:t>POSSIBLE 2021: COVID-19 and Air Pollution: Measuring Pandemic Impact to Air Quality in Five European Countries — https://doi.org/10.3390/atmos12030290</w:t>
      </w:r>
    </w:p>
    <w:p>
      <w:r>
        <w:t>Shared claim-specific concepts: air, pollution, policies; EU scope visible. This is a provisional connection, not an outcome finding.</w:t>
      </w:r>
    </w:p>
    <w:p>
      <w:r>
        <w:t>Available abstract (not full text):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pPr>
        <w:pStyle w:val="Heading2"/>
      </w:pPr>
      <w:r>
        <w:t>Foresight and “grand challenges” within research and innovation policies</w:t>
      </w:r>
    </w:p>
    <w:p>
      <w:r>
        <w:t>Original source (2013): https://doi.org/10.1108/14636681311310123</w:t>
      </w:r>
    </w:p>
    <w:p>
      <w:r>
        <w:t>Original wording (abstract; indexed_source_text_not_full_document_verified): Purpose The paper seeks to discuss how foresight is used to understand the implications of global changes for research and innovation policies. It aims to present a recent Irish case study that identified grand challenges in the national context, with their implications for research and innovation.</w:t>
      </w:r>
    </w:p>
    <w:p>
      <w:r>
        <w:t>POSSIBLE 2026: Meaning, Purpose, and Leadership Thriving — https://doi.org/10.1002/jls.70045</w:t>
      </w:r>
    </w:p>
    <w:p>
      <w:r>
        <w:t>Shared claim-specific concepts: purpose, implications, challenges; EU scope not established. This is a provisional connection, not an outcome finding.</w:t>
      </w:r>
    </w:p>
    <w:p>
      <w:r>
        <w:t>Available abstract (not full text): ABSTRACT This article advances a framework linking meaning‐making and purpose to leadership thriving. Drawing on leadership, positive psychology, and higher education literature, I position leadership as an interpretive and developmental process through which individuals construct meaning, sustain purpose, and cultivate coherent leadership identities. Meaning‐making is examined as a mechanism to shape how challenges are interpreted, while purpose functions as a motivational anchor to sustain engagement and direction. Leadership identity integrates these elements, supporting authenticity and developmental continuity. Implications for leadership education are discussed, emphasizing reflective practice, narrative development, and purpose exploration as core pedagogical strategies to foster thriving among undergraduate leaders.</w:t>
      </w:r>
    </w:p>
    <w:p>
      <w:r>
        <w:t>POSSIBLE 2025: The Authenticity of Purpose Claims: Firm Capacity and Job Seeker Responses to Recruitment Efforts — https://doi.org/10.1287/mnsc.2023.03931</w:t>
      </w:r>
    </w:p>
    <w:p>
      <w:r>
        <w:t>Shared claim-specific concepts: purpose, understand, present, recent, context; EU scope not established. This is a provisional connection, not an outcome finding.</w:t>
      </w:r>
    </w:p>
    <w:p>
      <w:r>
        <w:t>Available abstract (not full text): Whereas corporate purpose involves a claim made to galvanize stakeholders, recent research on the topic has not examined it as a claim. Given the information asymmetry that many evaluators of purpose claims face, a key question concerns the conditions under which they are not simply viewed as cheap talk but are instead perceived as authentic. We argue that the difficulty and future orientation inherent to purpose claims make firm capacity a key source of authenticity and, ultimately, positive evaluations. We examine these ideas in the labor market context, where employers often present purpose claims to job seekers facing information asymmetry. First, we develop and validate a novel measure of purpose claim strength using a combination of topic modeling, dictionary-based validation, and experimental validation. Using this measure, we test our capacity hypothesis with job application field data, using firm size as a proxy for capacity. We find that high-purpose job posts receive approximately 50% more applications than low-purpose job posts when the firm has more than 1,000 employees, but only receive about a 10% increase when the firm has fewer than 50 employees. In a second study, we use vignette experiments to directly test our hypothesized mechanism. We show that, conditional on a strong purpose claim, size manipulations shape capacity perceptions, leading to greater perceiv</w:t>
      </w:r>
    </w:p>
    <w:p>
      <w:r>
        <w:t>POSSIBLE 2024: FINDING OUR PURPOSE — https://doi.org/10.1002/9781394308705.ch2</w:t>
      </w:r>
    </w:p>
    <w:p>
      <w:r>
        <w:t>Shared claim-specific concepts: purpose, discuss, understand; EU scope not established. This is a provisional connection, not an outcome finding.</w:t>
      </w:r>
    </w:p>
    <w:p>
      <w:r>
        <w:t>Available abstract (not full text): In this chapter, the authors discuss about the experience of an amazing journey while writing and promoting the book. One of the most inspiring aspects of that journey was meeting countless people who had found a sense of Purpose in what they were doing. The authors find meaning in it and connect their work with values that they held dear. They discover a clear why that informed their creativity and actions. This realization became even clearer, and the hunger to discover Purpose in our own lives and work grew increasingly important to us. In many ways, that experience is what makes the struggle to understand the Purpose so relatable and understandable. The authors suggest that people needed to embark on new journeys, not ones focused on the Purposes of others but a journey to discover their own why and reason for being.</w:t>
      </w:r>
    </w:p>
    <w:p>
      <w:r>
        <w:t>POSSIBLE 2024: Pregnant Women's Experiences of Seeking Treatment for Opioid Use — https://doi.org/10.1097/nmc.0000000000001024</w:t>
      </w:r>
    </w:p>
    <w:p>
      <w:r>
        <w:t>Shared claim-specific concepts: purpose, used, understand, implications, identified; EU scope not established. This is a provisional connection, not an outcome finding.</w:t>
      </w:r>
    </w:p>
    <w:p>
      <w:r>
        <w:t>Available abstract (not full text): PURPOSE: The purpose of this study was to describe women's experiences seeking treatment for opioid use disorder during pregnancy. STUDY DESIGN AND METHODS: This was an exploratory multi-method study to understand women's experiences seeking treatment for opioid use disorder during pregnancy using surveys and interviews. Women pregnant within the past 5 years while using opioids were recruited from a private Facebook group for mothers on medication for opioid use disorder. Members of this group assisted with the development of the survey. Descriptive statistics were used for the 18-question survey and interviews were recorded, transcribed, and analyzed for themes. RESULTS: Twenty-one women completed an online survey, and six participated in an in-depth virtual interview about their experience. Five themes describing their experiences were identified: (1) fear of child protective services, (2) family and partner support, (3) health care providers' reactions, (4) accessing treatment centers, and (5) awareness of support services during pregnancy . CLINICAL IMPLICATIONS: Participants reported an overall negative experience seeking treatment for opioid use disorder during pregnancy. Nurses can improve the outcomes for pregnant women with opioid use disorder by using a non-stigmatizing approach, promoting early identification, and providing information, including harm reduction educ</w:t>
      </w:r>
    </w:p>
    <w:p>
      <w:r>
        <w:t>POSSIBLE 2023: Power of a Feminist Identity on Sense of Self and Purpose — https://doi.org/10.33470/2161-0029.1148</w:t>
      </w:r>
    </w:p>
    <w:p>
      <w:r>
        <w:t>Shared claim-specific concepts: purpose, understand, implications; EU scope not established. This is a provisional connection, not an outcome finding.</w:t>
      </w:r>
    </w:p>
    <w:p>
      <w:r>
        <w:t>Available abstract (not full text): This study centered on feminist-identified women and the meaning they made from their feminist identity. Using an Interpretative Phenomenological Analysis design, eight women were interviewed to understand their lived experience and the influence their social or political identity had on how they experienced and made sense of their world. The overarching finding was that all participants exuded a strong sense of self, which seemed to provide resilience and empower participants to navigate sexism and other injustice. Themes that support this finding include exhibiting confidence and self-advocacy, confronting sexism, and describing a connection between feminist identity and career or activism. Implications are provided for counselors, counselor educators, and supervisors. Recommendations include recognizing the importance of clients’ feminist identities throughout the counseling process and drawing on a feminist framework to process lived discrimination and injustice, empower clients, and locate support systems.</w:t>
      </w:r>
    </w:p>
    <w:p>
      <w:r>
        <w:t>POSSIBLE 2021: Automata, Purpose, and Value — https://doi.org/10.4324/9781003205760-9</w:t>
      </w:r>
    </w:p>
    <w:p>
      <w:r>
        <w:t>Shared claim-specific concepts: purpose, aims, context; EU scope not established. This is a provisional connection, not an outcome finding.</w:t>
      </w:r>
    </w:p>
    <w:p>
      <w:r>
        <w:t>Available abstract (not full text): Goal-seeking or purposive behavior was also one of the functions thought to be denied to automata. This chapter aims to argue that there is, related to purposiveness, one area of essential difference between humans and automata that has not thus far been replicated or simulated, even ‘in principle.’ The problem of the distinction between human beings and sophisticated machines of the robot sort has often been discussed in the context of whether robots can be made to exhibit characteristic behavior of humans or to accomplish all the ‘mental’ tasks that humans can. The metaphorical or analogical extension of such terminology neglects the complex human context in which its meaningfulness has arisen. The fact that most ordinary goals and values are acquired from our social environment does not mean, either, that those that come from society are not deliberate, not autonomous human purposes.</w:t>
      </w:r>
    </w:p>
    <w:p>
      <w:r>
        <w:t>POSSIBLE 2021: Health-seeking behaviours of immigrants, asylum seekers and refugees in Europe: a systematic review of peer-reviewed articles — https://doi.org/10.1108/jd-10-2020-0168</w:t>
      </w:r>
    </w:p>
    <w:p>
      <w:r>
        <w:t>Shared claim-specific concepts: purpose, used, understand, implications, challenges, context; EU scope visible. This is a provisional connection, not an outcome finding.</w:t>
      </w:r>
    </w:p>
    <w:p>
      <w:r>
        <w:t xml:space="preserve">Available abstract (not full text): Purpose Immigrants, asylum seekers and refugees living in Europe face a number of challenges in accessing or using health information and healthcare services available in their host countries. To resolve these issues and deliver the necessary services, providers must take a comprehensive approach to better understand the types of health information and healthcare services that these individuals need, seek and use. Therefore, the purpose of this paper is to develop that comprehensive approach. Design/methodology/approach In this paper, a systematic literature review of peer-reviewed publications was performed, with 3.013 articles collected from various databases. A total of 57 qualifying papers on studies conducted in Europe were included in the review after applying the predefined inclusion and exclusion requirements, screening processes and eliminating duplicates. The information seeking and communication model (ISCM) was used in the analysis. Findings The findings revealed that while many health information and healthcare services are accessible in Europe for immigrants, asylum seekers and refugees, many of these individuals are unaware of their existence or how to access them. While our findings do not specify what health-related information these groups need, use or seek, they do suggest the importance and value of providing mental health, sexual health and HIV, as well as </w:t>
      </w:r>
    </w:p>
    <w:p>
      <w:r>
        <w:t>POSSIBLE 2019: Why do people seek knowledge? Tracing factors that affect knowledge seeking intention — https://doi.org/10.1108/vjikms-04-2019-0059</w:t>
      </w:r>
    </w:p>
    <w:p>
      <w:r>
        <w:t>Shared claim-specific concepts: purpose, seeks, used, understand, implications; EU scope not established. This is a provisional connection, not an outcome finding.</w:t>
      </w:r>
    </w:p>
    <w:p>
      <w:r>
        <w:t>Available abstract (not full text): Purpose The purpose of this study is to understand factors that motivate an individual to seek knowledge on knowledge management systems. Specifically, the work seeks to clarify the impact of organizational practices on an individual’s intention to seek knowledge. The overarching theme is to broaden the current understanding of factors that impact individual knowledge seeking behavior and narrow down factors for which interventions can be developed. Design/methodology/approach In-depth interviews were conducted with the members of knowledge management (KM), human resources (HR) and learning and development teams of Robert Bosch Engineering and Business Solutions Private Limited (RBEI) to understand knowledge behaviors of employees. Subsequent to an exploratory analysis, the survey methodology was used to collect data from members of RBEI. A proposed theoretical model was then validated using partial least squares. Findings Empirical findings suggest that to motivate participation, organizational KM practices need to be geared towards promoting curiosity and engaging learners. Results indicate that overt recognition of knowledge seeking behaviors by HR could be counterproductive. Research limitations/implications This study was limited to an MNC engineering organization in one geographic location; one must be cautious when generalizing these results. Replicating this study in mu</w:t>
      </w:r>
    </w:p>
    <w:p>
      <w:r>
        <w:t>POSSIBLE 2019: Using the Theory of Planned Behavior to Understand Factors Influencing South Asian Consumers’ Intention to Seek Pharmacist-Provided Medication Therapy Management Services — https://doi.org/10.3390/pharmacy7030088</w:t>
      </w:r>
    </w:p>
    <w:p>
      <w:r>
        <w:t>Shared claim-specific concepts: purpose, used, understand; EU scope not established. This is a provisional connection, not an outcome finding.</w:t>
      </w:r>
    </w:p>
    <w:p>
      <w:r>
        <w:t xml:space="preserve">Available abstract (not full text): The study purpose was to use the theory of planned behavior to understand factors influencing South Asian consumers’ intention to seek pharmacist-provided medication therapy management services (MTMS). Specific objectives were to assess effects of attitude, subjective norm (SN), perceived behavioral control (PBC), and socio-demographics on South Asian consumers’ intention to seek MTMS. Participants who were ≥18 years of age, of South Asian origin, with a previous visit to a pharmacy in the US for a health-related reason, and with ability to read and comprehend English were recruited from independent pharmacies in New York City. Responses were obtained through a self-administered survey. Descriptive statistics were performed, and multiple linear regression analysis was conducted to assess the study objective. SPSS was used for data analyses. Out of 140 responses, 133 were usable. Mean scores (standard deviation) were 4.04 (0.97) for attitude, 3.77 (0.91) for SN, 3.75 (0.93) for PBC, and 3.96 (0.94) for intention. The model explains 80.8% of variance and is a significant predictor of intention, F (14,118) = 35.488, p &lt; 0.05. While attitude (β = 0.723, p &lt; 0.05) and PBC (β = 0.148, p &lt; 0.05) were significant predictors of intention, SN (β = 0.064, p = 0.395) was not. None of the socio-demographics were significant predictors of intention. Strategies to make South Asians seek MTMS </w:t>
      </w:r>
    </w:p>
    <w:p>
      <w:r>
        <w:t>POSSIBLE 2017: Purposing: How Purpose Develops Self-Organizing Capacities — https://doi.org/10.5465/ambpp.2017.17754abstract</w:t>
      </w:r>
    </w:p>
    <w:p>
      <w:r>
        <w:t>Shared claim-specific concepts: purpose, seeks, understand; EU scope not established. This is a provisional connection, not an outcome finding.</w:t>
      </w:r>
    </w:p>
    <w:p>
      <w:r>
        <w:t>Available abstract (not full text): Self-organization and organic-like organization are gaining more traction during the last few years with different forms and organizing structures, offering a potential alternative to mainstream traditional bureaucracy. This paper seeks to identify structural commonalities between organizations that claim self-organization and organic structures, in order to understand them and assess the way they foster personal commitment for desired objectives. I interviewed 31 individuals from 6 organizations from diverse sectors. I discovered various forms and practices, not as models of perfection, but as efforts of change to realize wholly different values in the way they unite in making purpose and meaning alive and in turning on the logic of responsible autonomy and peer accountability. The findings highlight the importance of a process that supports (1) basic psychological needs satisfaction of autonomy, competence, and relatedness, (2) the continuous search for meaning and (3) a tolerance for uncertainty to allow safe experimentation; a process that I labeled ‘purposing’. These organizations are serious initiatives to break from the traditional institutional grip of the hierarchical structures of command and control. This paper is important to both academicians and practitioners who seek to understand alternative forms and practices to organize and coordinate human efforts since it s</w:t>
      </w:r>
    </w:p>
    <w:p>
      <w:r>
        <w:t>POSSIBLE 2017: Factors that influence the use of the Internet for job-seeking purposes amongst a sample of final-year students in the Eastern Cape province of South Africa — https://doi.org/10.4102/sajhrm.v15i0.790</w:t>
      </w:r>
    </w:p>
    <w:p>
      <w:r>
        <w:t>Shared claim-specific concepts: purpose, used, understand, implications; EU scope not established. This is a provisional connection, not an outcome finding.</w:t>
      </w:r>
    </w:p>
    <w:p>
      <w:r>
        <w:t>Available abstract (not full text): Orientation: Organisations are turning to the Internet in search for talent. A constituency often targeted are those students nearing the end of their tenure of study who are making a transition into the working world. Given this, it is important to understand not only those factors that influence the use of the Internet within the Human Resources (HR) talent search process, but also how such factors relate to actual intent to apply for jobs.Research purpose: Drawing on the Unified Theory of Acceptance and Use of Technology (UTAUT) model, the study investigates factors that influence the adoption of the Internet for purposes of job seeking.Motivation for the study: Calls have been made for research that investigates factors that influence the intention to use the Internet to apply for jobs in developing countries such as South Africa.Research approach, design and method: The study used the quantitative approach (relying on a survey) to test the hypotheses into factors that influence the use of Internet for the purpose of job seeking amongst a sample of 346 prospective job seekers in their final year of study at a South African university.Main findings: Through correlation and regression analysis, findings reveal a positive relationship to exist between (1) performance expectancy with intention to use the Internet to apply for jobs, (2) effort expectancy with intention to use th</w:t>
      </w:r>
    </w:p>
    <w:p>
      <w:r>
        <w:t>POSSIBLE 2016: On Purpose: Motivational and Contextual Predictors of Purpose and Positive Engagement Among Urban-Residing, African American Youth. — https://openalex.org/W2753589041</w:t>
      </w:r>
    </w:p>
    <w:p>
      <w:r>
        <w:t>Shared claim-specific concepts: purpose, used, context; EU scope not established. This is a provisional connection, not an outcome finding.</w:t>
      </w:r>
    </w:p>
    <w:p>
      <w:r>
        <w:t xml:space="preserve">Available abstract (not full text): Popular narratives of African American adolescents in inner city school contexts underscore problems related to low achievement, school disengagement, and delinquency. In reality, many youth in urban high schools experience positive developmental trajectories that inform identity processes and create successful routes through adolescence. Part of the identity-formation process in adolescence includes acquiring a purpose, defined as “a stable and generalized intention to accomplish something that is at once meaningful to the self and of consequence to the world beyond the self” (Damon, Menon, &amp; Bronk, 2003, p. 121). Though studies have highlighted the importance of purpose, few studies have examined purpose in low-income, African American adolescents. This quantitative study used an integrative personality framework to examine purpose and its correlates among urban-residing, African American high school students (N=151, 51% Male). Study 1 explored associations between purpose and personality, motivation, and contextual characteristics. Study 2 sought to identify profiles of purpose in African American students. Study 3 examined the relationships between these profiles of purpose and engagement. At the individual level, highly motivated students and more conscientious students reported higher purpose scores. Related to context, students who felt that they mattered to an adult in </w:t>
      </w:r>
    </w:p>
    <w:p>
      <w:pPr>
        <w:pStyle w:val="Heading2"/>
      </w:pPr>
      <w:r>
        <w:t>Foresighting addiction and lifestyles in Europe 2030+</w:t>
      </w:r>
    </w:p>
    <w:p>
      <w:r>
        <w:t>Original source (2013): https://doi.org/10.1007/s40309-013-0019-0</w:t>
      </w:r>
    </w:p>
    <w:p>
      <w:r>
        <w:t>Original wording (abstract; indexed_source_text_not_full_document_verified): The project invited 17 European and three international drug disorder experts to provide an initial vision and a reframing as to how scientific, technological and social advancement may impact on our understanding of addictions and lifestyles over the next 20 years («Vision 2030+»). Four mini-scenarios were designed to raise awareness that the future could go in different (possible, plausible, preferable) directions implying quite diverse individual and societal impacts.</w:t>
      </w:r>
    </w:p>
    <w:p>
      <w:r>
        <w:t>POSSIBLE 2024: INVITED SYMPOSIUM — https://doi.org/10.1002/ijop.13184</w:t>
      </w:r>
    </w:p>
    <w:p>
      <w:r>
        <w:t>Shared claim-specific concepts: invited, over; EU scope visible. This is a provisional connection, not an outcome finding.</w:t>
      </w:r>
    </w:p>
    <w:p>
      <w:r>
        <w:t>Available abstract (not full text): To be able to step over our shadows, we need the light of many others'.The effects of colonisation and enslavement are very much present in societies today.They are not only reflected in global economic relations and climate change, but also in social relationships, in minds and attitudes, and in the transgenerational transfer of traumas.The question is raised whether contemporary psychology is ready to remedy the effects of past unequal and destructive power relations or whether it contributes to maintaining the status quo.Colonisation reduced humans to commodities, treating them with disrespect and depriving them of dignified circumstances to live in.The land of the colonised was taken, their holy grounds, rivers, trees were disrespected, and their ways of making a living disrupted.People in slavery were deprived of their freedom.They did not even possess their bodies anymore.The large power differentials created by colonization and slavery had and continue to have consequences for the descendants of both the colonized and the colonizers.This symposium examines developments in psychology that seek to deconstruct and repair the malign effects of colonialism in Europe and Brazil.</w:t>
      </w:r>
    </w:p>
    <w:p>
      <w:r>
        <w:t>POSSIBLE 2022: European Registry of Cardiac Arrest – Study-THREE (EuReCa THREE) – An international, prospective, multi-centre, three-month survey of epidemiology, treatment and outcome of patients with out-of-hospital cardiac arrest in Europe – The study protocol — https://doi.org/10.1016/j.resplu.2022.100314</w:t>
      </w:r>
    </w:p>
    <w:p>
      <w:r>
        <w:t>Shared claim-specific concepts: project, three, international, provide; EU scope visible. This is a provisional connection, not an outcome finding.</w:t>
      </w:r>
    </w:p>
    <w:p>
      <w:r>
        <w:t>Available abstract (not full text): Background: The aim of the European Registry of Cardiac Arrest (EuReCa) network is to provide high quality evidence on epidemiology of out-of-hospital cardiac arrest (OHCA) in Europe by supporting and developing cardiac arrest registries and performing European-wide studies. To date, the EuReCa ONE and EuReCa TWO studies have involved around 28 countries, with population covered increasing from the first to the second study. The aim of the EuReCa THREE study is to build on previous work and to support the promotion of quality data collection on OHCA throughout Europe. Methods/design: EuReCa THREE will be the third prospective cohort study on epidemiology of OHCA and will involve around 30 European countries. The study will be conducted between 1st September and 30th November 2022. Data will be collected on cardiac arrest cases attended, resuscitation attempted, patient and cardiac arrest event characteristics and outcomes (including return of spontaneous circulation, status on hospital arrival and discharge). A particular focus for EuReCa THREE will be to describe key time intervals in OHCA management; time from call to EMS arrival on scene, time from cardiac arrest to start CPR, time from EMS arrival to delivery of patient to hospital.EuReCa THREE was registered with the German Registry of Clinical Trials Registration Number: DRKS00028591 searchable via WHO meta-registry (http</w:t>
      </w:r>
    </w:p>
    <w:p>
      <w:r>
        <w:t>POSSIBLE 2021: Radiographer tips for gaining European research funding-our experience with the SAFE EUROPE project — https://openalex.org/W3202602997</w:t>
      </w:r>
    </w:p>
    <w:p>
      <w:r>
        <w:t>Shared claim-specific concepts: project, invited, three, international, over; EU scope visible. This is a provisional connection, not an outcome finding.</w:t>
      </w:r>
    </w:p>
    <w:p>
      <w:r>
        <w:t>Available abstract (not full text): Abstract Purpose Research in radiography is expanding rapidly however gaining funding for research activity is getting increasingly difficult. The European Union (EU) is a valuable source of funding and has funding available in many areas e.g. regional development, employment or research. The aim of this paper is to share our experience of a successful funding application for radiography research. Methodology A application was made to the EU Sector Skills Alliance grant funding in 2017 to develop research on education and curriculum development for therapy radiographers. The proposed research project was aligned with the requisites of the EU funding call i.e. cooperation for innovation and the exchange of good practices. Seven international partners across Europe were invited to join the consortium to perform specific tasks for the application with one partner identified as the Principal Investigator. A re-submission was made in 2018 using the feedback provided by the evaluation panel in 2017. Results Successful grant of 499,736 Euros of research funding was awarded and the SAFE EUROPE project started in January 2019. The project is being led by Ulster University over three years and includes national professional associations, European federation, universities and hospitals. Literature reviews, surveys and interviews with stakeholders are currently underway across Europe. Conc</w:t>
      </w:r>
    </w:p>
    <w:p>
      <w:r>
        <w:t>POSSIBLE 2021: Roadmap on digital holography [Invited] — https://doi.org/10.1364/oe.435915</w:t>
      </w:r>
    </w:p>
    <w:p>
      <w:r>
        <w:t>Shared claim-specific concepts: invited, experts, vision; EU scope not established. This is a provisional connection, not an outcome finding.</w:t>
      </w:r>
    </w:p>
    <w:p>
      <w:r>
        <w:t>Available abstract (not full text): This Roadmap article on digital holography provides an overview of a vast array of research activities in the field of digital holography. The paper consists of a series of 25 sections from the prominent experts in digital holography presenting various aspects of the field on sensing, 3D imaging and displays, virtual and augmented reality, microscopy, cell identification, tomography, label-free live cell imaging, and other applications. Each section represents the vision of its author to describe the significant progress, potential impact, important developments, and challenging issues in the field of digital holography.</w:t>
      </w:r>
    </w:p>
    <w:p>
      <w:r>
        <w:t>POSSIBLE 2020: European Society of Coloproctology: guidelines for the management of diverticular disease of the colon — https://doi.org/10.1111/codi.15140</w:t>
      </w:r>
    </w:p>
    <w:p>
      <w:r>
        <w:t>Shared claim-specific concepts: project, invited, three, international; EU scope visible. This is a provisional connection, not an outcome finding.</w:t>
      </w:r>
    </w:p>
    <w:p>
      <w:r>
        <w:t>Available abstract (not full text): AIM: The goal of this European Society of Coloproctology (ESCP) guideline project is to give an overview of the existing evidence on the management of diverticular disease, primarily as a guidance to surgeons. METHODS: The guideline was developed during several working phases including three voting rounds and one consensus meeting. The two project leads (JKS and EA) appointed by the ESCP guideline committee together with one member of the guideline committee (WB) agreed on the methodology, decided on six themes for working groups (WGs) and drafted a list of research questions. Senior WG members, mostly colorectal surgeons within the ESCP, were invited based on publication records and geographical aspects. Other specialties were included in the WGs where relevant. In addition, one trainee or PhD fellow was invited in each WG. All six WGs revised the research questions if necessary, did a literature search, created evidence tables where feasible, and drafted supporting text to each research question and statement. The text and statement proposals from each WG were arranged as one document by the first and last authors before online voting by all authors in two rounds. For the second voting ESCP national representatives were also invited. More than 90% agreement was considered a consensus. The final phrasing of the statements with &lt; 90% agreement was discussed in a consensus meeti</w:t>
      </w:r>
    </w:p>
    <w:p>
      <w:r>
        <w:t>POSSIBLE 2019: Just Europe — https://doi.org/10.1111/papa.12133</w:t>
      </w:r>
    </w:p>
    <w:p>
      <w:r>
        <w:t>Shared claim-specific concepts: project, three, understanding; EU scope visible. This is a provisional connection, not an outcome finding.</w:t>
      </w:r>
    </w:p>
    <w:p>
      <w:r>
        <w:t>Available abstract (not full text): In a letter written in 1998, John Rawls invites Europeans to give up the project of constructing a federal union that would make Europe more like the United States. This invitation is consistent with the approach to justice he developed in The Law of Peoples. By contrast, both Thomas Nagel’s approach and an understanding of social justice as global justice lead to a more ambitious interpretation of the demands of distributive justice within the European Union that calls for the pursuit of European integration. Further integration of the required sort would need to make European institutions more like those of the United States in three respects: a transfer union, a common electoral space, a shared language. However, given the trap, insightfully anticipated by Friedrich Hayek, in which the European Union finds itself today, even those inclined to adopt Rawls’s approach to justice may be well advised to opt for a similar strategy.</w:t>
      </w:r>
    </w:p>
    <w:p>
      <w:r>
        <w:t>POSSIBLE 2018: The Feminist Project under Threat in Europe — https://doi.org/10.17645/pag.v6i3.1736</w:t>
      </w:r>
    </w:p>
    <w:p>
      <w:r>
        <w:t>Shared claim-specific concepts: project, three, understanding; EU scope visible. This is a provisional connection, not an outcome finding.</w:t>
      </w:r>
    </w:p>
    <w:p>
      <w:r>
        <w:t>Available abstract (not full text): Is the feminist project under threat in Europe? This thematic issue addresses the question in both theoretical and empirical ways, focusing on the various ways in which feminist politics are opposed and why, on what the impact of such opposition is, and how to improve our theoretical understanding of this particular manifestation of gender and politics. The issue addresses three major challenges: a need to reflect on the most suited concepts and theories in political and social sciences to understand what is at stake in Europe today; a need to vernacularize existing knowledge while forging global frames of analysis; and a need to avoid the risk of reifying oppositional forces and of reiterating dichotomous frames and categories. The responses to these challenges are: to analyse the threats to the feminist project as parts of larger projects against social justice and equality; to contrast macro narratives by engaging with the microlevel of the anti-feminist project, enabling a critique of mainstream scholarship; to analyse the threats to the feminist project as related to processes of changes to democracy, such as democratic backsliding; to give prominent attention to discursive, epistemic and symbolic processes; and finally to include studies on the response of feminist actors to the threats experienced. This collection of articles offers a variety of perspectives on the vario</w:t>
      </w:r>
    </w:p>
    <w:p>
      <w:r>
        <w:t>POSSIBLE 2018: Adaptability and reproducibility of a memory disruption rTMS protocol in the PharmaCog IMI European project — https://doi.org/10.1038/s41598-018-27502-1</w:t>
      </w:r>
    </w:p>
    <w:p>
      <w:r>
        <w:t>Shared claim-specific concepts: project, invited, three; EU scope visible. This is a provisional connection, not an outcome finding.</w:t>
      </w:r>
    </w:p>
    <w:p>
      <w:r>
        <w:t>Available abstract (not full text): Transcranial magnetic stimulation (TMS) can interfere with cognitive processes, such as transiently impairing memory. As part of a multi-center European project, we investigated the adaptability and reproducibility of a previously published TMS memory interfering protocol in two centers using EEG or fMRI scenarios. Participants were invited to attend three experimental sessions on different days, with sham repetitive TMS (rTMS) applied on day 1 and real rTMS on days 2 and 3. Sixty-eight healthy young men were included. On each experimental day, volunteers were instructed to remember visual pictures while receiving neuronavigated rTMS trains (20 Hz, 900 ms) during picture encoding at the left dorsolateral prefrontal cortex (L-DLPFC) and the vertex. Mixed ANOVA model analyses were performed. rTMS to the L-DLPFC significantly disrupted recognition memory on experimental day 2. No differences were found between centers or between fMRI and EEG recordings. Subjects with lower baseline memory performances were more susceptible to TMS disruption. No stability of TMS-induced memory interference could be demonstrated on day 3. Our data suggests that adapted cognitive rTMS protocols can be implemented in multi-center studies incorporating standardized experimental procedures. However, our center and modality effects analyses lacked sufficient statistical power, hence highlighting the need</w:t>
      </w:r>
    </w:p>
    <w:p>
      <w:r>
        <w:t>POSSIBLE 2017: Unemployed Youth and Social Exclusion in Europe — https://doi.org/10.4324/9781315235356</w:t>
      </w:r>
    </w:p>
    <w:p>
      <w:r>
        <w:t>Shared claim-specific concepts: project, three; EU scope visible. This is a provisional connection, not an outcome finding.</w:t>
      </w:r>
    </w:p>
    <w:p>
      <w:r>
        <w:t>Available abstract (not full text): This book confronts readers with questions emerging from the 'gap' between EU aspirations to reduce youth unemployment without increasing social exclusion - and what is actually happening in practice. Aimed at a diverse readership, it is based on a three year European Union (EU) project into education, training, guidance and employment (ETG) programmes for young adults across six countries. Insights are grounded in the lives and stories of disadvantaged young adults, and of those who work with them, bringing to life unintended impacts of well intended interventions. The authors consider the influence of shifting political and pedagogical ideologies in the EU on local practices and young peoples’ lives and choices. They also consider the impact of policy and performance management discourses ’on the ground’. This work uses rigorous yet innovative narrative forms to invite readers into a ’whole system’ inquiry into these complexities. Unemployed Youth and Social Exclusion in Europe will make an important contribution to reflecting critically on current policy and practice, as well as to academic understandings of unemployed youth, and restrictive and reflexive approaches to learning for inclusion across Europe.</w:t>
      </w:r>
    </w:p>
    <w:p>
      <w:r>
        <w:t>POSSIBLE 2015: Research priorities for public mental health in Europe: recommendations of the ROAMER project — https://doi.org/10.1093/eurpub/cku232</w:t>
      </w:r>
    </w:p>
    <w:p>
      <w:r>
        <w:t>Shared claim-specific concepts: project, invited, three, experts, scientific; EU scope visible. This is a provisional connection, not an outcome finding.</w:t>
      </w:r>
    </w:p>
    <w:p>
      <w:r>
        <w:t>Available abstract (not full text): BACKGROUND: The ROAdmap for MEntal health Research in Europe project aimed to create an integrated European roadmap for mental health research. Leading mental health research experts across Europe have formulated consensus-based recommendations for future research within the public mental health field. METHODS: Experts were invited to compile and discuss research priorities in a series of topic-based scientific workshops. In addition, a Delphi process was carried out to reach consensus on the list of research priorities and their rank order. Three web-based surveys were conducted. Nearly 60 experts were involved in the priority setting process. RESULTS: Twenty priorities for public mental health research were identified through the consensus process. The research priorities were divided into summary principles-encompassing overall recommendations for future public mental health research in Europe-and thematic research priorities, including area-specific top priorities on research topics and methods. The priorities represent three overarching goals mirroring societal challenges, that is, to identify causes, risk and protective factors for mental health across the lifespan; to advance the implementation of effective public mental health interventions and to reduce disparities in mental health. CONCLUSIONS: The importance of strengthening research on the implementation and dissemi</w:t>
      </w:r>
    </w:p>
    <w:p>
      <w:r>
        <w:t>POSSIBLE 2015: Quantifying the health impacts of ambient air pollutants: recommendations of a WHO/Europe project — https://doi.org/10.1007/s00038-015-0690-y</w:t>
      </w:r>
    </w:p>
    <w:p>
      <w:r>
        <w:t>Shared claim-specific concepts: project, experts, provide, scientific; EU scope visible. This is a provisional connection, not an outcome finding.</w:t>
      </w:r>
    </w:p>
    <w:p>
      <w:r>
        <w:t>Available abstract (not full text): OBJECTIVE: Quantitative estimates of air pollution health impacts have become an increasingly critical input to policy decisions. The WHO project "Health risks of air pollution in Europe--HRAPIE" was implemented to provide the evidence-based concentration-response functions for quantifying air pollution health impacts to support the 2013 revision of the air quality policy for the European Union (EU). METHODS: A group of experts convened by WHO Regional Office for Europe reviewed the accumulated primary research evidence together with some commissioned reviews and recommended concentration-response functions for air pollutant-health outcome pairs for which there was sufficient evidence for a causal association. RESULTS: The concentration-response functions link several indicators of mortality and morbidity with short- and long-term exposure to particulate matter, ozone and nitrogen dioxide. The project also provides guidance on the use of these functions and associated baseline health information in the cost-benefit analysis. CONCLUSIONS: The project results provide the scientific basis for formulating policy actions to improve air quality and thereby reduce the burden of disease associated with air pollution in Europe.</w:t>
      </w:r>
    </w:p>
    <w:p>
      <w:r>
        <w:t>POSSIBLE 2014: Transcending community energy: collective and politically motivated projects in renewable energy (CPE) across Europe — https://doi.org/10.3351/ppp.0008.0003.0004</w:t>
      </w:r>
    </w:p>
    <w:p>
      <w:r>
        <w:t>Shared claim-specific concepts: project, three, provide; EU scope visible. This is a provisional connection, not an outcome finding.</w:t>
      </w:r>
    </w:p>
    <w:p>
      <w:r>
        <w:t>Available abstract (not full text): Based on an EU-wide empirical survey, this paper proposes the alternative concept of collective and politically motivated renewable energy (CPE) projects that includes different forms of enterprises such as co-operatives and participatory public utilities.In doing so, we intend to take a clearer stance on both organisational and ownership features and the political motivation of these projects.The aim is to overcome the vagueness of the term 'community energy' and to widen the perspective beyond the British context.Mapping CPE projects across different European countries we have identified three development trends and provide a project case study for each trend: the further dissemination of local CPE projects, the formation of regional projects, and the occurrence of urban CPE projects.Countries covered are the United Kingdom, Spain and Germany.We also reflect our findings for the concept of community energy and invite researchers to expand upon our research.</w:t>
      </w:r>
    </w:p>
    <w:p>
      <w:pPr>
        <w:pStyle w:val="Heading2"/>
      </w:pPr>
      <w:r>
        <w:t>From flood science to flood policy: the Foresight Future Flooding project seven years on</w:t>
      </w:r>
    </w:p>
    <w:p>
      <w:r>
        <w:t>Original source (2013): https://doi.org/10.1108/fs-06-2012-0046</w:t>
      </w:r>
    </w:p>
    <w:p>
      <w:r>
        <w:t>Original wording (abstract; indexed_source_text_not_full_document_verified): Purpose The Foresight Future Flooding (FFF) project researched flood risk in the UK to the year 2100 for central government, using scenarios and a national risk assessment model backed by qualitative analysis from panels of some 45 senior scientists.</w:t>
      </w:r>
    </w:p>
    <w:p>
      <w:r>
        <w:t>POSSIBLE 2026: Eye of Europe Foresight Training Manual — https://openalex.org/W7220785974</w:t>
      </w:r>
    </w:p>
    <w:p>
      <w:r>
        <w:t>Shared claim-specific concepts: purpose, foresight, project; EU scope visible. This is a provisional connection, not an outcome finding.</w:t>
      </w:r>
    </w:p>
    <w:p>
      <w:r>
        <w:t>Available abstract (not full text): The following document outlines the Eye of Europe Foresight Training Manual. The manual is developed by the Finland Futures Research Centre (FFRC), University of Turku, as part of the Work Package 4 (Futures Literacy) of the Eye of Europe project. The deliverable is submitted at month 10 of project (August 2024) after the delivery of prior pilot training for foresight beneficiaries. The purpose of the manual is to define and establish foresight training target groups, to describe, on a high level, intended training inputs and outcomes, and to document and reflect upon the first practical training activities of the project.</w:t>
      </w:r>
    </w:p>
    <w:p>
      <w:r>
        <w:t>POSSIBLE 2024: (Re)envisioning inclusive futures: Applying narrative foresight to deconstruct the problem of urban flooding in the slums of Bengaluru, India — https://doi.org/10.1111/dpr.12786</w:t>
      </w:r>
    </w:p>
    <w:p>
      <w:r>
        <w:t>Shared claim-specific concepts: purpose, foresight, flooding, flood, assessment; EU scope not established. This is a provisional connection, not an outcome finding.</w:t>
      </w:r>
    </w:p>
    <w:p>
      <w:r>
        <w:t>Available abstract (not full text): Abstract Motivation Recurring urban flooding in Bengaluru, India, has brought multiple intersecting development challenges to the forefront. While climate change is a catalyst for flooding, rapid urbanisation has aggravated the problem by neglecting its ecological history. Repeated floods have particularly affected migrants living in the slums, further worsening their already vulnerable conditions. Currently, only about 40% of slums are formally recognized by city authorities, leaving most slum dwellers with limited access to public benefits and basic infrastructure. Although the city offers piecemeal solutions, it currently lacks foresight for long‐term planning that includes marginalized voices. Purpose We explore the multiple and intertwined development challenges faced by Bengaluru city, attempting to frame them from the perspective of migrant slum dwellers experiencing flooding. We try to bring to the forefront the everyday risks and vulnerabilities of the marginalized populations in Indian cities, which have received limited attention both in research and policy. The results of this exercise are intended to create sustainable collaborative processes to inform future decisions, particularly addressing the problem of urban flooding. Methods and approach Our proposed methodology integrates climate risk assessment—urban flood modelling and exposure mapping of slums across the</w:t>
      </w:r>
    </w:p>
    <w:p>
      <w:r>
        <w:t>POSSIBLE 2024: FORESIGHT PROJECTS AS A FACTOR IN THE FORMATION OF STUDENTS' LEGAL BEHAVIOUR IN AN EDUCATIONAL INSTITUTION IN THE CONTEXT OF THE HUMANISATION OF THE EDUCATIONAL PROCESS — https://doi.org/10.54891/2786-7013-2024-1-10</w:t>
      </w:r>
    </w:p>
    <w:p>
      <w:r>
        <w:t>Shared claim-specific concepts: purpose, foresight, project; EU scope not established. This is a provisional connection, not an outcome finding.</w:t>
      </w:r>
    </w:p>
    <w:p>
      <w:r>
        <w:t>Available abstract (not full text): The article highlights the issues related to the use of foresight projects for the formation of students' legal behaviour in an educational institution in the context of the humanisation of the educational process. The article analyses scientific and methodological works on the peculiarities of using the project method in educational institutions. It is established that students' work on projects contributes to the development of independence, activity, research skills, a sense of belonging to the world community, awareness of professional choice, creative and social development, and the formation of critical thinking skills. Working on a project in an educational institution, regardless of its didactic purpose, shapes the student's future behavior in personal and professional terms, and therefore a trajectory that can be predicted. It is believed that the term «foresight» was first used by science fiction writer H.G. Wells in 1930 in one of his public speeches. The writer proposed to introduce the profession of a «professor of foresight», who, like a historian, would analyze and propose options for the practical implementation of future discoveries. The use of foresight projects in the educational process of an educational institution allows to shape the legal behavior of students, implementing the strategy of humanization of education. At the same time, such behavior is regul</w:t>
      </w:r>
    </w:p>
    <w:p>
      <w:r>
        <w:t>POSSIBLE 2023: Interaction of subjects of the educational Process with the help of a Foresight Project — https://doi.org/10.7256/2454-0676.2023.2.38619</w:t>
      </w:r>
    </w:p>
    <w:p>
      <w:r>
        <w:t>Shared claim-specific concepts: purpose, foresight, project; EU scope not established. This is a provisional connection, not an outcome finding.</w:t>
      </w:r>
    </w:p>
    <w:p>
      <w:r>
        <w:t xml:space="preserve">Available abstract (not full text): The article explores the possibilities of foresight technology as a pedagogical tool for predicting the future, competence in the structure of educational experience and assumes that it can be used to create new means of supporting learning technologies and their promotion in the educational process. This is one of the interactive forms of training for specialists of the preschool education system, which allows you to spread innovative pedagogical experience in working with preschool children in relevant areas. The purpose of the work is to study the foresight project method for the possibility of its application by participants of the educational process in preschool educational organizations, since preschool age is the initial stage of a child's awareness of their capabilities, laying the foundations of professional self-determination in the future, acquiring skills in the correlation of society's demands and their own abilities. In the course of the research, a questionnaire was created in five main areas to assess the implementation by heads of children's educational organizations of the use of the foresight project method in their teaching activities. The distinctive features of foresight design, the main problems and relevance of the application of this method by educational organizations are highlighted. Based on the data obtained, methodological recommendations for the </w:t>
      </w:r>
    </w:p>
    <w:p>
      <w:r>
        <w:t>POSSIBLE 2022: Disaster Risk Financing systems for fluvial flood risk in Democratic Republic of Congo and Pakistan — https://doi.org/10.5194/egusphere-egu22-8204</w:t>
      </w:r>
    </w:p>
    <w:p>
      <w:r>
        <w:t>Shared claim-specific concepts: foresight, flooding, flood, national, assessment; EU scope not established. This is a provisional connection, not an outcome finding.</w:t>
      </w:r>
    </w:p>
    <w:p>
      <w:r>
        <w:t>Available abstract (not full text): Flood Foresight is JBA’s strategic flood forecasting system, providing flood inundation and depth estimates at 30m resolution up to 10-days ahead of fluvial flood events. The system is globally scalable and recent projects have seen the Forecasting module provide forecast flood footprints in Democratic Republic of Congo, Myanmar and the Indus River basin in Pakistan. Data produced by these systems are being used for a variety of purposes including informing humanitarian anticipatory actions, parametric insurance and disaster risk financing. This presentation will explore the use of Flood Foresight in Democratic Republic of Congo and Pakistan for the purposes of humanitarian disaster risk financing and demonstrate the benefits to this user community in otherwise data sparse regions. Disaster Risk Financing (DRF) programmes are being developed for the Democratic Republic of Congo and Pakistan and are designed to allow civil society actors in country to proactively manage disaster risks. By quantifying risks in advance of disasters, pre-positioning funds, and releasing them according to pre-agreed plans, the user community are better placed to enable early disaster relief actions to help reduce the human and economic costs of disasters. In both Democratic Republic of Congo and Pakistan, JBA were tasked with developing an operational fluvial flood forecasting model which can, at le</w:t>
      </w:r>
    </w:p>
    <w:p>
      <w:r>
        <w:t>POSSIBLE 2022: Foresight Research as а Strategic Planning Component — https://doi.org/10.37491/unz.85-86.15</w:t>
      </w:r>
    </w:p>
    <w:p>
      <w:r>
        <w:t>Shared claim-specific concepts: purpose, foresight, national; EU scope not established. This is a provisional connection, not an outcome finding.</w:t>
      </w:r>
    </w:p>
    <w:p>
      <w:r>
        <w:t>Available abstract (not full text): An important component of the state organizational and economic mechanism to promote high-tech production is the presence of a well-established system of strategic planning, which helps to determine the trajectory of long-term changes in technological competitiveness. Creating an effective policy framework in the field of science, technology and innovation (STI), its planning is an important element of a sustainable policy system. Roadmaps, on the basis of which development strategies and plans for achieving the set goals are developed, are a modern tool of strategic planning, in particular in the field of STI. From the point of view of economic and social management, the technological foresight, as an element of the roadmap, provides the basis for the decision-making process on science and innovation by identifying key long-term prospects for science, technology, innovation and long-term investment in STI. Foresight outlines future priorities for science and innovation, focusing on various aspects of projected change. Prediction is not the same as forecasting. While forecasting tries to predict a single «correct» version of the future, Forsythe uses several alternative plausible futures based on their usefulness to develop sound, forward-looking policies. The object of research of this work is the roadmap of science, technology, innovation (STI), as a tool for strategic planni</w:t>
      </w:r>
    </w:p>
    <w:p>
      <w:r>
        <w:t>POSSIBLE 2020: Marine Foresight Study — https://openalex.org/W3147024838</w:t>
      </w:r>
    </w:p>
    <w:p>
      <w:r>
        <w:t>Shared claim-specific concepts: foresight, government, national; EU scope visible. This is a provisional connection, not an outcome finding.</w:t>
      </w:r>
    </w:p>
    <w:p>
      <w:r>
        <w:t>Available abstract (not full text): Ireland is experiencing a period of major change in terms of the legal and policy framework for marine decision-making, the political and socio-economic context for marine activities, the influence of technological change on marine activities and resultant societal impacts.Furthermore, increased awareness of the marine environment by the general public, owed to increased education and increased access to resources, as envisaged by the previous Integrated Marine Plan for Ireland, Harnessing Our Ocean Wealth (HOOW), continues to provide increased engagement with marine issues.Ireland is beginning the process of developing a successor to HOOW, and this foresight study seeks to support that process.The study has reviewed existing information, both in relation to past and current trends and potential future changes, in seeking to identify the key drivers of change across social, technological, economic, environmental and political topics.The results of the study are captured in an Evidence Database and summary report.This report was initially prepared while government formation talks were ongoing.It has been updated to reflect the Programme for Government (PfG) (Government of Ireland, 2020) which sets out a new vision for Ireland, incorporating a strategy for recovery and rebuilding in the period during and after the COVID-19 emergency.This includes many elements which relate to mar</w:t>
      </w:r>
    </w:p>
    <w:p>
      <w:r>
        <w:t>POSSIBLE 2019: Horizon Scanning in Foresight – Why Horizon Scanning is only a part of the game — https://doi.org/10.1002/ffo2.23</w:t>
      </w:r>
    </w:p>
    <w:p>
      <w:r>
        <w:t>Shared claim-specific concepts: foresight, national, backed; EU scope visible. This is a provisional connection, not an outcome finding.</w:t>
      </w:r>
    </w:p>
    <w:p>
      <w:r>
        <w:t>Available abstract (not full text):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r>
        <w:t>POSSIBLE 2016: NCRR - New Foresight Research Method — https://openalex.org/W2555381373</w:t>
      </w:r>
    </w:p>
    <w:p>
      <w:r>
        <w:t>Shared claim-specific concepts: purpose, foresight, project, qualitative; EU scope not established. This is a provisional connection, not an outcome finding.</w:t>
      </w:r>
    </w:p>
    <w:p>
      <w:r>
        <w:t>Available abstract (not full text): Purpose of the article: Foresight constitutes a tool for building the alternative visions of the future of a studied area. The foresight research projects use both the quantitative and qualitative methods. Despite their broad spectrum, they still lack \nmethods focused on identifying the actions designed to achieve the developed vision of development of the research area. The scientific problem is therefore to determine how and with the use of what tools it is possible to identify priority actions \nultimately enabling the implementation of scenarios of development of the studied area. \nScientific aim: The scientific goal is the development and verification of a new research method allowing for the identification and classification of activities making it possible to achieve the desired visions of the future of the resear area. The verification the new method of research will be conducted on the example of the most probable scenario of the development of tourism in the Podlaskie voivodship in the perspective of the year 2030, developed by a wide circle of experts and stakeholders within the framework of the implementation of the research project Foresight as a tool for improving the management of tourism in the region. \nMethodology/methods: The methods used to achieve the scientific objective involve desk research and the method of logic structure and analysis. The pilot stud</w:t>
      </w:r>
    </w:p>
    <w:p>
      <w:r>
        <w:t>POSSIBLE 2016: THE APPLICATION OF FORESIGHT PROJECTS IN FORMATION OF TECHNOLOGICAL COMPANIES’ INNOVATION DEVELOPMENT STRATEGY — https://doi.org/10.18184/2079-4665.2016.7.4.108.114</w:t>
      </w:r>
    </w:p>
    <w:p>
      <w:r>
        <w:t>Shared claim-specific concepts: purpose, foresight, project, national, scientists; EU scope not established. This is a provisional connection, not an outcome finding.</w:t>
      </w:r>
    </w:p>
    <w:p>
      <w:r>
        <w:t>Available abstract (not full text): In the article is considered the possibility of application of methodology of foresight to the formation of strategy of innovative development of technological companies. The application of existing approaches to defining targets and goals of innovation development does not meet the requirements of the nonlinearity of the modern processes of technological companies’ innovation development. The goals and objectives. The purpose of this article is to study the possibilities of application of methods of foresight in forming of technological companies’ innovation development strategy. To achieve the goal, the author has solved the following problems: considered the interrelationship and interdependence between corporate strategy and technological companies’ innovation development strategy; defined the main problems of formation technological companies’ innovation development strategies; revealed the concept of "foresight" and diff erence in methodology of foresight and traditional forecasting techniques; defined the basic principles of foresight; presents the main stages of the foresight project implementation in technological companies. Research methods. The theoretical basis of the study are the publications of Russian and foreign scientists in the field of formation and development of innovation strategies through the application of foresight methods at the level of national inn</w:t>
      </w:r>
    </w:p>
    <w:p>
      <w:r>
        <w:t>POSSIBLE 2016: Foresight Project “Psychological and Pedagogical Educational Platform for Teachers of Professional School” — https://openalex.org/W7139567451</w:t>
      </w:r>
    </w:p>
    <w:p>
      <w:r>
        <w:t>Shared claim-specific concepts: purpose, foresight, project; EU scope not established. This is a provisional connection, not an outcome finding.</w:t>
      </w:r>
    </w:p>
    <w:p>
      <w:r>
        <w:t>Available abstract (not full text): The relevance of the research problem is determined by the need of modernisation of the preparation of teachers for continuing education system and expanding their professional activities. One way to solve this problem the authors see in the development of innovative psychological and pedagogical Platform for educational programs for teachers of vocational and further education. The purpose of this article is to develop a foresight project of variable modular psycho-pedagogical Platform for the implementation of educational programmes that meet the requirements of the professional standard. The methodological basis of the design of the Platform became the conceptual states of professional formation of the personality that defined the panorama of the formation of structural-functional model of the Platform. The leading method of research was the integration of network, process and project approaches. The result of the study was the project of structural-functional model of psychological-pedagogical platform. Its thematic core is the informational and educational content, consisting of four modular substructures: block (invariable), profession-oriented, functional-alternative and instrumental. The Platform model aims to integrate the content of psychologicalpedagogical modules for its implementation by educational technologies, ensuring the formation of interdisciplinary (multi-d</w:t>
      </w:r>
    </w:p>
    <w:p>
      <w:r>
        <w:t>POSSIBLE 2015: Wild Cards in Polish Foresight Practice — https://doi.org/10.1016/j.sbspro.2015.11.510</w:t>
      </w:r>
    </w:p>
    <w:p>
      <w:r>
        <w:t>Shared claim-specific concepts: purpose, foresight, project; EU scope not established. This is a provisional connection, not an outcome finding.</w:t>
      </w:r>
    </w:p>
    <w:p>
      <w:r>
        <w:t>Available abstract (not full text): The main purpose of the article is to introduce a new methodology for improved intelligence on wild cards (low- predictability, high impact events) identification. The research process embraced such research methods as literature review, survey research, the method of critical analysis and construction identification, and a case study which served as an example of a practical application of the designed methodology A detailed characteristic of the new methodology implementation is presented on the basis of a technology foresight project titled NT FOR Podlaskie 2020. Regional strategy of nanotechnology development. In the course of this project, eight wild cards have been finally indicated (out of 53 suggested by the experts). Their originality, importance, pace of change, range of impact, uncertainty of result and time of occurrence have been evaluated and recommendations for science, business and administration have been made. The methodology may be used as a benchmark of wild cards identification in the strategic management practice.</w:t>
      </w:r>
    </w:p>
    <w:p>
      <w:pPr>
        <w:pStyle w:val="Heading2"/>
      </w:pPr>
      <w:r>
        <w:t>Immigration and integration scenarios in global Europe: Forward-looking up to 2050</w:t>
      </w:r>
    </w:p>
    <w:p>
      <w:r>
        <w:t>Original source (2013): https://doi.org/10.2298/soc1302169a</w:t>
      </w:r>
    </w:p>
    <w:p>
      <w:r>
        <w:t>Original wording (abstract; indexed_source_text_not_full_document_verified): She proposes addressing integration of immigrants scenarios alongside demographic projections and labour market needs for future assessments of needs for immigrants and for responsible governance.</w:t>
      </w:r>
    </w:p>
    <w:p>
      <w:r>
        <w:t>POSSIBLE 2025: A.M. Pankratova on Pan-European tendencies in historical scholarship in Western Europe in the Mid-20th century — https://doi.org/10.55959/msu0130-0083-8-2025-66-5-107-123</w:t>
      </w:r>
    </w:p>
    <w:p>
      <w:r>
        <w:t>Shared claim-specific concepts: she, addressing, integration; EU scope visible. This is a provisional connection, not an outcome finding.</w:t>
      </w:r>
    </w:p>
    <w:p>
      <w:r>
        <w:t>Available abstract (not full text): After the Second World War, the idea of European integration gained wide currency in most Western European countries, despite the diversity of their economic, political, national, and cultural traditions. In addressing the exceptionally complex problem of its implementation, not only specialists from various disciplines but also historians were enlisted. The latter were charged with developing one of the key mechanisms for shaping a European community: a unified school history textbook for Western European states. In 1953-1954, under the auspices of the Council of Europe, meetings of historians were convened specifi cally to identify the criteria and conceptual framework for such a textbook. Academician Anna Mikhailovna Pankratova (1897-1957) found it necessary to forward the materials of these conferences to the Central Committee of the Communist Party of the Soviet Union. In her accompanying letter, she proposed adopting countermeasures and organizing a campaign to expose what she described as the revision of school history textbooks in a number of Western European countries, aimed at promoting the idea of a European community. Pankratova considered it necessary to inform the directors of historical institutes and the editors of historical journals in the German Democratic Republic and in the European countries of people’s democracy about the outcomes of the conferences. In M</w:t>
      </w:r>
    </w:p>
    <w:p>
      <w:r>
        <w:t>POSSIBLE 2022: Japanese Public Diplomacy in European Countries — https://doi.org/10.4324/9781003258797</w:t>
      </w:r>
    </w:p>
    <w:p>
      <w:r>
        <w:t>Shared claim-specific concepts: she, proposes, integration; EU scope visible. This is a provisional connection, not an outcome finding.</w:t>
      </w:r>
    </w:p>
    <w:p>
      <w:r>
        <w:t>Available abstract (not full text): To address the issue of the lack of integration and common policy among Japan’s cultural promotion actors and institutions, Gadjeva explores an integrated approach for Japanese public diplomacy through public-private partnerships. She examines the potential of the Japan Foundation as a central public diplomacy actor in Europe, facilitating a Public-Private Partnership Platform. Focusing on France and Bulgaria, Gadjeva observes the Japan Foundation’s role, contributions, and activities implemented between the 1970s and 2018, both autonomously and in collaboration with Japanese and local public and private actors. She compares the Foundation’s initiatives in the two countries, highlighting both the strong points and the space for improvement. In addition, Gadjeva points out essential Japanese, French, and Bulgarian actors with potential for future cooperation with the Japan Foundation through public-private partnerships. Drawing on her interviews with Bulgarian and French representatives, she examines the image of Japan and the future expectations from Japan. Revealing certain cultural aspects and less-explored areas of Japanese soft power, she proposes specific project proposals for integrated public diplomacy initiatives implemented through a Public-Private Partnership Platform facilitated by the Japan Foundation. Providing valuable insights into the strong and insufficient poi</w:t>
      </w:r>
    </w:p>
    <w:p>
      <w:pPr>
        <w:pStyle w:val="Heading2"/>
      </w:pPr>
      <w:r>
        <w:t>Integrated scenarios of sustainable food production and consumption in Germany</w:t>
      </w:r>
    </w:p>
    <w:p>
      <w:r>
        <w:t>Original source (2013): https://doi.org/10.1080/15487733.2013.11908118</w:t>
      </w:r>
    </w:p>
    <w:p>
      <w:r>
        <w:t>Original wording (abstract; indexed_source_text_not_full_document_verified): First, so-called context scenarios were formulated to describe different developments beyond the control of the relevant players, but that might have a significant impact on food production and consumption. Finally, the context and strategic food scenarios were merged and assessed to provide policy makers with a helpful ‟reality check" on different strategy options and guidance in prioritization.</w:t>
      </w:r>
    </w:p>
    <w:p>
      <w:r>
        <w:t>POSSIBLE 2026: The Moroccan and Muslim Diaspora in Europe: Shifting from the Context of Migration to the Context of Citizenship — https://openalex.org/W7113523033</w:t>
      </w:r>
    </w:p>
    <w:p>
      <w:r>
        <w:t>Shared claim-specific concepts: first, so-called, context, different, but, significant; EU scope visible. This is a provisional connection, not an outcome finding.</w:t>
      </w:r>
    </w:p>
    <w:p>
      <w:r>
        <w:t>Available abstract (not full text): The Moroccan diaspora in Europe in general, and Western Europe in particular, has undergone various profound historical, political, demographic, socio-cultural, and identity transformations since the era of labor migration or so-called “guest workers” in the 1960s up until today. This new situation has drastically altered the landscape of the Islamic and Moroccan presence in Europe. It is not just about the numerical and quantitative expansion, which researchers often emphasize, but also about the qualitative presence reflected in the various cultural, social, political, and institutional achievements made by European Moroccans from different generations of immigrants. This research paper discusses the main shift from the context of migration to that of citizenship, focusing on the conceptual transformation from being seen as “guest workers,” “immigrants,” and “foreigners” to being recognized as European “citizens.” The research paper is divided into four chapters. In the first chapter, we argued that there is a need today to adopt a new approach to the Islamic presence in Europe and the West. In the second chapter, we discussed the evolving European epistemological and sociological context, in which Muslims and Moroccans have become a significant element, highlighting the key determinants and features of this context. In the third and fourth chapters, we explored the main hypo</w:t>
      </w:r>
    </w:p>
    <w:p>
      <w:r>
        <w:t>POSSIBLE 2025: Changing the Context of Business Management Theory. The So and So Management between Eclecticism and Wishful Thinking — https://doi.org/10.30958/ajl.11-3-2</w:t>
      </w:r>
    </w:p>
    <w:p>
      <w:r>
        <w:t>Shared claim-specific concepts: first, so-called, context, different, production; EU scope visible. This is a provisional connection, not an outcome finding.</w:t>
      </w:r>
    </w:p>
    <w:p>
      <w:r>
        <w:t xml:space="preserve">Available abstract (not full text): Despite its original multidisciplinarity, the today proliferation of cross, trans and poli disciplinary approaches in management theories, after the spread of Critical Management Studies and the crisis of Business Schools, must be considered within the changing general political economical context. The growing relevance of BRICS in GDP and research compared to the decreasing incidence of industrial and scientific production in Western Countries calls for a debate on the main features of the evolution of managerial theories and applied practices. One model of analysis could be the one expressed in 1920s by Antonio Gramsci and in the 1950s by the economist Federico Caffè. The theme was the inappropriate approach of Political and Economic theories to the problems that emerged after the First and Second-World Wars. Both scholars coupled the widespread eclecticism of Economics with the unrealistic proposals produced to address Italy’s structural problems so far unsolved, such as the underdevelopment of the South of the country and the so-called “questione meridionale”. Moreover, Caffè extended this analysis to the European situation in which the poor application of Keynesian theories led to a worldwide crisis, first economic and then political. In this context management theories have today to face the crisis of Western economies with respect to a different conception of the market </w:t>
      </w:r>
    </w:p>
    <w:p>
      <w:r>
        <w:t>POSSIBLE 2021: Who Called Team Europe? The European Union’s Development Policy Response During the First Wave of COVID-19 — https://doi.org/10.1057/s41287-021-00428-7</w:t>
      </w:r>
    </w:p>
    <w:p>
      <w:r>
        <w:t>Shared claim-specific concepts: first, context; EU scope visible. This is a provisional connection, not an outcome finding.</w:t>
      </w:r>
    </w:p>
    <w:p>
      <w:r>
        <w:t>Available abstract (not full text): The COVID-19 pandemic is a critical juncture for global development. Under the label of "Team Europe", the EU has sought to mobilize rapid development assistance to support partners in addressing the impacts of the crisis, while promoting joined-up approaches among European actors to assert itself in a changing and competitive geopolitical context. This article assesses how substantive and process-oriented EU development policy norms are reflected in the Union's global COVID-19 response. Focusing on the EU's response during the first wave of the COVID-19 pandemic in the first half of 2020, the article shows that the EU's response to this extraordinary crisis consisted of a deepening of EU integration. In so doing, the EU emphasized process-oriented over substantive norms in its development policy.</w:t>
      </w:r>
    </w:p>
    <w:p>
      <w:r>
        <w:t>POSSIBLE 2020: The issue of so-called hate speech in the context of freedom of speech — https://openalex.org/W7135460664</w:t>
      </w:r>
    </w:p>
    <w:p>
      <w:r>
        <w:t>Shared claim-specific concepts: first, so-called, context, describe, relevant, provide; EU scope visible. This is a provisional connection, not an outcome finding.</w:t>
      </w:r>
    </w:p>
    <w:p>
      <w:r>
        <w:t>Available abstract (not full text): The issue of so called hate speech in the context of freedom of speech Abstract This thesis titled The issue of so-called hate speech in the context of freedom of speech deals with the legal regulation of hate speech at the international and national level. The thesis contains a comprehensive analysis of legal instruments regulating hate speech in civil, anti-discrimination, administrative and criminal law. This thesis combines the theoretical basis of hate speech regulation with practical knowledge about the applicability of individual legal norms and is supplemented by relevant case law of the Czech courts and the European Court of Human Rights. The aim of this work is to describe the phenomenon of hate speech, provide an analysis of legal instruments regulating hate speech and also to analyse legal arguments for hate speech regulation. The thesis attempts to find the boundary between protected speech and speech that is unprotected by the international and constitutional framework of freedom of speech protection, by means of an analysis of individual court decisions. The thesis also contains a critical reflection of the current legal framework of hate speech regulation and suggests possible variants of legislative changes in the future. The thesis is structured into five chapters. The first part...</w:t>
      </w:r>
    </w:p>
    <w:p>
      <w:r>
        <w:t>POSSIBLE 2020: Awareness of Spitzenkandidaten in the 2019 European elections: The effects of news exposure in domestic campaign contexts — https://doi.org/10.1177/2053168020915332</w:t>
      </w:r>
    </w:p>
    <w:p>
      <w:r>
        <w:t>Shared claim-specific concepts: first, so-called, context, relevant, but; EU scope visible. This is a provisional connection, not an outcome finding.</w:t>
      </w:r>
    </w:p>
    <w:p>
      <w:r>
        <w:t>Available abstract (not full text): With the introduction of the so-called Spitzenkandidaten procedure, by which European party families nominate lead candidates for the post of President of the European Commission for European elections, the European Parliament (EP) sought to raise voter awareness and engagement by personalizing the campaigns. This article studies candidate recognition with respect to Spitzenkandidaten, which is an important prerequisite in the study of personalization effects on voter behaviour. We use novel survey data collected in 10 European countries in the 2019 EP election campaign ( n = 17,027). The article focuses on the role of voters’ news exposure in various media and argues that news exposure is crucial for candidate recognition, but its effect is contingent upon the domestic campaign context. The article is the first to show that the campaign context matters to the extent that news exposure is particularly relevant in those domestic contexts in which Spitzenkandidaten were not previously present. In other campaign contexts additional news exposure adds little to the effect of news exposure on candidate recognition. The results have important implications for understanding EP election campaigns.</w:t>
      </w:r>
    </w:p>
    <w:p>
      <w:r>
        <w:t>POSSIBLE 2020: Problem of so-called social dumping in EU law — https://openalex.org/W7135789766</w:t>
      </w:r>
    </w:p>
    <w:p>
      <w:r>
        <w:t>Shared claim-specific concepts: first, so-called, context; EU scope visible. This is a provisional connection, not an outcome finding.</w:t>
      </w:r>
    </w:p>
    <w:p>
      <w:r>
        <w:t>Available abstract (not full text): Problem of so-called social dumping in EU law Abstract Social dumping in EU law is becoming an increasingly pressing problem. Due to the creation of the EU internal market and the accession of the new Member States, in particular southern and eastern Europe, social dumping is occurring in many forms in the European Union. Is it possible to prevent social dumping, or by what means can it be minimized? This diploma thesis in its first chapter deals with the definition of social dumping in EU law in general, focusing on social dumping in the form of so-called regulatory arbitrage, both theoretically and practically. In the second chapter, the author presents the development of social policy in the context of the EU internal market, since the interaction between the economic and social objectives of European integration is crucial for the existence of social dumping. This chapter is followed by the case law of the Court of Justice of the European Union in Rush Portuguesa, Viking Line, Laval, Rüffert and Commission v. Luxembourg, which concerns a conflict of fundamental freedoms and fundamental social rights. This chapter discusses how the Court of Justice of the European Union decides in the event of a conflict of these rights. Furthermore, that case-law has a considerable impact on the interpretation of the...</w:t>
      </w:r>
    </w:p>
    <w:p>
      <w:r>
        <w:t>POSSIBLE 2018: East Central Europe in the First Globalization (1850-1914) — https://doi.org/10.2478/sho-2018-0004</w:t>
      </w:r>
    </w:p>
    <w:p>
      <w:r>
        <w:t>Shared claim-specific concepts: first, so-called, context, different, developments, but; EU scope visible. This is a provisional connection, not an outcome finding.</w:t>
      </w:r>
    </w:p>
    <w:p>
      <w:r>
        <w:t>Available abstract (not full text): Summary The article analyzes the position and the positioning strategy of East Central Europe in the so-called “first globalization (1850-1914)”. The focus is on foreign trade and the transfer of the two most important production factors, i.e. capital and labor. East Central Europe included in this period the territories of the Habsburg Monarchy, the Kingdom of Poland as a part of the Russian Empire, and the eastern provinces of the Kingdom of Prussia which were from 1871 onwards part of the German Reich. The article combines the theories and methods of economic history and transnational history. It sees itself as a contribution to a trans-regional history of East Central Europe by analyzing first the main “flows” and then the influence of “controls”. The article analyzes to what extent and in what way East Central Europe was involved in the globalization processes of the late 19 th century. It discusses whether East Central Europe was only the object of global developments or even shaped them. In this context it asks about the role of the empires (Habsburg monarchy, German Reich, Russia) for the position of East Central European economies in the world economy. It shows that the economic elites in the centers but also on the edges of the empires developed different strategies for how to respond to the challenges of globalization.</w:t>
      </w:r>
    </w:p>
    <w:p>
      <w:r>
        <w:t>POSSIBLE 2018: Administrative Justice in the CSR in the Years 1918 - 1938 within European context — https://openalex.org/W7135476898</w:t>
      </w:r>
    </w:p>
    <w:p>
      <w:r>
        <w:t>Shared claim-specific concepts: first, so-called, context, but; EU scope visible. This is a provisional connection, not an outcome finding.</w:t>
      </w:r>
    </w:p>
    <w:p>
      <w:r>
        <w:t>Available abstract (not full text): Administrative Justice in the CSR in the Years 1918 - 1938 within European context. For my thesis I chose as a topic 'Administrative Justice in the CSR in the Years 1918 - 1938 within European Context', as administrative justice including the protection against illegal interventions of executive power is topical for any democratic state at any time. The purpose of administrative justice is reviewing administrative acts of public administration namely by independent courts. I decided to target my thesis on the period of so-called first republic thus on the period from 28 October 1918 i.e. from establishing the independent Czechoslovak state to 30 September 1938, i.e. the signing of the Munich agreement. After establishing the independent Czechoslovak state The Act on the Supreme Administrative Court and on Solving Competence Litigations was one of the first acts passed by the National Czechoslovak Committee. This year i.e. in 2018 it has been 100 years since constituting administrative justice in the Czechoslovak Republic. However, when the Czechoslovak Republic came into being administrative justice was not formed from scratch, but by the above mentioned Act on Administrative Justice and Solving Competence Litigations Austrian administrative justice was adopted. During the first republic, however,...</w:t>
      </w:r>
    </w:p>
    <w:p>
      <w:r>
        <w:t>POSSIBLE 2016: Partnership Patterns in the United States and across Europe: The Role of Education and Country Context — https://doi.org/10.1093/sf/sow054</w:t>
      </w:r>
    </w:p>
    <w:p>
      <w:r>
        <w:t>Shared claim-specific concepts: context, developments, but; EU scope visible. This is a provisional connection, not an outcome finding.</w:t>
      </w:r>
    </w:p>
    <w:p>
      <w:r>
        <w:t>Available abstract (not full text): Patterns of partnership formation and dissolution are changing dramatically across the Western world. Some scholars have argued that women's trajectories of union formation and dissolution are diverging by education, with the higher educated postponing but eventually marrying and the lower educated more likely to cohabit or divorce if they do marry. At the same time, the variation in partnership behavior has also increased across countries, suggesting that country context plays an important role. Here, we use latent class growth models to compare the educational gradient of partnership trajectories in the United States and 14 countries in Europe and investigate the role of education and country context. Our results indicate a consistent positive educational gradient for partnership patterns showing the postponement of marriage, regardless of whether marriage was preceded by cohabitation, but a less consistent gradient for patterns reflecting long-term cohabitation and union dissolution. Although the US results show evidence of an educational divergence in marriage and union dissolution, the evidence from the other countries is weak. In addition, country context explains more of the variation in class membership than education, with context becoming more important over time. The divergence in behaviors across country contexts suggests that social, cultural, political, and econom</w:t>
      </w:r>
    </w:p>
    <w:p>
      <w:r>
        <w:t>POSSIBLE 2014: The status of tularemia in Europe in a one-health context: a review — https://doi.org/10.1017/s0950268814002398</w:t>
      </w:r>
    </w:p>
    <w:p>
      <w:r>
        <w:t>Shared claim-specific concepts: context, different, control, provide; EU scope visible. This is a provisional connection, not an outcome finding.</w:t>
      </w:r>
    </w:p>
    <w:p>
      <w:r>
        <w:t>Available abstract (not full text): The bacterium Francisella tularensis causes the vector-borne zoonotic disease tularemia, and may infect a wide range of hosts including invertebrates, mammals and birds. Transmission to humans occurs through contact with infected animals or contaminated environments, or through arthropod vectors. Tularemia has a broad geographical distribution, and there is evidence which suggests local emergence or re-emergence of this disease in Europe. This review was developed to provide an update on the geographical distribution of F. tularensis in humans, wildlife, domestic animals and vector species, to identify potential public health hazards, and to characterize the epidemiology of tularemia in Europe. Information was collated on cases in humans, domestic animals and wildlife, and on reports of detection of the bacterium in arthropod vectors, from 38 European countries for the period 1992-2012. Multiple international databases on human and animal health were consulted, as well as published reports in the literature. Tularemia is a disease of complex epidemiology that is challenging to understand and therefore to control. Many aspects of this disease remain poorly understood. Better understanding is needed of the epidemiological role of animal hosts, potential vectors, mechanisms of maintenance in the different ecosystems, and routes of transmission of the disease.</w:t>
      </w:r>
    </w:p>
    <w:p>
      <w:pPr>
        <w:pStyle w:val="Heading2"/>
      </w:pPr>
      <w:r>
        <w:t>Integrating field data into individual-based models of the migration of European eel larvae</w:t>
      </w:r>
    </w:p>
    <w:p>
      <w:r>
        <w:t>Original source (2013): https://doi.org/10.3354/meps10368</w:t>
      </w:r>
    </w:p>
    <w:p>
      <w:r>
        <w:t>Original wording (abstract; indexed_source_text_not_full_document_verified): We contrasted different model settings and identified the most plausible migration scenario by comparing simulation results against experimental data.</w:t>
      </w:r>
    </w:p>
    <w:p>
      <w:r>
        <w:t>POSSIBLE 2021: Impact of the model representation of PBL and convection on the PM concentrations over Europe — https://doi.org/10.5194/egusphere-egu21-2417</w:t>
      </w:r>
    </w:p>
    <w:p>
      <w:r>
        <w:t>Shared claim-specific concepts: contrasted, different, data; EU scope visible. This is a provisional connection, not an outcome finding.</w:t>
      </w:r>
    </w:p>
    <w:p>
      <w:r>
        <w:t>Available abstract (not full text): The impacts of different implementations of turbulence and convection in the Regional Climate Model (RegCM, version 4.6) on the ability to predict the particle matter (PM) concentrations in the lower troposphere over selected regions of Europe are presented. PM were simulated by the chemical transport model CAMx (Comprehensive Air quality Model with extensions, version 6.50) driven by RegCM meteorology using offline coupling of these two models. The results from four simulations for a European domain driven by two different PBL parametrizations (marked as Holtslag and UW) and two different convection parameterizations (marked as Grell and Tiedtke) are compared over the four regions of Europe, namely the Alps, Benelux, Po Valley and Central Europe. Spatial differences as well vertical profiles are contrasted with each other from the different configurations. Validation of the overall PM2.5 concentrations based on EMEP data has shown better agreement between simulated and ground measured values for the simulations driven by UW scheme of PBL.</w:t>
      </w:r>
    </w:p>
    <w:p>
      <w:r>
        <w:t>POSSIBLE 2019: Heatwaves, droughts, and fires: Exploring compound and cascading dry hazards at the pan-European scale — https://doi.org/10.1016/j.envint.2019.105276</w:t>
      </w:r>
    </w:p>
    <w:p>
      <w:r>
        <w:t>Shared claim-specific concepts: identified, data; EU scope visible. This is a provisional connection, not an outcome finding.</w:t>
      </w:r>
    </w:p>
    <w:p>
      <w:r>
        <w:t>Available abstract (not full text): Compound and cascading natural hazards usually cause more severe impacts than any of the single hazard events alone. Despite the significant impacts of compound hazards, many studies have only focused on single hazards. The aim of this paper is to investigate spatio-temporal patterns of compound and cascading hazards using historical data for dry hazards, namely heatwaves, droughts, and fires across Europe. We streamlined a simple methodology to explore the occurrence of such events on a daily basis. Droughts in soil moisture were analyzed using time series of a threshold-based index, obtained from the LISFLOOD hydrological model forced with observations. Heatwave and fire events were analyzed using the ERA5-based temperature and Fire Weather Index datasets. The data used in this study relates to the summer seasons from 1990 to 2018. Our results show that joint dry hazard occurrences were identified in west, central, and east Europe, and with a lower frequency in southern Europe and eastern Scandinavia. Drought plays a substantial role in the occurrence of the compound and cascading events of dry hazards, especially in southern Europe as it drives duration of cascading events. Moreover, drought is the most frequent hazard-precursor in cascading events, followed by compound drought-fire events. Changing the definition of a cascading dry hazard by increasing the number of days wi</w:t>
      </w:r>
    </w:p>
    <w:p>
      <w:r>
        <w:t>POSSIBLE 2017: Comparison of four inverse modelling systems applied to the estimation of HFC-125, HFC-134a, and SF 6 emissions over Europe — https://doi.org/10.5194/acp-17-10651-2017</w:t>
      </w:r>
    </w:p>
    <w:p>
      <w:r>
        <w:t>Shared claim-specific concepts: different, identified, data; EU scope visible. This is a provisional connection, not an outcome finding.</w:t>
      </w:r>
    </w:p>
    <w:p>
      <w:r>
        <w:t>Available abstract (not full text): Abstract. Hydrofluorocarbons (HFCs) are used in a range of industrial applications and have largely replaced previously used gases (CFCs and HCFCs). HFCs are not ozone depleting but have large global warming potentials and are, therefore, reported to the United Nations Framework Convention on Climate Change (UNFCCC). Here, we use four independent inverse models to estimate European emissions of the two HFCs contributing the most to global warming (HFC-134a and HFC-125) and of SF6 for the year 2011. Using an ensemble of inverse models offers the possibility to better understand systematic uncertainties in inversions. All systems relied on the same measurement time series from Jungfraujoch (Switzerland), Mace Head (Ireland), and Monte Cimone (Italy), and the same a priori emissions, but differed in terms of Lagrangian transport model (FLEXPART, NAME), inversion method (Bayesian, Extended Kalman Filter), treatment of background mole fractions, spatial gridding, and a priori uncertainties. The model systems were compared with respect to the ability to reproduce the measurement time series, the spatial distribution of the posterior emissions, uncertainty reductions, and total emissions estimated for selected countries. All systems were able to reproduce the measurement time series very well with prior correlations between 0.5 and 0.9 and posterior correlations being higher by 0.05 t</w:t>
      </w:r>
    </w:p>
    <w:p>
      <w:r>
        <w:t>POSSIBLE 2017: BECOMING GENDERED IN EUROPEAN PREHISTORY: WAS NEOLITHIC GENDER FUNDAMENTALLY DIFFERENT? — https://doi.org/10.1017/aaq.2017.54</w:t>
      </w:r>
    </w:p>
    <w:p>
      <w:r>
        <w:t>Shared claim-specific concepts: different, data; EU scope visible. This is a provisional connection, not an outcome finding.</w:t>
      </w:r>
    </w:p>
    <w:p>
      <w:r>
        <w:t>Available abstract (not full text): It is notable how little gender archaeology has been written for the European Neolithic, in contrast to the following Bronze Age. We cannot blame this absence on a lack of empirical data or on archaeologists’ theoretical naïveté. Instead, we argue that this absence reflects the fact that gender in this period was qualitatively different in form from the types of gender that emerged in Europe from about 3000 cal BC onwards; the latter still form the norm in European and American contexts today, and our standard theories and methodologies are designed to uncover this specific form of gender. In Bronze Age gender systems, gender was mostly binary, associated with stable, lifelong identities expressed in recurrent complexes of gendered symbolism. In contrast, Neolithic gender appears to have been less firmly associated with personal identity and more contextually relevant; it slips easily through our methodological nets. In proposing this “contextual gender” model for Neolithic gender, we both open up new understandings of gender in the past and present and pose significant questions for our models of gender more widely.</w:t>
      </w:r>
    </w:p>
    <w:p>
      <w:r>
        <w:t>POSSIBLE 2016: Evaluation of European air quality modelled by CAMx including the volatility basis set scheme — https://doi.org/10.5194/acp-16-10313-2016</w:t>
      </w:r>
    </w:p>
    <w:p>
      <w:r>
        <w:t>Shared claim-specific concepts: different, data; EU scope visible. This is a provisional connection, not an outcome finding.</w:t>
      </w:r>
    </w:p>
    <w:p>
      <w:r>
        <w:t>Available abstract (not full text): Abstract. Four periods of EMEP (European Monitoring and Evaluation Programme) intensive measurement campaigns (June 2006, January 2007, September–October 2008 and February–March 2009) were modelled using the regional air quality model CAMx with VBS (Volatility Basis Set) approach for the first time in Europe within the framework of the EURODELTA-III model intercomparison exercise. More detailed analysis and sensitivity tests were performed for the period of February–March 2009 and June 2006 to investigate the uncertainties in emissions as well as to improve the modelling of organic aerosols (OA). Model performance for selected gas phase species and PM2.5 was evaluated using the European air quality database Airbase. Sulfur dioxide (SO2) and ozone (O3) were found to be overestimated for all the four periods with O3 having the largest mean bias during June 2006 and January–February 2007 periods (8.93 and 12.30 ppb mean biases, respectively). In contrast, nitrogen dioxide (NO2) and carbon monoxide (CO) were found to be underestimated for all the four periods. CAMx reproduced both total concentrations and monthly variations of PM2.5 very well for all the four periods with average biases ranging from −2.13 to 1.04 μg m-3. Comparisons with AMS (Aerosol Mass Spectrometer) measurements at different sites in Europe during February–March 2009, showed that in general the model over-predic</w:t>
      </w:r>
    </w:p>
    <w:p>
      <w:r>
        <w:t>POSSIBLE 2016: Hepatitis E Seroprevalence in Europe: A Meta-Analysis — https://doi.org/10.3390/v8080211</w:t>
      </w:r>
    </w:p>
    <w:p>
      <w:r>
        <w:t>Shared claim-specific concepts: identified, data; EU scope visible. This is a provisional connection, not an outcome finding.</w:t>
      </w:r>
    </w:p>
    <w:p>
      <w:r>
        <w:t>Available abstract (not full text): UNLABELLED: There have been large numbers of studies on anti-HEV IgG seroprevalence in Europe, however, the results of these studies have produced high variability of seroprevalence rates, making interpretation increasingly problematic. Therefore, the aim of this study was to develop a clearer understanding of anti-HEV IgG seroprevalence in Europe and identify risk groups for HEV exposure by a meta-analysis of published studies. METHODS: All European HEV-seroprevalence studies from 2003 to 2015 were reviewed. Data were stratified by assay, geographical location, and patient cohort (general population, patients with HIV, solid-organ transplant recipients, chronic liver disease patients, and individuals in contact with swine/wild animals). Data were pooled using a mixed-effects model. RESULTS: Four hundred thirty-two studies were initially identified, of which 73 studies were included in the analysis. Seroprevalence estimates ranged from 0.6% to 52.5%, increased with age, but were unrelated to gender. General population seroprevalence varied depending on assays: Wantai (WT): 17%, Mikrogen (MG): 10%, MP-diagnostics (MP): 7%, DiaPro: 4%, Abbott 2%. The WT assay reported significantly higher seroprevalence rates across all cohorts (p &lt; 0.001). Individuals in contact with swine/wild animals had significantly higher seroprevalence rates than the general population, irrespective of ass</w:t>
      </w:r>
    </w:p>
    <w:p>
      <w:pPr>
        <w:pStyle w:val="Heading2"/>
      </w:pPr>
      <w:r>
        <w:t>MARKET DRIVEN POWER PLANT INVESTMENT PERSPECTIVES IN EUROPE: CLIMATE POLICY AND TECHNOLOGY SCENARIOS UNTIL 2050 IN THE MODEL EMELIE-ESY</w:t>
      </w:r>
    </w:p>
    <w:p>
      <w:r>
        <w:t>Original source (2013): https://doi.org/10.1142/s2010007813400071</w:t>
      </w:r>
    </w:p>
    <w:p>
      <w:r>
        <w:t>Original wording (abstract; indexed_source_text_not_full_document_verified): For the year 2050, the model projects a minor increase of power consumption of 10% under current climate policy, and a balanced pathway for consumption under ambitious climate policy compared to 2010 levels. We use the partial equilibrium model EMELIE-ESY with focus on electricity markets in order to determine how private investors optimize their generation capacity investment and operation over the horizon 2010 to 2050.</w:t>
      </w:r>
    </w:p>
    <w:p>
      <w:r>
        <w:t>POSSIBLE 2026: Navigating Digital Safety for Minors in Europe — https://doi.org/10.36862/70s3-ac9r</w:t>
      </w:r>
    </w:p>
    <w:p>
      <w:r>
        <w:t>Shared claim-specific concepts: current, use; EU scope visible. This is a provisional connection, not an outcome finding.</w:t>
      </w:r>
    </w:p>
    <w:p>
      <w:r>
        <w:t>Available abstract (not full text): In an era where digital technologies shape nearly every aspect of daily life, children and young people are growing up more connected than any previous generation. Across the European Union, most youth use the internet daily and encounter digital environments from an early age. This connectivity opens pathways for learning, creativity, and social engagement, yet also exposes young people to increasingly complex and global risks. While many thrive online, nearly one in three reports feeling unsafe. Violations of privacy, exposure to disturbing content, unwanted sexual approaches, and cyberbullying are becoming more common. At the same time, Europe has emerged as a major hub for hosting child sexual abuse material (CSAM), including newer forms such as deepfake abuse content and AI-generated “DeepNudes.” Without effective safeguards, the digital world can shift from a space of opportunity to one of harm. This book explores how law, policy, and institutional practice can address these urgent challenges. It provides a comprehensive and accessible overview of the legal frameworks governing online safety for minors across Europe, enriched with insights from the United States, and evaluates how effectively current regulations protect children in an evolving digital landscape. Through comparative legal analysis, it highlights best practices, persistent gaps, and the growing need for int</w:t>
      </w:r>
    </w:p>
    <w:p>
      <w:r>
        <w:t>POSSIBLE 2022: Retreat of Major European Tree Species Distribution under Climate Change—Minor Natives to the Rescue? — https://doi.org/10.3390/su14095213</w:t>
      </w:r>
    </w:p>
    <w:p>
      <w:r>
        <w:t>Shared claim-specific concepts: minor, climate, use; EU scope visible. This is a provisional connection, not an outcome finding.</w:t>
      </w:r>
    </w:p>
    <w:p>
      <w:r>
        <w:t>Available abstract (not full text): Climate change is projected to trigger strong declines in the potential distribution of major tree species in Europe. While minor natives have moved into the spotlight as alternatives, their ecology is often poorly understood. We use an ensemble species distribution modelling approach on a set of promising native tree species to gain insights into their distribution potential under different climate change scenarios. Moreover, we identify the urgency and potential of altered species distributions in favor of minor natives by comparing the niche dynamics of five major native tree species with the set of six minor natives in a case study. Our models project stark range contractions and range shifts among major tree species, strongly amplified under high emission scenarios. Abies alba, Picea abies and Fagus sylvatica are affected the strongest. While also experiencing range shifts, the minor European natives Castanea sativa, Sorbus torminalis, and Ulmus laevis all considerably expand their range potential across climate change scenarios. Accompanied by Carpinus betulus, with a stable range size, they hold the potential to substantially contribute to sustainably adapting European forest to climate change.</w:t>
      </w:r>
    </w:p>
    <w:p>
      <w:r>
        <w:t>POSSIBLE 2022: Modelling site response at regional scale for the 2020 European Seismic Risk Model (ESRM20) — https://doi.org/10.1007/s10518-022-01526-5</w:t>
      </w:r>
    </w:p>
    <w:p>
      <w:r>
        <w:t>Shared claim-specific concepts: compared, order, determine; EU scope visible. This is a provisional connection, not an outcome finding.</w:t>
      </w:r>
    </w:p>
    <w:p>
      <w:r>
        <w:t>Available abstract (not full text): Abstract Quantitative estimation of seismic risk over a region requires both an underlying probabilistic seismic hazard model and a means to characterise shallow site response over a large scale. The 2020 European Seismic Risk Model (ESRM20) builds on the 2020 European Seismic Hazard Model (ESHM20), requiring additional information to firstly parameterise the local site condition across all of Europe, and subsequently determine its influence on the prediction of seismic ground motion. Initially, a harmonised digital geological database for Europe is compiled, alongside a model of topographic/bathymetric elevation and a database of 30 m averaged shearwave velocity measurements ( $$V_{S30}$$ VS30 ), in order to produce separate 30 arc-second maps of inferred $$V_{S30}$$ VS30 based on topography and on geology. We then capitalise on a large database of seismic recording stations in Europe for which site-to-site ground motion residuals ( $$\delta S2S_{S}$$ δS2SS ) have been determined with respect to the shallow crustal ground motion model used in the ESHM20. These residuals allow us to incorporate site amplification functions into the European GMM calibrated upon either observed or inferred $$V_{S30}$$ VS30 , or on the European geology and topography models. We present the resulting pan-European seismic site amplification model and assess its impact on seismic hazard and risk comp</w:t>
      </w:r>
    </w:p>
    <w:p>
      <w:r>
        <w:t>POSSIBLE 2021: Current and projected regional economic impacts of heatwaves in Europe — https://doi.org/10.1038/s41467-021-26050-z</w:t>
      </w:r>
    </w:p>
    <w:p>
      <w:r>
        <w:t>Shared claim-specific concepts: increase, current, compared; EU scope visible. This is a provisional connection, not an outcome finding.</w:t>
      </w:r>
    </w:p>
    <w:p>
      <w:r>
        <w:t>Available abstract (not full text): Extreme heat undermines the working capacity of individuals, resulting in lower productivity, and thus economic output. Here we analyse the present and future economic damages due to reduced labour productivity caused by extreme heat in Europe. For the analysis of current impacts, we focused on heatwaves occurring in four recent anomalously hot years (2003, 2010, 2015, and 2018) and compared our findings to the historical period 1981-2010. In the selected years, the total estimated damages attributed to heatwaves amounted to 0.3-0.5% of European gross domestic product (GDP). However, the identified losses were largely heterogeneous across space, consistently showing GDP impacts beyond 1% in more vulnerable regions. Future projections indicate that by 2060 impacts might increase in Europe by a factor of almost five compared to the historical period 1981-2010 if no further mitigation or adaptation actions are taken, suggesting the presence of more pronounced effects in the regions where these damages are already acute.</w:t>
      </w:r>
    </w:p>
    <w:p>
      <w:r>
        <w:t>POSSIBLE 2021: Climate model projections from the Scenario Model Intercomparison Project (ScenarioMIP) of CMIP6 — https://doi.org/10.5194/esd-12-253-2021</w:t>
      </w:r>
    </w:p>
    <w:p>
      <w:r>
        <w:t>Shared claim-specific concepts: current, climate, compared; EU scope not established. This is a provisional connection, not an outcome finding.</w:t>
      </w:r>
    </w:p>
    <w:p>
      <w:r>
        <w:t>Available abstract (not full text): Abstract. The Scenario Model Intercomparison Project (ScenarioMIP) defines and coordinates the primary future climate projections within the Coupled Model Intercomparison Project Phase 6 (CMIP6). This paper presents a range of its outcomes by synthesizing results from the participating global coupled Earth system models for concentration driven simulations. We limit our scope to the analysis of strictly geophysical outcomes: mainly global averages and spatial patterns of change for surface air temperature and precipitation. We also compare CMIP6 projections to CMIP5 results, especially for those scenarios that were designed to provide continuity across the CMIP phases, at the same time highlighting important differences in forcing composition, as well as in results. The range of future temperature and precipitation changes by the end of the century encompassing the Tier 1 experiments (SSP1-2.6, SSP2-4.5, SSP3-7.0 and SSP5-8.5) and SSP1-1.9 spans a larger range of outcomes compared to CMIP5, due to higher warming (by 1.15 °C) reached at the upper end of the 5–95 % envelope of the highest scenario, SSP5-8.5. This is due to both the wider range of radiative forcing that the new scenarios cover and to higher climate sensitivities in some of the new models compared to their CMIP5 predecessors. Spatial patterns of change for temperature and precipitation averaged over models and scen</w:t>
      </w:r>
    </w:p>
    <w:p>
      <w:r>
        <w:t>POSSIBLE 2019: A climate-sensitive forest model for assessing impacts of forest management in Europe — https://doi.org/10.1016/j.envsoft.2019.02.009</w:t>
      </w:r>
    </w:p>
    <w:p>
      <w:r>
        <w:t>Shared claim-specific concepts: climate, use; EU scope visible. This is a provisional connection, not an outcome finding.</w:t>
      </w:r>
    </w:p>
    <w:p>
      <w:r>
        <w:t>Available abstract (not full text): FORMIT-M is a widely applicable, open-access, simple and flexible, climate-sensitive forest management simulator requiring only standard forest inventory data as input. It combines a process-based carbon balance approach with a strong inventory-based empirical component. The model has been linked to the global forest sector model EFI-GTM to secure consistency between timber cutting and demand, although prescribed harvest scenarios can also be used. Here we introduce the structure of the model and demonstrate its use with example simulations until the end of the 21st century in Europe, comparing different management scenarios in different regions under climate change . The model was consistent with country-level statistics of growing stock volumes (R 2 = 0.938) and its projections of climate impact on growth agreed with other studies. The management changes had a greater impact on growing stocks, harvest potential and carbon balance than projected climate change, at least in the absence of increased disturbance rates.</w:t>
      </w:r>
    </w:p>
    <w:p>
      <w:r>
        <w:t>POSSIBLE 2019: Projected Changes in European and North Atlantic Seasonal Wind Climate Derived from CMIP5 Simulations — https://doi.org/10.1175/jcli-d-19-0023.1</w:t>
      </w:r>
    </w:p>
    <w:p>
      <w:r>
        <w:t>Shared claim-specific concepts: increase, climate; EU scope visible. This is a provisional connection, not an outcome finding.</w:t>
      </w:r>
    </w:p>
    <w:p>
      <w:r>
        <w:t xml:space="preserve">Available abstract (not full text): Abstract Future changes in geostrophic winds over Europe and the North Atlantic region were studied utilizing output data from 21 CMIP5 global climate models (GCMs). Changes in temporal means, extremes, and the joint distribution of speed and direction were considered. In concordance with previous research, the time mean and extreme scalar wind speeds do not change pronouncedly in response to the projected climate change; some degree of weakening occurs in the majority of the domain. Nevertheless, substantial changes in high wind speeds are identified when studying the geostrophic winds from different directions separately. In particular, in northern Europe in autumn and in parts of northwestern Europe in winter, the frequency of strong westerly winds is projected to increase by up to 50%. Concurrently, easterly winds become less common. In addition, we evaluated the potential of the GCMs to simulate changes in the near-surface true wind speeds. In ocean areas, changes in the true and geostrophic winds are mainly consistent and the emerging differences can be explained (e.g., by the retreat of Arctic sea ice). Conversely, in several GCMs the continental wind speed response proved to be predominantly determined by fairly arbitrary changes in the surface properties rather than by changes in the atmospheric circulation. Accordingly, true wind projections derived directly from the </w:t>
      </w:r>
    </w:p>
    <w:p>
      <w:r>
        <w:t>POSSIBLE 2018: Multi-Model Projections of River Flood Risk in Europe under Global Warming — https://doi.org/10.3390/cli6010006</w:t>
      </w:r>
    </w:p>
    <w:p>
      <w:r>
        <w:t>Shared claim-specific concepts: increase, climate, levels; EU scope visible. This is a provisional connection, not an outcome finding.</w:t>
      </w:r>
    </w:p>
    <w:p>
      <w:r>
        <w:t>Available abstract (not full text): Knowledge on the costs of natural disasters under climate change is key information for planning adaptation and mitigation strategies of future climate policies. Impact models for large scale flood risk assessment have made leaps forward in the past few years, thanks to the increased availability of high resolution climate projections and of information on local exposure and vulnerability to river floods. Yet, state-of-the-art flood impact models rely on a number of input data and techniques that can substantially influence their results. This work compares estimates of river flood risk in Europe from three recent case studies, assuming global warming scenarios of 1.5, 2, and 3 degrees Celsius from pre-industrial levels. The assessment is based on comparing ensemble projections of expected damage and population affected at country level. Differences and common points between the three cases are shown, to point out main sources of uncertainty, strengths, and limitations. In addition, the multi-model comparison helps identify regions with the largest agreement on specific changes in flood risk. Results show that global warming is linked to substantial increase in flood risk over most countries in Central and Western Europe at all warming levels. In Eastern Europe, the average change in flood risk is smaller and the multi-model agreement is poorer.</w:t>
      </w:r>
    </w:p>
    <w:p>
      <w:r>
        <w:t>POSSIBLE 2017: Assessment of an extended version of the Jenkinson–Collison classification on CMIP5 models over Europe — https://doi.org/10.1007/s00382-017-3705-y</w:t>
      </w:r>
    </w:p>
    <w:p>
      <w:r>
        <w:t>Shared claim-specific concepts: minor, increase, climate, compared; EU scope visible. This is a provisional connection, not an outcome finding.</w:t>
      </w:r>
    </w:p>
    <w:p>
      <w:r>
        <w:t>Available abstract (not full text): A gridded, geographically extended weather type classification has been developed based on the Jenkinson–Collison (JC) classification system and used to evaluate the representation of weather types over Europe in a suite of climate model simulations. To this aim, a set of models participating in the Coupled Model Intercomparison Project Phase 5 (CMIP5) is compared with the circulation from two reanalysis products. Furthermore, we examine seasonal changes between simulated frequencies of weather types at present and future climate conditions. The models are in reasonably good agreement with the reanalyses, but some discrepancies occur in cyclonic days being overestimated over North, and underestimated over South Europe, while anticyclonic situations were overestimated over South, and underestimated over North Europe. Low flow conditions were generally underestimated, especially in summer over South Europe, and Westerly conditions were generally overestimated. The projected frequencies of weather types in the late twenty-first century suggest an increase of Anticyclonic days over South Europe in all seasons except summer, while Westerly days increase over North and Central Europe, particularly in winter. We find significant changes in the frequency of Low flow conditions and the Easterly type that become more frequent during the warmer seasons over Southeast and Southwest Europe,</w:t>
      </w:r>
    </w:p>
    <w:p>
      <w:r>
        <w:t>POSSIBLE 2015: Influence of climate model variability on projected Arctic shipping futures — https://doi.org/10.1002/2015ef000317</w:t>
      </w:r>
    </w:p>
    <w:p>
      <w:r>
        <w:t>Shared claim-specific concepts: minor, climate, compared; EU scope visible. This is a provisional connection, not an outcome finding.</w:t>
      </w:r>
    </w:p>
    <w:p>
      <w:r>
        <w:t>Available abstract (not full text): Abstract Though climate models exhibit broadly similar agreement on key long‐term trends, they have significant temporal and spatial differences due to intermodel variability. Such variability should be considered when using climate models to project the future marine Arctic. Here we present multiple scenarios of 21st‐century Arctic marine access as driven by sea ice output from 10 CMIP5 models known to represent well the historical trend and climatology of Arctic sea ice. Optimal vessel transits from North America and Europe to the Bering Strait are estimated for two periods representing early‐century (2011–2035) and mid‐century (2036–2060) conditions under two forcing scenarios ( RCP 4.5/8.5), assuming Polar Class 6 and open‐water vessels with medium and no ice‐breaking capability, respectively. Results illustrate that projected shipping viability of the Northern Sea Route ( NSR ) and Northwest Passage ( NWP ) depends critically on model choice. The eastern Arctic will remain the most reliably accessible marine space for trans‐Arctic shipping by mid‐century, while outcomes for the NWP are particularly model‐dependent. Omitting three models ( GFDL‐CM3 , MIROC‐ESM‐CHEM , and MPI‐ESM‐MR ), our results would indicate minimal NWP potential even for routes from North America. Furthermore, the relative importance of the NSR will diminish over time as the number of viable central Arc</w:t>
      </w:r>
    </w:p>
    <w:p>
      <w:r>
        <w:t>POSSIBLE 2014: Adapting wheat in Europe for climate change — https://doi.org/10.1016/j.jcs.2014.01.006</w:t>
      </w:r>
    </w:p>
    <w:p>
      <w:r>
        <w:t>Shared claim-specific concepts: increase, current, climate; EU scope visible. This is a provisional connection, not an outcome finding.</w:t>
      </w:r>
    </w:p>
    <w:p>
      <w:r>
        <w:t>Available abstract (not full text): Increasing cereal yield is needed to meet the projected increased demand for world food supply of about 70% by 2050. Sirius, a process-based model for wheat, was used to estimate yield potential for wheat ideotypes optimized for future climatic projections for ten wheat growing areas of Europe. It was predicted that the detrimental effect of drought stress on yield would be decreased due to enhanced tailoring of phenology to future weather patterns, and due to genetic improvements in the response of photosynthesis and green leaf duration to water shortage. Yield advances could be made through extending maturation and thereby improve resource capture and partitioning. However the model predicted an increase in frequency of heat stress at meiosis and anthesis. Controlled environment experiments quantify the effects of heat and drought at booting and flowering on grain numbers and potential grain size. A current adaptation of wheat to areas of Europe with hotter and drier summers is a quicker maturation which helps to escape from excessive stress, but results in lower yields. To increase yield potential and to respond to climate change, increased tolerance to heat and drought stress should remain priorities for the genetic improvement of wheat.</w:t>
      </w:r>
    </w:p>
    <w:p>
      <w:pPr>
        <w:pStyle w:val="Heading2"/>
      </w:pPr>
      <w:r>
        <w:t>Potential stocks and increments of woody biomass in the European Union under different management and climate scenarios</w:t>
      </w:r>
    </w:p>
    <w:p>
      <w:r>
        <w:t>Original source (2013): https://doi.org/10.1186/1750-0680-8-2</w:t>
      </w:r>
    </w:p>
    <w:p>
      <w:r>
        <w:t>Original wording (abstract; indexed_source_text_not_full_document_verified): It should be investigated how biomass stock, harvests and increments will develop under different climate scenarios and two management scenarios where one is forcing to store high biomass amounts in forests and the other tries to have high increment rates and much harvested wood. Incentives which will increase the standing biomass beyond the increment optimal biomass should therefore be avoided.</w:t>
      </w:r>
    </w:p>
    <w:p>
      <w:r>
        <w:t>POSSIBLE 2026: Accelerating biomass loss from forest disturbances across Europe — https://doi.org/10.1038/s41561-026-02032-y</w:t>
      </w:r>
    </w:p>
    <w:p>
      <w:r>
        <w:t>Shared claim-specific concepts: biomass, harvests, climate, high, forests; EU scope visible. This is a provisional connection, not an outcome finding.</w:t>
      </w:r>
    </w:p>
    <w:p>
      <w:r>
        <w:t>Available abstract (not full text): Abstract Forest disturbances are rising globally due to climate change and land-use pressures, weakening the terrestrial carbon sink. However, declines in aboveground biomass from tree cover loss remain poorly quantified, limiting our understanding of the role of disturbances in global carbon dynamics. Here we present a spatially explicit estimate of aboveground biomass losses from natural disturbances and harvest across Europe’s 216 million hectares of forests, using satellite remote sensing. From 1985 to 2023, gross aboveground biomass losses totalled 6.5 ± 0.8 Pg. Of these, 18% were caused by high-severity natural disturbances, whereas stand-replacing harvests accounted for 82%. From 2018 onward, aboveground biomass losses increased by 46% reaching annual values unprecedented in the preceding four decades. This acceleration coincided with high natural disturbance activity in biomass-rich temperate forests. After 2018, the sensitivity of aboveground biomass loss to disturbance area increased substantially, suggesting that even small increases in natural disturbances can result in large losses. As climate-driven natural disturbances intensify, we thus expect sustained aboveground biomass losses across Europe, despite policies to enhance the forest carbon sink until 2030.</w:t>
      </w:r>
    </w:p>
    <w:p>
      <w:r>
        <w:t>POSSIBLE 2025: Missing biomass stock: a systematic investigation of understory bryophytes across 413 subtropical forests — https://doi.org/10.1007/s44246-025-00224-6</w:t>
      </w:r>
    </w:p>
    <w:p>
      <w:r>
        <w:t>Shared claim-specific concepts: investigated, biomass, stock, forests, other; EU scope not established. This is a provisional connection, not an outcome finding.</w:t>
      </w:r>
    </w:p>
    <w:p>
      <w:r>
        <w:t>Available abstract (not full text): Abstract Forests are the largest terrestrial carbon sink but the contribution of understory bryophytes has been long neglected. We systematically investigated the biomass and nutrient storage of forest floor bryophytes from 413 subtropical forests in Sichuan province, China. Bryophytes account for 1/4 of the understory biomass and correspond to 1% of the aboveground tree biomass. Cold temperate coniferous forests have the highest bryophyte biomass. Bryophytes are non-negligible components in subtropical forests and preserving the long-overlooked bryophytes is a cost-effective addition to carbon neutrality. More investigations across other climatic regions are required to quantify bryophyte contributions worldwide and establish more accurate global terrestrial ecosystem models. Graphical Abstract</w:t>
      </w:r>
    </w:p>
    <w:p>
      <w:r>
        <w:t>POSSIBLE 2024: The Role of Wood Density Variation and Biomass Allocation in Accurate Forest Carbon Stock Estimation of European Beech (Fagus sylvatica L.) Mountain Forests — https://doi.org/10.3390/f15030404</w:t>
      </w:r>
    </w:p>
    <w:p>
      <w:r>
        <w:t>Shared claim-specific concepts: biomass, stock, different, one, forests, wood; EU scope visible. This is a provisional connection, not an outcome finding.</w:t>
      </w:r>
    </w:p>
    <w:p>
      <w:r>
        <w:t>Available abstract (not full text): The European beech (Fagus sylvatica L.) is one of the most common tree species in Romania, with importance both economically and environmentally. Accurate methods of biomass assessment at the tree compartment level (i.e., stump, stem, branches, and leaves) are necessary for carbon stock estimation. Wood density (WD) is an important factor in determining biomass and, ultimately, the tree’s carbon content. The average tree density was found to be 578.6 kg/m3. For this study, WD was evaluated by the weighting method related to tree volume. Also, to investigate a practical approach to determining the weighted wood density (WWDst), models were run using density at the base of the tree (WDBase), density at breast height level using discs (WDDBH), the wood core density (WDic), and the diameter at breast height (DBH) as predictors. The biomass assessment was conducted using different model evaluations for WWDst as well as allometric equations using the destructive method. From the results, it was noted that using the WWDst, the total biomass was underestimated by −0.7% compared to the biomass measured in the field. For allometric equations that included DBH and tree height as independent variables, the explained variability was around 99.3% for total aboveground biomass (AGBtotal), while it was 97.9% for allometric function using just the DBH. Overall, the distribution of biomass acros</w:t>
      </w:r>
    </w:p>
    <w:p>
      <w:r>
        <w:t>POSSIBLE 2024: Factors influencing tree biomass and carbon stock in the Western Himalayas, India — https://doi.org/10.3389/ffgc.2023.1328694</w:t>
      </w:r>
    </w:p>
    <w:p>
      <w:r>
        <w:t>Shared claim-specific concepts: biomass, stock, different, climate, forests; EU scope not established. This is a provisional connection, not an outcome finding.</w:t>
      </w:r>
    </w:p>
    <w:p>
      <w:r>
        <w:t xml:space="preserve">Available abstract (not full text): The assessment of tree biomass and its carbon (C) stock at the local and regional level is considered a crucial criterion for understanding the impact of changing environments on the global carbon cycle. In this context, we selected three sites in the western Himalayas, covering parts of Himachal Pradesh and north-eastern Haryana. Each study site experiences distinct climatic conditions, vegetation types, and elevations. We seek to elucidate the determinants of tree biomass and carbon stock across different forest types in the Western Himalayas. We found that temperate forests contributed the most biomass and carbon stock, with Cedrus deodara attaining the highest values of 782.6 ± 107.9 Mg/ha and 360 ± 49.7 Mg C/ha. In contrast, Quercus leucotrichophora mixed temperate had the lowest 286.6 ± 57.2 and 128.9 ± 25.7 Mg/C ha, respectively. Only a few species, such as Abies pindrow , Cedrus deodara , Quercus floribunda , and Quercus semecarpifolia , accounted for significant biomass and carbon stock. The lower elevation subtropical forests had the highest species richness (8–12 species) and stem density (558.3 ± 62.9 to 866.6 ± 57.7 trees/ha). Furthermore, tree diameter, total basal cover, and height emerged as the strongest predictors of biomass and C stock. The remaining variables showed no significant associations, including species diversity, climatic attributes and elevation. </w:t>
      </w:r>
    </w:p>
    <w:p>
      <w:r>
        <w:t>POSSIBLE 2024: Effect of forest stand thinning on tree biomass carbon stock — https://doi.org/10.22616/erdev.2024.23.tf009</w:t>
      </w:r>
    </w:p>
    <w:p>
      <w:r>
        <w:t>Shared claim-specific concepts: biomass, stock, climate, management, store, increase; EU scope visible. This is a provisional connection, not an outcome finding.</w:t>
      </w:r>
    </w:p>
    <w:p>
      <w:r>
        <w:t>Available abstract (not full text): Forest store significant amount of carbon and carbon stock in living tree biomass is amongst the largest carbon pools in forest ecosystems. Forest management practises, such as thinning, can improve tree growth, and increase carbon sequestration in forest ecosystems, thus be beneficial for achieving climate change mitigation goals. However, information about additional carbon stock increase as a result of thinning in the first 10 years is lacking in hemiboreal region. Therefore, this study investigates the additional carbon stock of the most common tree species (Scots pine, Norway spruce, and Silver birch) on mineral soils in hemiboreal forest of Latvia, focusing on the effects of thinning 5 and 10 years after. The aim of the study was to evaluate the effect of first commercial thinning on gained additional carbon stock of living tree biomass. Our results show, that thinning has a positive effect on additional carbon stock and timely performed thinning is crucial for the best outcome. Performing thinning in a timely manner results in a significantly higher additional carbon stock, as trees exhibit a more pronounced response, with biomass production peaking at younger age. Positive effect of thinning on additional carbon storage decreases with the age. This study provides valuable insights into the nuanced relationships between the tree species, stand age, and the temporal effec</w:t>
      </w:r>
    </w:p>
    <w:p>
      <w:r>
        <w:t>POSSIBLE 2023: The overlooked contribution of trees outside forests to tree cover and woody biomass across Europe — https://doi.org/10.1126/sciadv.adh4097</w:t>
      </w:r>
    </w:p>
    <w:p>
      <w:r>
        <w:t>Shared claim-specific concepts: biomass, stock, high, forests; EU scope visible. This is a provisional connection, not an outcome finding.</w:t>
      </w:r>
    </w:p>
    <w:p>
      <w:r>
        <w:t>Available abstract (not full text): Abstract Trees are an integral part of almost all European landscapes, but only forest resources are systematically assessed by national inventories, and the extent to which trees in urban and agricultural areas contribute to biomass and carbon stocks at the national level remains largely unknown. Here we make use of nanosatellite imagery to generate canopy cover, height, and above-ground biomass maps for the entire European continent from 3-m resolution imagery. Our country-scale biomass estimates have a systematic bias of only 7.6% (overestimation; R = 0.98) when compared to national inventories of 30 countries, and our new dataset is sufficiently highly resolved spatially to support the inclusion of tree biomass outside forests, which we quantify to 0.8 Pg. Although this represents only 2% of the total European tree biomass on average, large variations between countries are found (for example 10% for UK) and trees in urban areas contribute substantially to national carbon stocks (for example 8% for the Netherlands). The good agreement with national inventory data, the scalability, and the high level of detail across landscapes, including trees outside forests, make our approach attractive for operational implementation to support national carbon stock inventory schemes.</w:t>
      </w:r>
    </w:p>
    <w:p>
      <w:r>
        <w:t>POSSIBLE 2023: Global increase in biomass carbon stock dominated by growth of northern young forests over past decade — https://doi.org/10.1038/s41561-023-01274-4</w:t>
      </w:r>
    </w:p>
    <w:p>
      <w:r>
        <w:t>Shared claim-specific concepts: biomass, stock, forests, increase; EU scope not established. This is a provisional connection, not an outcome finding.</w:t>
      </w:r>
    </w:p>
    <w:p>
      <w:r>
        <w:t>Available abstract (not full text): Unavailable</w:t>
      </w:r>
    </w:p>
    <w:p>
      <w:r>
        <w:t>POSSIBLE 2023: Allometric relationships between above-ground biomass increment and stand characteristics for crimean pine in Taşköprü, Turkey — https://doi.org/10.1590/01047760202329013169</w:t>
      </w:r>
    </w:p>
    <w:p>
      <w:r>
        <w:t>Shared claim-specific concepts: investigated, biomass, increments, one, high, increment; EU scope not established. This is a provisional connection, not an outcome finding.</w:t>
      </w:r>
    </w:p>
    <w:p>
      <w:r>
        <w:t xml:space="preserve">Available abstract (not full text): Background: Biomass increment, one of the main components of net primary production (NPP) in forest ecosystems, plays an important role as well as total biomass in the global carbon cycle. In this study, the changes of increments of the above-ground total, stem and branch biomasses depending on stand characteristics (i.e., stand age, stand density, and site index) were investigated, and these relations were modeled for Crimean pine (Pinus nigra J.F.Arnold subsp. pallasiana (Lamb.) Holmboe) stands in Taşköprü region of Türkiye. Data were obtained from 109 sample trees within 74 sample plots representing the wide range of possible stand characteristics. Results: The equations developed for above-ground total, stem and branch biomass increments have quite high coefficients of determination (R 2 =0.784, 0.684 and 0.780, respectively), whereas low root mean square errors (RMSE=0.749, 0.692 and 0.116, respectively). The results indicated that the biomass increment estimates from the allometric equations developed were decreasing with stand age and increasing with stand density and site index and also stand density is the strongest stand characteristic on biomass increment. Conclusion: The estimates are also consistent with the growth patterns, so the equations can be used for biomass increment estimations and also for carbon storage and NPP projections for Crimean pine stands of the </w:t>
      </w:r>
    </w:p>
    <w:p>
      <w:r>
        <w:t>POSSIBLE 2022: Biomass allocation and carbon stock in Douglas fir and Norway spruce at the tree and stand level — https://doi.org/10.2478/forj-2022-0005</w:t>
      </w:r>
    </w:p>
    <w:p>
      <w:r>
        <w:t>Shared claim-specific concepts: investigated, biomass, stock, high, forests, wood; EU scope visible. This is a provisional connection, not an outcome finding.</w:t>
      </w:r>
    </w:p>
    <w:p>
      <w:r>
        <w:t>Available abstract (not full text): Abstract The effect of changing tree species composition in favor of a greater representation of Douglas fir at the expense of Norway spruce on the carbon pool of Central European forests has not yet been investigated. Here, we compare the allocation of aboveground biomass and carbon stock in Douglas fir and spruce at the tree and stand level. At the tree level, Douglas fir accumulated, on average, 16.9% more aboveground biomass than Norway spruce. A greater amount of biomass was allocated mainly in the wood and bark of Douglas fir stem. For these biomass compartments, the difference between Douglas fir and Norway spruce was 21.1% and 60.3%, respectively. Spruce allocated more biomass in the crown, where the difference was 25.6% compared to Douglas fir. In needle biomass, Norway spruce exceeded Douglas fir by 84%. At the stand level, the analysis of model stands revealed that pure Norway spruce stands accumulated more carbon in the high and medium quality sites. As the site quality decreased, so did the differences in the amount of stored carbon. The higher carbon sink in Norway spruce stands was also confirmed in the analysis of real Norway spruce and Douglas fir stands. The difference in the carbon stock of young, medium-aged, and mature stands was 11.5%, 14.8%, and 1%, respectively. The positive balance in favor of spruce is mainly due to significantly higher numbers of tree</w:t>
      </w:r>
    </w:p>
    <w:p>
      <w:r>
        <w:t>POSSIBLE 2022: Wall-to-Wall Mapping of Forest Biomass and Wood Volume Increment in Italy — https://doi.org/10.3390/f13121989</w:t>
      </w:r>
    </w:p>
    <w:p>
      <w:r>
        <w:t>Shared claim-specific concepts: biomass, develop, climate, two, management, store; EU scope visible. This is a provisional connection, not an outcome finding.</w:t>
      </w:r>
    </w:p>
    <w:p>
      <w:r>
        <w:t>Available abstract (not full text): Several political initiatives aim to achieve net-zero emissions by the middle of the twenty-first century. In this context, forests are crucial as a carbon sink to store unavoidable emissions. Assessing the carbon sequestration potential of forest ecosystems is pivotal to the availability of accurate forest variable estimates for supporting international reporting and appropriate forest management strategies. Spatially explicit estimates are even more important for Mediterranean countries such as Italy, where the capacity of forests to act as sinks is decreasing due to climate change. This study aimed to develop a spatial approach to obtain high-resolution maps of Italian forest above-ground biomass (ITA-BIO) and current annual volume increment (ITA-CAI), based on remotely sensed and meteorological data. The ITA-BIO estimates were compared with those obtained with two available biomass maps developed in the framework of two international projects (i.e., the Joint Research Center and the European Space Agency biomass maps, namely, JRC-BIO and ESA-BIO). The estimates from ITA-BIO, JRC-BIO, ESA-BIO, and ITA-CAI were compared with the 2nd Italian NFI (INFC) official estimates at regional level (NUT2). The estimates from ITA-BIO are in good agreement with the INFC estimates (R2 = 0.95, mean difference = 3.8 t ha−1), while for JRC-BIO and ESA-BIO, the estimates show R2 of 0.90 and 0.</w:t>
      </w:r>
    </w:p>
    <w:p>
      <w:r>
        <w:t>POSSIBLE 2021: Assessment of Carbon Stock in Forest Biomass and Emission Reduction Potential in Malaysia — https://doi.org/10.3390/f12101294</w:t>
      </w:r>
    </w:p>
    <w:p>
      <w:r>
        <w:t>Shared claim-specific concepts: biomass, stock, climate, management, forests, other; EU scope not established. This is a provisional connection, not an outcome finding.</w:t>
      </w:r>
    </w:p>
    <w:p>
      <w:r>
        <w:t>Available abstract (not full text): Malaysia has a large extent of forest cover that plays a crucial role in storing biomass carbon and enhancing carbon sink (carbon sequestration) and reducing atmospheric greenhouse gas emissions, which helps to reduce the negative impacts of global climate change. This article estimates the economic value of forest carbon stock and carbon value per hectare of forested area based on the price of removing per ton CO2eq in USD from 1990 to 2050. The economic value of biomass carbon stored in the forests is estimated at nearly USD 51 billion in 2020 and approximately USD 41 billion in 2050, whereas carbon value per hectare forest area is estimated at USD 2885 in 2020 and USD 2388 in 2050. If the BAU scenario of forest loss (converting forests to other land use) continues, the projected estimation of carbon stock and its economic value might fall until 2050 unless further initiatives on proper planning of forest management and ambitious policy implementation are taken. Instead, Malaysia’s CO2 emission growth started to fall after 2010 due to rising forest carbon sink of 282 million tons between 2011 and 2016, indicating a huge potential of Malaysian forests for future climate change mitigation. The estimated and projected value of carbon stock in Malaysian forest biomass, annual growth of forest carbon, forest carbon density and carbon sink would be useful for the better understandi</w:t>
      </w:r>
    </w:p>
    <w:p>
      <w:r>
        <w:t>POSSIBLE 2021: Impact of Ex-Closure in above and below Ground Carbon Stock Biomass — https://doi.org/10.3390/f12020130</w:t>
      </w:r>
    </w:p>
    <w:p>
      <w:r>
        <w:t>Shared claim-specific concepts: biomass, stock, different, climate, high, forests; EU scope not established. This is a provisional connection, not an outcome finding.</w:t>
      </w:r>
    </w:p>
    <w:p>
      <w:r>
        <w:t>Available abstract (not full text): Globally, there is a serious issue in carbon stock due to high deforestation and the loss of land, limited carbon storage pools in aboveground and underground forests in different regions, and increased carbon emissions to the atmosphere. This review paper highlights the impact of exclosures on above and below ground carbon stocks in biomass as a solution to globally curb carbon emissions. The data has been analyzed dependent on the Intergovernmental Panel on Climate Change (IPCC) guidelines, the Food and Agriculture Organization (FAO) Forest Resource Assessment report (FRA, 2020), and scientific journal publications mostly from the last decade, to show the research results of carbon stock and the impact of exclosures, particularly the challenges of deforestation and erosion of land and opportunities of area exclosures to provide a general outlook for policymakers. Overall, the world’s forest regions are declining, and although the forest loss rate has slowed, it has still not stopped sufficiently because the knowledge and practice of exclosures are limited. The global forest loss and carbon stock have decreased from 7.8 million ha/yr to 4.7 million ha/yr and from 668 gigatons to 662 gigatons respectively due to multiple factors that differ across the regions. However, a move toward natural rehabilitation and exclosures to reduce the emissions of Greenhouse Gas (GHGs) is needed</w:t>
      </w:r>
    </w:p>
    <w:p>
      <w:pPr>
        <w:pStyle w:val="Heading2"/>
      </w:pPr>
      <w:r>
        <w:t>Scenarios for selected maritime economic functions</w:t>
      </w:r>
    </w:p>
    <w:p>
      <w:r>
        <w:t>Original source (2013): https://doi.org/10.1007/s40309-013-0011-8</w:t>
      </w:r>
    </w:p>
    <w:p>
      <w:r>
        <w:t>Original wording (abstract; indexed_source_text_not_full_document_verified): This paper discusses the use of scenarios in the ‘Blue Growth’ project, which was aimed at elaborating the maritime dimension of the Europe 2020 strategy, with a 15-year time horizon (2025/2030). The direct impact of the general scenarios on policy development cannot yet be evaluated.</w:t>
      </w:r>
    </w:p>
    <w:p>
      <w:r>
        <w:t>POSSIBLE 2026: Soil degradation in Europe is projected to accelerate under changing land use and climate — https://doi.org/10.1038/s44458-026-00064-4</w:t>
      </w:r>
    </w:p>
    <w:p>
      <w:r>
        <w:t>Shared claim-specific concepts: use, project, yet; EU scope visible. This is a provisional connection, not an outcome finding.</w:t>
      </w:r>
    </w:p>
    <w:p>
      <w:r>
        <w:t>Available abstract (not full text): Abstract Soil degradation threatens food security and environmental sustainability, yet future projections of it are rare. Using projections from 18 global climate models under two Shared Socioeconomic Pathways (SSP2-4.5 and SSP5-8.5) and land-use projections from the Land Use and Climate Across Scales Land Use Change (LUCAS LUC) dataset, we assess future soil vulnerability to degradation by linking a Soil Degradation Proxy (SDP) to climate, land-use, soil characteristics, and socio-economic factors at 7433 observation sites across Europe. We project that by 2071–2100, ~59% of sites may become more vulnerable under the high-emission scenario. Cold forest regions in northern Europe are projected to face increased degradation pressure by ~+0.04SDP. However, some European croplands may improve locally through conversion to secondary lands, reduced human pressures, and natural recovery processes. These regionally specific trends highlight that, while soil degradation remains a major threat, proactive land management can mitigate soil vulnerability under future climate trajectories.</w:t>
      </w:r>
    </w:p>
    <w:p>
      <w:r>
        <w:t>POSSIBLE 2022: Review on Methylene Blue: Its Properties, Uses, Toxicity and Photodegradation — https://doi.org/10.3390/w14020242</w:t>
      </w:r>
    </w:p>
    <w:p>
      <w:r>
        <w:t>Shared claim-specific concepts: blue, time; EU scope not established. This is a provisional connection, not an outcome finding.</w:t>
      </w:r>
    </w:p>
    <w:p>
      <w:r>
        <w:t>Available abstract (not full text): The unavailability of clean drinking water is one of the significant health issues in modern times. Industrial dyes are one of the dominant chemicals that make water unfit for drinking. Among these dyes, methylene blue (MB) is toxic, carcinogenic, and non-biodegradable and can cause a severe threat to human health and environmental safety. It is usually released in natural water sources, which becomes a health threat to human beings and living organisms. Hence, there is a need to develop an environmentally friendly, efficient technology for removing MB from wastewater. Photodegradation is an advanced oxidation process widely used for MB removal. It has the advantages of complete mineralization of dye into simple and nontoxic species with the potential to decrease the processing cost. This review provides a tutorial basis for the readers working in the dye degradation research area. We not only covered the basic principles of the process but also provided a wide range of previously published work on advanced photocatalytic systems (single-component and multi-component photocatalysts). Our study has focused on critical parameters that can affect the photodegradation rate of MB, such as photocatalyst type and loading, irradiation reaction time, pH of reaction media, initial concentration of dye, radical scavengers and oxidising agents. The photodegradation mechanism, reaction path</w:t>
      </w:r>
    </w:p>
    <w:p>
      <w:r>
        <w:t>POSSIBLE 2021: Current Status of the Algae Production Industry in Europe: An Emerging Sector of the Blue Bioeconomy — https://doi.org/10.3389/fmars.2020.626389</w:t>
      </w:r>
    </w:p>
    <w:p>
      <w:r>
        <w:t>Shared claim-specific concepts: blue, dimension, strategy, yet; EU scope visible. This is a provisional connection, not an outcome finding.</w:t>
      </w:r>
    </w:p>
    <w:p>
      <w:r>
        <w:t>Available abstract (not full text): The EU Bioeconomy Strategy aims to support the sustainable growth and development of the EU bio-based sectors while creating jobs, innovation and services. Despite the recognized potential of the algae biomass value chain, significant knowledge gaps still exist regarding the dimension, capability, organization and structure of the algae production in Europe. This study presents and analyses the results of a comprehensive mapping and detailed characterization of the algae production at the European scale, encompassing macroalgae, microalgae, and the cyanobacteria Spirulina. This work mapped 447 algae and Spirulina production units spread between 23 countries, which represents an important addition to the reported number of algae producing countries. More than 50% of these companies produce microalgae and/or Spirulina. Macroalgae production is still depending on harvesting from wild stocks (68% of the macroalgae producing units) but macroalgae aquaculture (land-based and at sea) is developing in several countries in Europe currently representing 32% of the macroalgae production units. France, Ireland, and Spain are the top 3 countries in number of macroalgae production units while Germany, Spain, and Italy stand for the top 3 for microalgae. Spirulina producers are predominantly located in France, Italy, Germany, and Spain. Algae and Spirulina biomass is directed primarily for fo</w:t>
      </w:r>
    </w:p>
    <w:p>
      <w:r>
        <w:t>POSSIBLE 2021: Ocean resource use: building the coastal blue economy — https://doi.org/10.1007/s11160-021-09636-0</w:t>
      </w:r>
    </w:p>
    <w:p>
      <w:r>
        <w:t>Shared claim-specific concepts: use, blue; EU scope not established. This is a provisional connection, not an outcome finding.</w:t>
      </w:r>
    </w:p>
    <w:p>
      <w:r>
        <w:t>Available abstract (not full text): Humans have relied on coastal resources for centuries. However, current growth in population and increased accessibility of coastal resources through technology have resulted in overcrowded and often conflicted spaces. The recent global move towards development of national blue economy strategies further highlights the increased focus on coastal resources to address a broad range of blue growth industries. The need to manage sustainable development and future exploitation of both over-utilised and emergent coastal resources is both a political and environmental complexity. To address this complexity, we draw on the perspectives of a multi-disciplinary team, utilising two in depth exemplary case studies in New Zealand and within the Myanmar Delta Landscape, to showcase barriers, pathways and actions that facilitate a move from Business as Usual (BAU) to a future aligned with the Sustainable Development Goals (SDGs) and the UN International Decade of Ocean Science for Sustainable Development 2021-2030. We provide key recommendations to guide interest groups, and nations globally, towards sustainable utilisation, conservation and preservation of their marine environments in a fair and equitable way, and in collaboration with those who directly rely upon coastal ecosystems. We envision a sustainable future driven by conflict mitigation and resolution, where:(i)Change is motivated a</w:t>
      </w:r>
    </w:p>
    <w:p>
      <w:r>
        <w:t>POSSIBLE 2021: 6G Vision, Value, Use Cases and Technologies From European 6G Flagship Project Hexa-X — https://doi.org/10.1109/access.2021.3130030</w:t>
      </w:r>
    </w:p>
    <w:p>
      <w:r>
        <w:t>Shared claim-specific concepts: use, project; EU scope visible. This is a provisional connection, not an outcome finding.</w:t>
      </w:r>
    </w:p>
    <w:p>
      <w:r>
        <w:t>Available abstract (not full text): While 5G is being deployed and the economy and society begin to reap the associated benefits, the research and development community starts to focus on the next, 6th Generation (6G) of wireless communications. Although there are papers available in the literature on visions, requirements and technical enablers for 6G from various academic perspectives, there is a lack of joint industry and academic work towards 6G. In this paper a consolidated view on vision, values, use cases and key enabling technologies from leading industry stakeholders and academia is presented. The authors represent the mobile communications ecosystem with competences spanning hardware, link layer and networking aspects, as well as standardization and regulation. The second contribution of the paper is revisiting and analyzing the key concurrent initiatives on 6G. A third contribution of the paper is the identification and justification of six key 6G research challenges: (i) “connecting”, in the sense of empowering, exploiting and governing, intelligence; (ii) realizing a network of networks, i.e., leveraging on existing networks and investments, while reinventing roles and protocols where needed; (iii) delivering extreme experiences, when/where needed; (iv) (environmental, economic, social) sustainability to address the major challenges of current societies; (v) trustworthiness as an ingrained fundamenta</w:t>
      </w:r>
    </w:p>
    <w:p>
      <w:r>
        <w:t>POSSIBLE 2021: Large variability in response to projected climate and land‐use changes among European bumblebee species — https://doi.org/10.1111/gcb.15780</w:t>
      </w:r>
    </w:p>
    <w:p>
      <w:r>
        <w:t>Shared claim-specific concepts: use, project, direct; EU scope visible. This is a provisional connection, not an outcome finding.</w:t>
      </w:r>
    </w:p>
    <w:p>
      <w:r>
        <w:t>Available abstract (not full text): Bumblebees (Bombus ssp.) are among the most important wild pollinators, but many species have suffered from range declines. Land-use change, agricultural intensification, and the associated loss of habitat have been identified as drivers of the observed dynamics, amplifying pressures from a changing climate. However, these drivers are still underrepresented in continental-scale species distribution modeling. Here, we project the potential distribution of 47 European bumblebee species in 2050 and 2080 from existing European-scale distribution maps, based on a set of climate and land-use futures simulated through a regional integrated assessment model and consistent with the RCP-SSP scenario framework. We compare projections including (1) dynamic climate and constant land use (CLIM); (2) constant climate and dynamic land use (LU); and (3) dynamic climate and dynamic land use (COMB) to disentangle the effects of land use and climate change on future habitat suitability, providing the first rigorous continental-scale assessment of linked climate-land-use futures for bumblebees. We find that direct climate impacts, although variable across species, dominate responses for most species, especially under high-end climate change scenarios (up to 99% range loss). Land-use impacts are highly variable across species and scenarios, ranging from severe losses (up to 75% loss) to considerable</w:t>
      </w:r>
    </w:p>
    <w:p>
      <w:r>
        <w:t>POSSIBLE 2020: The Blue Map of Europe: Conservative Parliamentarians and European Integration — https://doi.org/10.1201/9781315037691-4</w:t>
      </w:r>
    </w:p>
    <w:p>
      <w:r>
        <w:t>Shared claim-specific concepts: discusses, blue; EU scope visible. This is a provisional connection, not an outcome finding.</w:t>
      </w:r>
    </w:p>
    <w:p>
      <w:r>
        <w:t>Available abstract (not full text): This article uses the results of the authors’ 1994 ESRC survey of Conservative MPs, MEPs and candidates in the European Parliament election to measure the extent of Conservative divisions over European integration in relation to a range of policy issues. It discusses whether the party’s European parliamentarians are becoming more Euro-sceptical, whether Thatcher’s cohorts of new MPs are more sceptical than their predecessors, and how sceptical John Major’s backbenchers really are. The problem of party management is demonstrated by the size of minorities on both wings of the European debate, and the centrality and divisiveness of the issue of national sovereignty is illustrated.</w:t>
      </w:r>
    </w:p>
    <w:p>
      <w:r>
        <w:t>POSSIBLE 2020: The Blue Fix: What's driving blue growth? — https://doi.org/10.1007/s11625-019-00777-7</w:t>
      </w:r>
    </w:p>
    <w:p>
      <w:r>
        <w:t>Shared claim-specific concepts: blue, dimension; EU scope not established. This is a provisional connection, not an outcome finding.</w:t>
      </w:r>
    </w:p>
    <w:p>
      <w:r>
        <w:t>Available abstract (not full text): This article explores the politics behind the promise of ‘blue growth’. Reframing it as a ‘blue fix’, we argue that the blue growth discourse facilitates new opportunities for capital accumulation, while claiming that this accumulation is compatible with social and ecological aims as well. The blue fix is made up of three underlying sub-fixes. First of all, the conservation fix quenches the social thirst for action in the face of climate change. Here we see how protecting marine areas can be an important part of mitigating climate change, but in practice, gains at the national level are overshadowed by the ongoing expansion of offshore drilling for oil and gas. Second, the protein fix satisfies the growing global demand for healthy food and nutrition through the expansion of capital-intensive large-scale aquaculture, while ignoring the negative socio-ecological impacts, which effectively squeeze small-scale capture fishing out, while industrial capture fishing remains well positioned to expand into as well as supply industrial aquaculture with fish feed from pelagic fish. And third, an energy fix offers a burst of wind energy and a splash of new deep-sea minerals without disturbing the familiar and persistent foundation of oil and gas. This dimension of the blue fix emphasizes the transition to wind and solar energy, but meanwhile the deep sea mining for minerals required by th</w:t>
      </w:r>
    </w:p>
    <w:p>
      <w:r>
        <w:t>POSSIBLE 2020: Current practice in project appraisal in Europe — https://doi.org/10.5278/ojs.td.v12i1.5126</w:t>
      </w:r>
    </w:p>
    <w:p>
      <w:r>
        <w:t>Shared claim-specific concepts: use, project, dimension, general; EU scope visible. This is a provisional connection, not an outcome finding.</w:t>
      </w:r>
    </w:p>
    <w:p>
      <w:r>
        <w:t>Available abstract (not full text): Trans European Network transport infrastructure projects and regulations pose a significant problem in the area of appraisal. Whereas previously national appraisal guidelines have been used for the appraisal of such projects there is an increased demand for consistency of approach where projects cross country boundaries or have some other international dimension. With the EU expanding to 25 countries in 2004 this has become an even more pertinent issue. The purpose of the 6th framework HEATCO project (from which this paper is derived) is to develop a set of harmonised guidelines for project assessment and transport costing at an EU level. This paper will present the approaches, methods and values currently used for project appraisal and then review their comparability and consistency across the 25 member states. It is the first general attempt to include the current appraisal practice of the 10 new member states in a review. The review is based on the results from a country based proforma, which was designed to elicit the extent to which the different elements of infrastructure appraisal are harmonised and highlight what potential barriers to harmonisation may exist. In doing this it builds on the previous survey undertaken as part of the EUNET project (Grant-Muller, Mackie, Nellthorp and Pearman, 1998), updating it to account for the changes in practice that have occurred over</w:t>
      </w:r>
    </w:p>
    <w:p>
      <w:r>
        <w:t>POSSIBLE 2018: Basilicata and Blue Economy — https://doi.org/10.1432/91440</w:t>
      </w:r>
    </w:p>
    <w:p>
      <w:r>
        <w:t>Shared claim-specific concepts: use, blue, maritime; EU scope visible. This is a provisional connection, not an outcome finding.</w:t>
      </w:r>
    </w:p>
    <w:p>
      <w:r>
        <w:t>Available abstract (not full text): Given the growing importance to the sea and its wealth, this paper aims to tackle the theme of the maritime economy in Basilicata, with the purpose of enhancing the region through such economy. Currently, although it is centrally located and equidistant from the surrounding seas, it does not make use of its favourable position. This work draws attention to the initiative of the European Commission and to «Blue Growth»; it highlights the interest in aquaculture and fisheries, respecting the natural environment and human health; furthermore, it takes into account the statistical results among Italian regions. Attention is also paid to the Operational Programme for Fisheries and Aquaculture in Basilicata, and the topic of «Blue Economy» in Southern Italy is discussed, with particular regard to the contribution offered by the region analysed. Finally, it highlights that Basilicata, precisely through its limits, can be a positive example of the application of Community measures and the objectives of the Common Fisheries Policy (CFP) without altering their carrying capacity.</w:t>
      </w:r>
    </w:p>
    <w:p>
      <w:r>
        <w:t>POSSIBLE 2018: Blue care: a systematic review of blue space interventions for health and wellbeing — https://doi.org/10.1093/heapro/day103</w:t>
      </w:r>
    </w:p>
    <w:p>
      <w:r>
        <w:t>Shared claim-specific concepts: use, blue, direct; EU scope not established. This is a provisional connection, not an outcome finding.</w:t>
      </w:r>
    </w:p>
    <w:p>
      <w:r>
        <w:t>Available abstract (not full text): There is increasing interest in the potential use of outdoor water environments, or blue space, in the promotion of human health and wellbeing. However, therapeutic nature-based practices are currently outpacing policy and the evidence base for health or wellbeing benefits of therapeutic interventions within blue space has not been systematically assessed. This systematic review aims to address the gap in understanding the impacts of blue space within existing interventions for targeted individuals. A systematic review was carried out, searching Google Scholar, SCOPUS, PubMed, etc. through to August 2017. Only blue space interventions were included that were specifically designed and structured with a therapeutic purpose for individuals with a defined need and did not include nature-based promotion projects or casual recreation in the outdoors. Thirty-three studies met the inclusion criteria and were assessed. Overall, the studies suggest that blue care can have direct benefit for health, especially mental health and psycho-social wellbeing. The majority of papers found a positive or weak association between blue care and health and wellbeing indicators. There was also some evidence for greater social connectedness during and after interventions, but results were inconsistent and mixed across studies with very few findings for physical health. This is the first systematic revie</w:t>
      </w:r>
    </w:p>
    <w:p>
      <w:r>
        <w:t>POSSIBLE 2018: Drivers of Irrational Use of Antibiotics in Europe — https://doi.org/10.3390/ijerph16010027</w:t>
      </w:r>
    </w:p>
    <w:p>
      <w:r>
        <w:t>Shared claim-specific concepts: use, aimed, general; EU scope visible. This is a provisional connection, not an outcome finding.</w:t>
      </w:r>
    </w:p>
    <w:p>
      <w:r>
        <w:t>Available abstract (not full text): The unnecessary use of antibiotics and concomitant rapid growth of antibiotic resistance (ABR) is a widely acknowledged threat to global health, development, and sustainability. While the underlying cause of ABR is undoubtedly the overall volume of antibiotic use in general, irrational antibiotic use, which is influenced by several interrelated factors, is a major contributory factor. Here, we aimed to present and describe selected main drivers of irrational use of antibiotics in Europe. We performed a broad search of the current literature in databases such as PubMed, Google Scholar, Cochrane, as well as various institutional websites (World Health Organization, European Observatory, European Commission) to provide a new perspective on selected drivers of irrational antibiotic use in Europe. We also searched for relevant literature using snowballing, i.e., using reference lists of papers to identify additional papers. In this narrative review, we present that major factors among the general public driving antibiotic resistance are lack of public knowledge and awareness, access to antibiotics without prescription and leftover antibiotics, and knowledge attitude and perception of prescribers and dispensers, inadequate medical training, pharmaceutical promotion, lack of rapid and sufficient diagnostic tests, and patient⁻doctor interaction as major factors among healthcare provide</w:t>
      </w:r>
    </w:p>
    <w:p>
      <w:pPr>
        <w:pStyle w:val="Heading2"/>
      </w:pPr>
      <w:r>
        <w:t>Scenarios for the future of the European process industry - the case of the chemical industry</w:t>
      </w:r>
    </w:p>
    <w:p>
      <w:r>
        <w:t>Original source (2013): https://doi.org/10.1007/s40309-013-0010-9</w:t>
      </w:r>
    </w:p>
    <w:p>
      <w:r>
        <w:t>Original wording (abstract; indexed_source_text_not_full_document_verified): We studied future challenges for the European chemical industry until the year 2030. Based on the 249 qualitative statements made by the participating experts, we derived four future scenarios.</w:t>
      </w:r>
    </w:p>
    <w:p>
      <w:r>
        <w:t>POSSIBLE 2025: Taxonomy of Chemical Bondings: Opportunities and Challenges — https://doi.org/10.1002/anie.202506525</w:t>
      </w:r>
    </w:p>
    <w:p>
      <w:r>
        <w:t>Shared claim-specific concepts: challenges, chemical, based; EU scope not established. This is a provisional connection, not an outcome finding.</w:t>
      </w:r>
    </w:p>
    <w:p>
      <w:r>
        <w:t>Available abstract (not full text): The concept of the chemical bond is fundamental to chemistry, governing atomic interactions that define all known matter. Despite this central role, the classification and most convenient naming of chemical bonds remain subjects of debate due to the diverse theoretical models and experimental observations. Modelings from quantum mechanical calculations and heuristic principles from experimental observations offer valuable and complementary insights, but sometimes the match and coalescence of these different approaches into a common terminology is not immediate. This paper describes a hierarchical categorization of noncovalent interactions based on the electrophilic atom involved, aligning with IUPAC definitions of hydrogen bonding (HB), halogen bonding (HaB), chalcogen bonding (ChB), and pnictogen bonding (PnB). The resulting taxonomy may avoid some ambiguities that arise from naming interactions based on single chemical/physical features. The proposed categorization that moves from more general and comprehensive terms to more specific and descriptive terms may ensure clarity, comprehensiveness, consistency with periodic trends, and invariancy over evolving understanding of the chemical bonds so that findings can be communicated and stored effectively via both human and machine based protocols.</w:t>
      </w:r>
    </w:p>
    <w:p>
      <w:r>
        <w:t>POSSIBLE 2022: Expanding plastics recycling technologies: chemical aspects, technology status and challenges — https://doi.org/10.1039/d2gc02588d</w:t>
      </w:r>
    </w:p>
    <w:p>
      <w:r>
        <w:t>Shared claim-specific concepts: challenges, chemical, industry; EU scope not established. This is a provisional connection, not an outcome finding.</w:t>
      </w:r>
    </w:p>
    <w:p>
      <w:r>
        <w:t>Available abstract (not full text): Less than 10% of the plastics generated globally are recycled, while the rest are incinerated, accumulated in landfills, or leach into the environment. New technologies are emerging to chemically recycle waste plastics that are receiving tremendous interest from academia and industry. Chemists and chemical engineers need to understand the fundamentals of these technologies to design improved systems for chemical recycling and upcycling of waste plastics. In this paper, we review the entire life cycle of plastics and options for the management of plastic waste to address barriers to industrial chemical recycling and further provide perceptions on possible opportunities with such materials. Knowledge and insights to enhance plastic recycling beyond its current scale are provided. Outstanding research problems and where researchers in the field should focus their efforts in the future are also discussed.</w:t>
      </w:r>
    </w:p>
    <w:p>
      <w:r>
        <w:t>POSSIBLE 2018: Food safety challenges and One Health within Europe — https://doi.org/10.1186/s13028-017-0355-3</w:t>
      </w:r>
    </w:p>
    <w:p>
      <w:r>
        <w:t>Shared claim-specific concepts: challenges, industry, based; EU scope visible. This is a provisional connection, not an outcome finding.</w:t>
      </w:r>
    </w:p>
    <w:p>
      <w:r>
        <w:t>Available abstract (not full text): This review discusses food safety aspects of importance from a One Health perspective, focusing on Europe. Using examples of food pathogen/food commodity combinations, spread of antimicrobial resistance in the food web and the risk of transmission of zoonotic pathogens in a circular system, it demonstrates how different perspectives are interconnected. The chosen examples all show the complexity of the food system and the necessity of using a One Health approach. Food safety resources should be allocated where they contribute most One Health benefits. Data on occurrence and disease burden and knowledge of source attribution are crucial in assessing costs and benefits of control measures. Future achievements in food safety, public health and welfare will largely be based on how well politicians, researchers, industry, national agencies and other stakeholders manage to collaborate using the One Health approach. It can be concluded that closer cooperation between different disciplines is necessary to avoid silo thinking when addressing important food safety challenges. The importance of this is often mentioned, but more proof of concept is needed by the research community.</w:t>
      </w:r>
    </w:p>
    <w:p>
      <w:pPr>
        <w:pStyle w:val="Heading2"/>
      </w:pPr>
      <w:r>
        <w:t>Superconductivity and the environment: a Roadmap</w:t>
      </w:r>
    </w:p>
    <w:p>
      <w:r>
        <w:t>Original source (2013): https://doi.org/10.1088/0953-2048/26/11/113001</w:t>
      </w:r>
    </w:p>
    <w:p>
      <w:r>
        <w:t>Original wording (abstract; indexed_source_text_not_full_document_verified): If we want to stabilize CO 2 levels in our atmosphere at 550 parts per million, all of that growth needs to be met by non-carbon forms of energy' (2011 Equinox Summit: Energy 2030 http://wgsi.org/publications-resources ).</w:t>
      </w:r>
    </w:p>
    <w:p>
      <w:r>
        <w:t>POSSIBLE 2025: What Does China Want? — https://doi.org/10.1162/isec.a.5</w:t>
      </w:r>
    </w:p>
    <w:p>
      <w:r>
        <w:t>Shared claim-specific concepts: want, parts, all; EU scope not established. This is a provisional connection, not an outcome finding.</w:t>
      </w:r>
    </w:p>
    <w:p>
      <w:r>
        <w:t>Available abstract (not full text): Abstract The conventional wisdom is that China is a rising hegemon eager to replace the United States, dominate international institutions, and re-create the liberal international order in its own image. Drawing on data from 12,000 articles and hundreds of speeches by Xi Jinping, to discern China's intentions we analyze three terms or phrases from Chinese rhetoric: “struggle” (斗争), “rise of the East, decline of the West” (东升西降), and “no intention to replace the United States” ((无意取代美国). Our findings indicate that China is a status quo power concerned with regime stability and is more inwardly focused than externally oriented. China's aims are unambiguous, enduring, and limited: It cares about its borders, sovereignty, and foreign economic relations. China's main concerns are almost all regional and related to parts of China that the rest of the region has agreed are Chinese—Hong Kong, Taiwan, Tibet, and Xinjiang. Our argument has three main implications. First, China does not pose the type of military threat that the conventional wisdom claims it does. Thus, a hostile U.S. military posture in the Pacific is unwise and may unnecessarily create tensions. Second, the two countries could cooperate on several overlooked issue areas. Third, the conventional view of China plays down the economic and diplomatic arenas that a war-fighting approach is unsuited to address.</w:t>
      </w:r>
    </w:p>
    <w:p>
      <w:r>
        <w:t>POSSIBLE 2016: flowVS: channel-specific variance stabilization in flow cytometry — https://doi.org/10.1186/s12859-016-1083-9</w:t>
      </w:r>
    </w:p>
    <w:p>
      <w:r>
        <w:t>Shared claim-specific concepts: stabilize, levels, all; EU scope not established. This is a provisional connection, not an outcome finding.</w:t>
      </w:r>
    </w:p>
    <w:p>
      <w:r>
        <w:t>Available abstract (not full text): BACKGROUND: Comparing phenotypes of heterogeneous cell populations from multiple biological conditions is at the heart of scientific discovery based on flow cytometry (FC). When the biological signal is measured by the average expression of a biomarker, standard statistical methods require that variance be approximately stabilized in populations to be compared. Since the mean and variance of a cell population are often correlated in fluorescence-based FC measurements, a preprocessing step is needed to stabilize the within-population variances. RESULTS: We present a variance-stabilization algorithm, called flowVS, that removes the mean-variance correlations from cell populations identified in each fluorescence channel. flowVS transforms each channel from all samples of a data set by the inverse hyperbolic sine (asinh) transformation. For each channel, the parameters of the transformation are optimally selected by Bartlett's likelihood-ratio test so that the populations attain homogeneous variances. The optimum parameters are then used to transform the corresponding channels in every sample. flowVS is therefore an explicit variance-stabilization method that stabilizes within-population variances in each channel by evaluating the homoskedasticity of clusters with a likelihood-ratio test. With two publicly available datasets, we show that flowVS removes the mean-variance dependence</w:t>
      </w:r>
    </w:p>
    <w:p>
      <w:r>
        <w:t>POSSIBLE 2015: Dynamic MIPS Rate Stabilization for Complex Processors — https://doi.org/10.1145/2714575</w:t>
      </w:r>
    </w:p>
    <w:p>
      <w:r>
        <w:t>Shared claim-specific concepts: stabilize, levels, per, all, energy; EU scope not established. This is a provisional connection, not an outcome finding.</w:t>
      </w:r>
    </w:p>
    <w:p>
      <w:r>
        <w:t>Available abstract (not full text): Modern microprocessor cores reach their high performance levels with the help of high clock rates, parallel and speculative execution of a large number of instructions, and vast cache hierarchies. Modern cores also have adaptive features to regulate power and temperature and avoid thermal emergencies. All of these features contribute to highly unpredictable execution times. In this article, we demonstrate that the execution time of in-order (IO), out-of-order (OoO), and OoO simultaneous multithreaded processors can be stable and predictable by stabilizing their mega instructions executed per second (MIPS) rate via a proportional, integral, and differential (PID) gain feedback controller and dynamic voltage and frequency scaling (DVFS). Processor cores in idle cycles are continuously consuming power, which is highly undesirable in systems, especially in real-time systems. In addition to meeting deadlines in real-time systems, our MIPS rate stabilization framework can be applied on top of it to reduce power and energy by avoiding idle cycles. If processors are equipped with MIPS rate stabilization, the execution time can be predicted. Because the MIPS rate remains steady, a stabilized processor meets deadlines on time in real-time systems or in systems with quality-of-service execution latency requirements at the lowest possible frequency. To demonstrate and evaluate this capabil</w:t>
      </w:r>
    </w:p>
    <w:p>
      <w:r>
        <w:t>POSSIBLE 2014: Diabetic retinopathy stabilization after renal transplantation — https://doi.org/10.4103/0301-4738.136303</w:t>
      </w:r>
    </w:p>
    <w:p>
      <w:r>
        <w:t>Shared claim-specific concepts: want, levels, all; EU scope not established. This is a provisional connection, not an outcome finding.</w:t>
      </w:r>
    </w:p>
    <w:p>
      <w:r>
        <w:t>Available abstract (not full text): Dear Editor, We read the article “The effects of renal transplantation on diabetic retinopathy: Clinical course and visual outcomes” by Roy et al., with interest.[1] The authors aimed to elucidate the clinical course of diabetic retinopathy (DR) after renal transplantation (RT) in a hospital-based cohort. They concluded that RT stabilized the retinopathy status in the majority of patients although in a minor subset the disease course was unpredictable. We congratulate the authors for their lightening study. We would like to inform two errors which we think to be done by mistake and make some contributions about study. DR and diabetic nephropathy are the main microvascular complications of diabetes, representing the leading cause of blindness and end-stage renal disease.[2] There is a strong association between severity of retinopathy and level of kidney function.[3] Also there are several studies reporting the stabilization of the retinopathy after RT or simultaneous pancreas and kidney transplant (SPK).[1] Firstly, we want to inform two errors which we think to be done by mistake. In fourth paragraph of the discussion part, the authors informed that Chow et al., studying the effect of renal and pancreatic transplant on the status of retinal transplant found a stable visual acuity in the follow-up period. But actually in this study, Chow et al., examined the course of DR in ins</w:t>
      </w:r>
    </w:p>
    <w:p>
      <w:pPr>
        <w:pStyle w:val="Heading2"/>
      </w:pPr>
      <w:r>
        <w:t>THE CRITICAL ANALYSIS OF SCENARIO CONSTRUCTION IN THE POLISH FORESIGHT INITIATIVES</w:t>
      </w:r>
    </w:p>
    <w:p>
      <w:r>
        <w:t>Original source (2013): https://doi.org/10.3846/20294913.2013.809030</w:t>
      </w:r>
    </w:p>
    <w:p>
      <w:r>
        <w:t>Original wording (abstract; indexed_source_text_not_full_document_verified): The research has been funded by the National Science Centre in Poland within a research project entitled Scenarios in future shaping and anticipation for foresight studies, project number: 4194/B/H03/2011/40. The aim of the article is to present the diagnosis of scenario method application in the Polish foresight initiatives.</w:t>
      </w:r>
    </w:p>
    <w:p>
      <w:r>
        <w:t>POSSIBLE 2026: Research Infrastructures and the Open Science Roadmap: European and Italian Strategies and Policies — https://doi.org/10.1007/978-3-032-29575-0_2</w:t>
      </w:r>
    </w:p>
    <w:p>
      <w:r>
        <w:t>Shared claim-specific concepts: funded, national, science, within, initiatives; EU scope visible. This is a provisional connection, not an outcome finding.</w:t>
      </w:r>
    </w:p>
    <w:p>
      <w:r>
        <w:t>Available abstract (not full text): This chapter examines the policy frameworks that shape Research Infrastructures (RIs) in Europe and Italy. It focuses on global and European actors—such as the European Open Science Cloud (EOSC)—and analyses their role in advancing Open Science initiatives. The chapter also explores the plans, programs, and policies aimed at strengthening Research Infrastructures, expanding their openness, and promoting their use not only within research communities but also among key stakeholders in the European and national research and innovation system, including enterprises, the third sector, policymakers, public administrations, and civil society. Furthermore, the chapter investigates the strategies, actions, and main initiatives funded under the Italian National Recovery and Resilience Plan (PNRR—Piano Nazionale di Ripresa e Resilienza), with particular attention to Mission 4—Component 2—From Research to Enterprise. In this context, it highlights interventions designed to reinforce RIs and to develop a federated national system of research infrastructures in the Social Sciences and Humanities (SSH). This strategy, implemented through the involvement of leading Italian universities and research institutions, aims to effectively and efficiently support the country’s scientific advancement and socio-economic development by translating European and national principles and strategies for Open</w:t>
      </w:r>
    </w:p>
    <w:p>
      <w:r>
        <w:t>POSSIBLE 2026: Diamond OA Policy Forum Europe: Strategies for Funding Diamond OA in Europe — https://doi.org/10.5281/zenodo.23301450</w:t>
      </w:r>
    </w:p>
    <w:p>
      <w:r>
        <w:t>Shared claim-specific concepts: national, science, project, initiatives; EU scope visible. This is a provisional connection, not an outcome finding.</w:t>
      </w:r>
    </w:p>
    <w:p>
      <w:r>
        <w:t>Available abstract (not full text): Presentation slides from the Diamond OA Policy Forum Europe, held online on 5 October 2026 as part of the ALMASI project. The second meeting of the European Forum focused on funding Diamond OA in this region, showcasing the strategic funding approaches taken by European national Open Science policymakers, research funders and libraries in the region. It also presented the types of initiatives or models that make funding Diamond OA easier. The event was part of the Diamond OA Policy Forum series of regional and cross-regional meetings organised by ALMASI to bring together policymakers, funders and open access experts from Africa, Europe and Latin America. The Forum aims to support the development of policies and sustainable funding mechanisms for more equitable, diverse and community-led scholarly publishing. Speakers: Maja Peharc, Policy officer, Ministry for Education, Science and Youth, Slovenia Zoé Ancion, Head of the Open Science Unit, French National Research Agency, France Louise Otting-Geevers, Collection &amp; License manager, Delft University of Technology Library, the Netherlands Jean-François Lutz, Head of the Research Support Mission in the Documentation Division at Université de Lorraine, France Fabian Hennig, Officer for Diamond Open Access Consortia, TIB –Technische Informationsbibliothek, Germany Rosalie Lack, SCOSS Coordinator, Global Sustainability Coalition for O</w:t>
      </w:r>
    </w:p>
    <w:p>
      <w:r>
        <w:t>POSSIBLE 2022: Building National Open Science Cloud Initiatives (NOSCIs) in Southeast Europe — https://doi.org/10.15291/pubmet.3952</w:t>
      </w:r>
    </w:p>
    <w:p>
      <w:r>
        <w:t>Shared claim-specific concepts: national, science, within, project, initiatives; EU scope visible. This is a provisional connection, not an outcome finding.</w:t>
      </w:r>
    </w:p>
    <w:p>
      <w:r>
        <w:t>Available abstract (not full text): The National Initiatives for Open Science in Europe (NI4OS Europe) project supports the development of the European Open Science Cloud (EOSC) by contributing to its portfolio of services, by involving national and regional research communities in the EOSC governance, by strengthening open science (OS) practices, and by promoting the FAIR principles (Macan et al., 2020; Garavelli et al., 2021) to help build the infrastructure and create a favourable environment for open and intensive scholarly communication.The main instrument in achieving this is the network of 15 national Open Science Cloud Initiatives (NOSCIs) established in the partner countries as national-level coalitions of Open Science stakeholders that have a prominent role and interest in the EOSC. The concept of NOSCI has been developed in response to the specific traits and challenges in the targeted region, based on complex and multilayered analyses of stakeholders, policies, and local contexts (Toli et al., 2020). Inclusive by nature, NOSCIs connect stakeholders from across the research lifecycle at the national level and provide not only a testbed for the formulation of OS policies but also a forum for knowledge dissemination and sharing.Drawing on a secondary analysis of the abundant data collected and materials produced during the project, this presentation focuses on the challenges identified as the NOSCIs were</w:t>
      </w:r>
    </w:p>
    <w:p>
      <w:r>
        <w:t>POSSIBLE 2021: Effectiveness of research grants funded by European Research Council and Polish National Science Centre — https://doi.org/10.1016/j.joi.2021.101243</w:t>
      </w:r>
    </w:p>
    <w:p>
      <w:r>
        <w:t>Shared claim-specific concepts: funded, national, science, centre, poland, project; EU scope visible. This is a provisional connection, not an outcome finding.</w:t>
      </w:r>
    </w:p>
    <w:p>
      <w:r>
        <w:t>Available abstract (not full text): We propose WEIG – Wroclaw Effectiveness Indicator for Grants. This new scientometric measure is an aggregated quality measure of scientific papers published with the grant support divided by its budget. Several WEIG variations have been considered with respect to journal quality indicators like Impact Factor (IF), Article Influence Score (AIS), and Average Journal Impact Factor Percentile (IF%). Projects from two public agencies were analysed utilising the WEIG measures: European Research Council (ERC) and National Science Centre, Poland (NSC). The studies revealed that NSC grants are overall more effective than ERC ones, constantly 2–3 times more for Physical Sciences and Engineering (PE). There are four NSC panels distinctively more efficient than their counterparts in ERC: Mathematics (PE1), Fundamental Constituents of Matter (PE2), Computer Science and Informatics (PE6) and Universe Sciences (PE9). The most efficient NSC funding schemes are Etiuda, Preludium, and Harmonia. The higher average effectiveness of programmes aimed at young scientists has been observed: the ERC Starting Grants have greater effectiveness than Advanced Grants. Both agencies manage to keep overall efficiency regardless of increasing their budget over the years. Limitations of the proposed approach to assess project effectiveness, especially for Social Sciences and Humanities, are also discussed.</w:t>
      </w:r>
    </w:p>
    <w:p>
      <w:r>
        <w:t>POSSIBLE 2021: Science funding under an authoritarian regime: Portugal's National Education Board and the European ‘academic landscape’ in the interwar period — https://doi.org/10.1098/rsnr.2021.0037</w:t>
      </w:r>
    </w:p>
    <w:p>
      <w:r>
        <w:t>Shared claim-specific concepts: national, science, number, article; EU scope visible. This is a provisional connection, not an outcome finding.</w:t>
      </w:r>
    </w:p>
    <w:p>
      <w:r>
        <w:t>Available abstract (not full text): This article enables an understanding of scientific practice and funding in a peripheral country ruled by a dictatorship in the interwar period, and thus provides the basis for comparison with studies of other non-democratic regimes. We examine the work of Portugal's Junta de Educação Nacional (National Education Board), which administered and provided funding for science from 1929 to 1936. Our findings show that this public body encouraged the participation of the Portuguese academic community in international science networks. This scenario contrasts with the dominant historiographical thesis that between the wars the Portuguese academic community did not play a role in international networks, and that it lacked state support. Also in contrast with the dominant historiography, whose ideological bias meant that a simplified picture was portrayed, whereas the reality is shown to be complex, this study demonstrates that the Portuguese dictatorial state sought to foster scientific progress through the Junta, but that resentment among academics and the resistance of universities to innovation meant that this objective was only partially achieved. Finally, the memory of a number of scientists has been rescued from oblivion, as we show how their political stance during the dictatorship led to their being ignored by historiographers when democracy prevailed.</w:t>
      </w:r>
    </w:p>
    <w:p>
      <w:r>
        <w:t>POSSIBLE 2021: Current Wildland Fire Patterns and Challenges in Europe: A Synthesis of National Perspectives — https://doi.org/10.1177/11786221211028185</w:t>
      </w:r>
    </w:p>
    <w:p>
      <w:r>
        <w:t>Shared claim-specific concepts: funded, national, science, within, aim, article; EU scope visible. This is a provisional connection, not an outcome finding.</w:t>
      </w:r>
    </w:p>
    <w:p>
      <w:r>
        <w:t>Available abstract (not full text): Changes in climate, land use, and land management impact the occurrence and severity of wildland fires in many parts of the world. This is particularly evident in Europe, where ongoing changes in land use have strongly modified fire patterns over the last decades. Although satellite data by the European Forest Fire Information System provide large-scale wildland fire statistics across European countries, there is still a crucial need to collect and summarize in-depth local analysis and understanding of the wildland fire condition and associated challenges across Europe. This article aims to provide a general overview of the current wildland fire patterns and challenges as perceived by national representatives, supplemented by national fire statistics (2009–2018) across Europe. For each of the 31 countries included, we present a perspective authored by scientists or practitioners from each respective country, representing a wide range of disciplines and cultural backgrounds. The authors were selected from members of the COST Action “Fire and the Earth System: Science &amp; Society” funded by the European Commission with the aim to share knowledge and improve communication about wildland fire. Where relevant, a brief overview of key studies, particular wildland fire challenges a country is facing, and an overview of notable recent fire events are also presented. Key perceived challen</w:t>
      </w:r>
    </w:p>
    <w:p>
      <w:r>
        <w:t>POSSIBLE 2020: Thematic variations and auctorial foresights: The French National Funding Agency (Agence Nationale de la Recherche - ANR) (Biennial Conference of the European Society for the History of Science, London, UK, 14/09/2018-17/09/2018) — https://openalex.org/W3096754253</w:t>
      </w:r>
    </w:p>
    <w:p>
      <w:r>
        <w:t>Shared claim-specific concepts: national, science, shaping; EU scope visible. This is a provisional connection, not an outcome finding.</w:t>
      </w:r>
    </w:p>
    <w:p>
      <w:r>
        <w:t>Available abstract (not full text): The French national funding agency (Agence Nationale de la Recherche - ANR) represents since 2005 the “delegation authority” of the public science system. As being the principal national funding agency, ANR influence regarding research communities is a mix of huge prestige, when getting a grant, and a collective satiric humour shared on Twitter (Agence Nationale de l'Excellence Scientifique, @Excelleagence). In between, the fact and the fears that ANR role in shaping and reconfiguring French research priorities is regularly debated. Based on the analysis of ANR data (2006 to 2016), recently released, our proposition aims to observe how and to what extent, ANR research priorities are impacting French communities research agenda. From a comparison between ANR thematic, grants thematic and research prospective expressed then realised by researchers themselves, the analysis will provide elements to depict the way researchers are adapting to the ANR authority. Our approach is both quantitative and qualitative and takes into account the longitudinal dimension to observe the variations occurred during 2006-2016 period.</w:t>
      </w:r>
    </w:p>
    <w:p>
      <w:r>
        <w:t>POSSIBLE 2019: Funders in Europe and incentivizing Open Science — https://doi.org/10.7557/5.4919</w:t>
      </w:r>
    </w:p>
    <w:p>
      <w:r>
        <w:t>Shared claim-specific concepts: national, science, project, present; EU scope visible. This is a provisional connection, not an outcome finding.</w:t>
      </w:r>
    </w:p>
    <w:p>
      <w:r>
        <w:t>Available abstract (not full text): Watch the VIDEO. Funders across Europe are using scholarly communications to increase the impact of their grant results, thereby incentivizing researchers to share their research more openly. This panel session will start by describing the results of a research study called the RIF Project that gleans insights into the policy, rewards and incentives being employed by European research funders to encourage open access to publications and research data for the research they fund. The panel will then respond to the findings and will present and share experience on their policies. Funders across Europe are using scholarly communications to increase the impact of their grant results. More than 60 funders responded to a survey that was conducted in early Spring 2019 coming from key international funding bodies, national funding agencies, major charities and foundations, and national academies; from over 25 countries. The study was led by SPARC Europe in consultation with Science Europe, ALLEA and the EFC. Research Consulting conducted the research. The survey is the first of its kind, since it includes national funding agencies, academies, foundations and charities in Europe. What kinds of policy choices have funders made to influence how grantees increase open access to their research results with as few restrictions as possible? How can funders contribute to changing the research e</w:t>
      </w:r>
    </w:p>
    <w:p>
      <w:r>
        <w:t>POSSIBLE 2019: Insights into European research funder Open policies and practices — https://doi.org/10.5281/zenodo.3401277</w:t>
      </w:r>
    </w:p>
    <w:p>
      <w:r>
        <w:t>Shared claim-specific concepts: national, science, centre; EU scope visible. This is a provisional connection, not an outcome finding.</w:t>
      </w:r>
    </w:p>
    <w:p>
      <w:r>
        <w:t>Available abstract (not full text): This report summarises the results of a survey of European research funders on Open Access (OA) and Research Data (RD) policies, commissioned by SPARC Europe, in consultation with representatives from the following organisations: ALLEA, the European Foundation Centre and Science Europe and a wider advisory group. Launched in the spring of 2019, the survey, which targeted about 400 funders, garnered just over 60 responses from 29 countries. The cohort includes important national funding agencies (almost 50%), pan-European funders, national and regional academies, foundations and philanthropic organisations and research charities.</w:t>
      </w:r>
    </w:p>
    <w:p>
      <w:r>
        <w:t>POSSIBLE 2019: Funding cardiovascular research in Europe — https://doi.org/10.1093/eurheartj/ehy817</w:t>
      </w:r>
    </w:p>
    <w:p>
      <w:r>
        <w:t>Shared claim-specific concepts: funded, national, poland, within, project, number; EU scope visible. This is a provisional connection, not an outcome finding.</w:t>
      </w:r>
    </w:p>
    <w:p>
      <w:r>
        <w:t>Available abstract (not full text): The second of a two-part article1 examining funding for cardiovascular research on both sides of the Atlantic Ocean, Mark Nicholls speaks to Professor Axel Pries about the current position within Europe Advances in cardiovascular research are being made at a steadily increasing rate across Europe, but this critical work is underpinned with consistent, reliable, and regular funding to ensure that studies, research and clinical trials can continue to be conducted at a high level. There is an array of sources for funding, and while that can vary from one country to another and there are differences in the way it is distributed, it is all directed towards a common goal: of improving and extending knowledge of cardiovascular disease (CVD) and facilitate world-class research to reduce and treat CVD to deliver better outcomes for patients and reduce mortality. Cardiovascular disease remains a prime source of death, killing over four million people a year in the WHO European Region and 1.9 million in the European Union (EU). It is also estimated to cost the EU economy €196 billion every year. Professor Axel Pries, who is President of the Alliance for Biomedical Research in Europe (BioMed Alliance)—which represents the main European societies in the biomedical field and was co-founded by the ESC—explained that most of the funding for cardiovascular research in the EU comes from governme</w:t>
      </w:r>
    </w:p>
    <w:p>
      <w:r>
        <w:t>POSSIBLE 2018: How does undone science get funded? A bibliometric analysis linking rare diseases publications to national and European funding sources — https://doi.org/10.48550/arxiv.1802.05945</w:t>
      </w:r>
    </w:p>
    <w:p>
      <w:r>
        <w:t>Shared claim-specific concepts: funded, national, science, within, initiatives; EU scope visible. This is a provisional connection, not an outcome finding.</w:t>
      </w:r>
    </w:p>
    <w:p>
      <w:r>
        <w:t>Available abstract (not full text): One of the notable features of undone science debates is how formation of new interest groups becomes pivotal in mobilizing and championing emerging research on undone topics. Clearly money is one of the most important mediums through which different types of actors can support and steer scientists to work on undone topics. Yet which actors are more visible in their support for scientific research is something which has seldom been measured. This study delves into research funding in the context of rare diseases research, a topic which has evolved from the margins of medical research into a priority area articulated by many contemporary funding agencies. Rare diseases refer to conditions affecting relatively few people in a population. Given low incidences, interest groups have articulated a lack of attention within medical research compared to more common conditions. The rise to prominence of rare diseases in research funding policies is often explained in the science studies literature in terms of effective lobbying by social movements Likewise, innovative fundraising initiatives, infrastructure building, and close partnerships with research groups are other means through which interested actors have sought to build capacity for research into rare medical conditions. To date however systematic empirical evidence to compare the relative importance of different actors in fundin</w:t>
      </w:r>
    </w:p>
    <w:p>
      <w:r>
        <w:t>POSSIBLE 2016: Funding research data management and related infrastructures : Knowledge Exchange and Science Europe briefing paper — https://openalex.org/W2605250119</w:t>
      </w:r>
    </w:p>
    <w:p>
      <w:r>
        <w:t>Shared claim-specific concepts: funded, national, science; EU scope visible. This is a provisional connection, not an outcome finding.</w:t>
      </w:r>
    </w:p>
    <w:p>
      <w:r>
        <w:t>Available abstract (not full text): Research Funding Organisations (RFO) and Research Performing Organisations (RPO) throughout Europe are well aware that science and scholarship increasingly depend on infrastructures supporting sustainable Research Data Management (RDM). In two complementary surveys, the Science Europe Working Group on Research Data and the Knowledge Exchange Research Data Expert Group explored how organisations funding and performing research think and act with respect to the funding of RDM and the related infrastructures. The resulting report illustrates the diversity of the funding landscape with respect to research data in Europe and the critical challenges that this presents. The funding of RDI, enabling RDM, comes from a great variety of sources and institutions that have different responsibilities and that operate at local, national and international levels. Significant parts of the funding have particular disciplinary dimensions. The funding actors, levels and disciplines are not part of a coordinated structure. This situation presents a huge challenge to the sustainability of RDM 3. Some RFOs and most RPOs contribute to the funding of specialised data infrastructure providers, which play key roles in providing RDI and in supporting RDM. Especially among RFOs there is no generally-accepted view on who should be responsible for the sustained funding of such providers; however, providers f</w:t>
      </w:r>
    </w:p>
    <w:p>
      <w:pPr>
        <w:pStyle w:val="Heading2"/>
      </w:pPr>
      <w:r>
        <w:t>The EU Decarbonisation Roadmap 2050—What way to walk?</w:t>
      </w:r>
    </w:p>
    <w:p>
      <w:r>
        <w:t>Original source (2013): https://doi.org/10.1016/j.enpol.2012.11.054</w:t>
      </w:r>
    </w:p>
    <w:p>
      <w:r>
        <w:t>Original wording (abstract; indexed_source_text_not_full_document_verified): This policy option may include CDM (Clean Development Mechanism in the sense of ‘where’-flexibility) in an extended form if there are countries without emissions caps. We carry out a detailed CGE (Computable General Equilibrium) analysis of the EU Decarbonisation Roadmap 2050 on a macroeconomic and on a sectoral level.</w:t>
      </w:r>
    </w:p>
    <w:p>
      <w:r>
        <w:t>POSSIBLE 2023: Sustainability and Competition Policy in Europe: Recent Developments — https://doi.org/10.1093/jeclap/lpad032</w:t>
      </w:r>
    </w:p>
    <w:p>
      <w:r>
        <w:t>Shared claim-specific concepts: without, out; EU scope visible. This is a provisional connection, not an outcome finding.</w:t>
      </w:r>
    </w:p>
    <w:p>
      <w:r>
        <w:t>Available abstract (not full text): We have made amazing progress in integrating climate change and sustainability considerations into competition policy in recent years. In 2018, this was a fringe area inhabited by nerdy eco-warriors and hipster antitrusters (like me). Who would have believed that this would be a mainstream issue in 2023 with most European competition authorities focused on it and bringing out policy statements, guidelines (and draft guidelines), and even changes to their laws. All leading legal and economic competition firms have people focused on it. This is against the background of ‘green deals’; the ever-growing recognition of the existential threat that climate change poses for humanity; and growing recognition that, whilst competition policy is not the answer to climate change, it cannot just stand aside naïvely hoping that other people and tools (regulation, technology, individual corporate initiatives, etc.) will solve all the problems. Not only must competition policy not stand in the way of the fight against climate change and the transition to a sustainable economy, it can play its part in achieving this. This survey is structured as follows: The relationship between sustainability and competition policy. The new EU guidelines on sustainability cooperation. Initiatives on sustainability and competition beyond the EU. A look at some recent antitrust cases. Some challenges for the futu</w:t>
      </w:r>
    </w:p>
    <w:p>
      <w:r>
        <w:t>POSSIBLE 2022: The clean development mechanism in Eastern Europe: an in-depth exploration — https://doi.org/10.1007/s11356-022-20988-3</w:t>
      </w:r>
    </w:p>
    <w:p>
      <w:r>
        <w:t>Shared claim-specific concepts: cdm, clean, mechanism, there, countries, carry; EU scope visible. This is a provisional connection, not an outcome finding.</w:t>
      </w:r>
    </w:p>
    <w:p>
      <w:r>
        <w:t>Available abstract (not full text): The Clean Development Mechanism (CDM), a partnership tool founded under the Kyoto Protocol, grants potential opportunities to help developing countries achieve sustainable development. The present research examines the CDM projects in Eastern Europe (Moldova, Serbia, Bosnia and Herzegovina, Montenegro, and Albania). Although there were far fewer projects in this region than, for instance, China or India, it has some specific features that make it worth studying. Major findings are that most CDM projects in Eastern Europe involved a changing combination of two or more sources of financing, and the distribution of projects in the region was uneven. Moreover, although there was a small number of projects overall, they were all cost-effective, long-term and large-scale. The findings of the research call for improvements to be made to the governance of the CDM, by strengthening the international and national regulation of projects and by aggregating the scales of decision-making and actions so that real multi-scalar transnational governance - from the global level down to the local level - is implemented in a coherent manner. It is also recommended to carry out ex-post project evaluations, following which readjustments could be made.</w:t>
      </w:r>
    </w:p>
    <w:p>
      <w:r>
        <w:t>POSSIBLE 2020: Preventing Harmful Internet Use-Related Addiction Problems in Europe: A Literature Review and Policy Options — https://doi.org/10.3390/ijerph17113797</w:t>
      </w:r>
    </w:p>
    <w:p>
      <w:r>
        <w:t>Shared claim-specific concepts: countries, detailed; EU scope visible. This is a provisional connection, not an outcome finding.</w:t>
      </w:r>
    </w:p>
    <w:p>
      <w:r>
        <w:t>Available abstract (not full text): Internet use-related addiction problems are increasingly being recognized on a European scale due to international health organizations considering gaming addiction. In April 2013, the American Psychiatric Association recognized Internet Gaming Disorder in the fifth Diagnostic and Statistical Manual of Mental Disorders, and in April 2018, the World Health Organization included Gaming Disorder in the eleventh International Classification of Diseases. However, findings on these problems within this period are lacking in Europe, and a preventive approach is missing globally. A detailed critical literature review was conducted using PsycINFO and Web of Science in this five-year period. A total of 19 studies were reviewed and problems identified were: generalized Internet addiction and online gaming and gambling addictions across seven European countries (i.e., Spain, Germany, France, Italy, Greece, The Netherlands, and Denmark). The individuals with problematic use were found to be educated adolescents, usually young males with comorbid disorders, and gaming and gambling disorders were implicated in the most severe cases. Cognitive behavioral therapy was the main treatment, sometimes combined with a systemic approach for adolescents. Prevalence, high-risk populations, and factors contributing to these addiction problems are discussed, and a set of policy options are developed for t</w:t>
      </w:r>
    </w:p>
    <w:p>
      <w:r>
        <w:t>POSSIBLE 2020: The demographic challenge of Eastern Europe and potential policy options — https://doi.org/10.4337/9781839109508.00028</w:t>
      </w:r>
    </w:p>
    <w:p>
      <w:r>
        <w:t>Shared claim-specific concepts: include, countries; EU scope visible. This is a provisional connection, not an outcome finding.</w:t>
      </w:r>
    </w:p>
    <w:p>
      <w:r>
        <w:t>Available abstract (not full text): Eastern Europe’s economic convergence toward the West has come at a high cost. Outward migration to Western Europe was a key driver, and negative demographic trends are increasingly becoming a major socioeconomic challenge. Population projections foresee a drop in the number of inhabitants of Eastern European countries of about 5 per cent to 15 per cent over the next three decades. The available policy options to counter these demographic trends include: increasing productivity, scaling up immigration, raising activity rates or elevating fertility rates. However, the room for more female employment is rather limited in the region; the level of labour-saving robotization is still quite low, when compared to Western Europe; and most countries in the region are not well prepared for the digital economy. Successfully implementing new policies to counter adverse demographic trends also depends on the functioning of institutions. Unfortunately, recent years have seen a rise of authoritarianism and state capture in Eastern Europe, with an anti-immigration stance and negative implications for institutional quality.</w:t>
      </w:r>
    </w:p>
    <w:p>
      <w:r>
        <w:t>POSSIBLE 2015: Residential heating with wood and coal: health impacts and policy options in Europe and North America — https://openalex.org/W2240014870</w:t>
      </w:r>
    </w:p>
    <w:p>
      <w:r>
        <w:t>Shared claim-specific concepts: without, emissions; EU scope visible. This is a provisional connection, not an outcome finding.</w:t>
      </w:r>
    </w:p>
    <w:p>
      <w:r>
        <w:t>Available abstract (not full text): Residential heating with wood and coal is an important source of ambient (outdoor) air pollution; it can also cause substantial indoor air pollution through either direct exposure or infiltration from outside.Evidence links emissions from wood and coal heating to serious health effects such as respiratory and cardiovascular mortality and morbidity.Wood and coal burning also emit carcinogenic compounds.The results presented in the report indicate that it will be difficult to tackle outdoor air pollution problems in many parts of the world without addressing this source sector.A better understanding of the role of wood biomass heating as a major source of globally harmful outdoor air pollutants (especially fine particles) is needed among national, regional and local administrations, politicians and the public at large.</w:t>
      </w:r>
    </w:p>
    <w:p>
      <w:r>
        <w:t>POSSIBLE 2014: POLICY OPTIONS FOR THE COMPETITIVENESS OF THE CONSTRUCTION SECTOR IN THE EUROPEAN UNION — https://openalex.org/W2175025550</w:t>
      </w:r>
    </w:p>
    <w:p>
      <w:r>
        <w:t>Shared claim-specific concepts: include, general; EU scope visible. This is a provisional connection, not an outcome finding.</w:t>
      </w:r>
    </w:p>
    <w:p>
      <w:r>
        <w:t>Available abstract (not full text): The paper presents, from general macroeconomic context and trends of the global economy in the medium and long term, the main policy options for the EU construction sector competitiveness. These include: creation of favorable conditions to stimulate investment, human capital measures affecting the construction sector, improve resource efficiency and environmental performance of buildings, strengthening the internal market and the global competitive position of EU construction firms. The policy options presented are intended to achieve and maintain sustainable competitive advantages in the long term globally.</w:t>
      </w:r>
    </w:p>
    <w:p>
      <w:r>
        <w:t>POSSIBLE 2014: 2014 European guideline on the management of syphilis — https://doi.org/10.1111/jdv.12734</w:t>
      </w:r>
    </w:p>
    <w:p>
      <w:r>
        <w:t>Shared claim-specific concepts: option, include, countries; EU scope visible. This is a provisional connection, not an outcome finding.</w:t>
      </w:r>
    </w:p>
    <w:p>
      <w:r>
        <w:t>Available abstract (not full text): BACKGROUND: Syphilis remains a major public health problem in Europe (both in Eastern Europe since the 1990's and in Western Europe since the re-emergence of the disease in the late 1990's-early 2000's). METHODS: This guideline is an update of the IUSTI: 2008 European guideline on the management of syphilis and is produced by the European Guideline Editorial Board (http://www.iusti.org/regions/Europe/pdf/2013/Editorial_Board.pdf) and EDF Guideline Committee. RESULTS: It provides recommendations concerning the diagnosis and management of syphilis in Europe. Major advances include (1) broader use of PCR, immunohistochemistry, subtyping of the etiological agent Treponema pallidum subspecies pallidum, new treponemal tests, and rapid-point-of-care (POC) tests detecting both treponemal and non-treponemal antibodies, (2) more flexible options for screening (TT-treponemal test- first or NTT -non treponemal test- first or both TT and NTT), and (3) procaine penicillin is no longer the first line therapy option in any phase of the disease, i.e. long acting penicillin G (i.e. benzathine penicillin G-BPG) is the only first line therapy regimen in early syphilis and in late latent syphilis. CONCLUSIONS: Syphilis is a disease that is relatively easy to detect by appropriate serological tests, however, all laboratory results should be considered together with clinical data and sexual risk anam</w:t>
      </w:r>
    </w:p>
    <w:p>
      <w:r>
        <w:t>POSSIBLE 2014: Carbon Emission Option Pricing Calculation and Clean Development Mechanism Strategy of Jiangsu:Based on the Pricing Analysis of B-S Model — https://openalex.org/W2372091501</w:t>
      </w:r>
    </w:p>
    <w:p>
      <w:r>
        <w:t>Shared claim-specific concepts: option, cdm, clean, mechanism, emissions; EU scope visible. This is a provisional connection, not an outcome finding.</w:t>
      </w:r>
    </w:p>
    <w:p>
      <w:r>
        <w:t>Available abstract (not full text): It is a tendency to develop low-carbon economy and lift the ability of carbon trade and clean development.Through potential analysis of CDM project progress,economy foundation and resource endowment to developing the carbon trade market of Jiangsu companies,we can find that this district possesses huge space for energy conservation and emissions reduction.Besides,we have introduced real option theory to study of the carbon trading mechanism of empirical research,by using the B-S pricing model and European carbon option trade market data,constructed a carbon option pricing model,then based on the similarity economy comparison between European Union and Jiangsu province,obtained the discounted carbon trading market price of Jiangsu area.at last,around technology,management and policies levels to putting forward some relevant suggestions and measures on CDM mechanism provided beneficial basis and references to Jiangsu companies in stepwise development of carbon trading market under CDM mechanism.</w:t>
      </w:r>
    </w:p>
    <w:p>
      <w:pPr>
        <w:pStyle w:val="Heading2"/>
      </w:pPr>
      <w:r>
        <w:t>The European Unions Strategic Gas Supply Options and the Prevalence of the Southern Corridor</w:t>
      </w:r>
    </w:p>
    <w:p>
      <w:r>
        <w:t>Original source (2013): https://doi.org/10.54648/eerr2013040</w:t>
      </w:r>
    </w:p>
    <w:p>
      <w:r>
        <w:t>Original wording (abstract; indexed_source_text_not_full_document_verified): Current estimates predict the EU will need to import up to 80% of the gas it will consume in 2030.Already there is a strong concern about its reliance on Russian gas, especially in Eastern European countries.</w:t>
      </w:r>
    </w:p>
    <w:p>
      <w:r>
        <w:t>POSSIBLE 2025: Predicting and preventing preterm birth in Europe: current challenges and gaps — https://doi.org/10.1080/14767058.2025.2547687</w:t>
      </w:r>
    </w:p>
    <w:p>
      <w:r>
        <w:t>Shared claim-specific concepts: current, predict, need, concern; EU scope visible. This is a provisional connection, not an outcome finding.</w:t>
      </w:r>
    </w:p>
    <w:p>
      <w:r>
        <w:t>Available abstract (not full text): OBJECTIVE: Preterm birth (PTB) remains a leading cause of neonatal morbidity and mortality across Europe despite advances in obstetric care. While PTB rates vary widely across the region, overall declines in recent decades have been limited, revealing persistent gaps in risk assessment and prevention. METHODS: Here we review current challenges and disparities in European PTB prediction and prevention, highlighting the complex constellation of maternal, fetal, environmental, and sociodemographic risk factors. RESULTS: Extending gestational age represents an opportunity to improve outcomes among pregnancies at higher PTB risk. Unfortunately, existing tools for PTB risk assessment and prevention show limited effectiveness arising from the fact that the PTB event is a frequent outcome with various underlying causes.The limitations of existing clinical prediction tools, which can only account for a minority of PTBs, underscore the need for more accurate and accessible screening methods. Although cervical length screening and some biomarkers demonstrate promise for risk stratification, they are not uniformly implemented, and the few effective interventions that risk stratification would implement lack broad consensus or standardization. These interventions, including progesterone therapy, low-dose aspirin, and lifestyle modifications, may require regional approaches reflecting popula</w:t>
      </w:r>
    </w:p>
    <w:p>
      <w:r>
        <w:t>POSSIBLE 2024: Pesticide Residues in Organic and Conventional Agricultural Soils across Europe: Measured and Predicted Concentrations — https://doi.org/10.1021/acs.est.3c09059</w:t>
      </w:r>
    </w:p>
    <w:p>
      <w:r>
        <w:t>Shared claim-specific concepts: current, estimates, countries; EU scope visible. This is a provisional connection, not an outcome finding.</w:t>
      </w:r>
    </w:p>
    <w:p>
      <w:r>
        <w:t>Available abstract (not full text): High Resolution Image Download MS PowerPoint Slide During the growing season of 2021, 201 soil samples from conventionally and organically managed fields from 10 European countries and 8 cropping systems were taken, and 192 residues of synthetic pesticides were analyzed. Pesticide residues were found in 97% of the samples, and 88% of the samples contained mixtures of at least 2 substances. A maximum of 21 substances were found in conventionally managed fields, and a maximum of 12 were found in organically managed fields. The number and concentration of pesticide residues varied significantly between conventional and organic fields in 70 and 50% of the case study sites, respectively. Application records were available for a selected number of fields ( n = 82), and these records were compared to the detected substances. Residues from 52% of the applied pesticides were detected in the soils. Only 21% of the pesticide residues detected in the soil samples were applied during the 2021 growing season. From the application data, predicted environmental concentrations of residues in soil were calculated and compared to the measured concentrations. These estimates turned out not to be accurate. The results of this study show that most European agricultural soils contain mixtures of pesticide residues and that current calculation methods may not reliably estimate their presence.</w:t>
      </w:r>
    </w:p>
    <w:p>
      <w:r>
        <w:t>POSSIBLE 2019: Assessment of IMERG Precipitation Estimates over Europe — https://doi.org/10.3390/rs11212470</w:t>
      </w:r>
    </w:p>
    <w:p>
      <w:r>
        <w:t>Shared claim-specific concepts: estimates, there, eastern; EU scope visible. This is a provisional connection, not an outcome finding.</w:t>
      </w:r>
    </w:p>
    <w:p>
      <w:r>
        <w:t>Available abstract (not full text): This paper evaluates Integrated Multi-Satellite Retrievals from GPM (IMERG-F) over Europe for the period 2014–2018 in order to evaluate application of the retrievals to hydrology. IMERG-F is compared with a large pan-European precipitation dataset built on rain gauge stations, i.e., the ENSEMBLES OBServation (E-OBS) gridded dataset. Although there is overall agreement in the spatial distribution of mean precipitation (R2 = 0.8), important discrepancies are revealed in mountainous regions, specifically the Alps, Pyrenees, west coast of the British Isles, Scandinavia, the Iberian and Italian peninsulas, and the Adriatic coastline. The results show that the strongest contributors to poor performance are pixels where IMERG-F has no gauges available for adjustment. If rain gauges are available, IMERG-F yields results similar to those of the surface observations, although the performance varies by region. However, even accounting for gauge adjustment, IMERG-F systematically underestimates precipitation in the Alps and Scandinavian mountains. Conversely, IMERG-F overestimates precipitation in the British Isles, Italian Peninsula, Adriatic coastline, and eastern European plains. Additionally, the research shows that gauge adjustment worsens the spatial gradient of precipitation because of the coarse resolution of Global Precipitation Climatology Centre data.</w:t>
      </w:r>
    </w:p>
    <w:p>
      <w:r>
        <w:t>POSSIBLE 2018: Predicting Medical Students’ Current Attitudes Toward Psychiatry, Interest in Psychiatry, and Estimated Likelihood of Working in Psychiatry: A Cross-Sectional Study in Four European Countries — https://doi.org/10.3389/fpsyt.2018.00049</w:t>
      </w:r>
    </w:p>
    <w:p>
      <w:r>
        <w:t>Shared claim-specific concepts: current, need, there, countries; EU scope visible. This is a provisional connection, not an outcome finding.</w:t>
      </w:r>
    </w:p>
    <w:p>
      <w:r>
        <w:t>Available abstract (not full text): Psychiatry as a medical discipline is becoming increasingly important due to the high and increasing world-wide burden associated with mental disorders. Surprisingly, however, there is a lack of young academics choosing psychiatry as a career. Previous evidence on medical students’ perspectives is abundant but has methodological shortcomings. Therefore, by attempting to avoid previous shortcomings, we aimed to contribute to a better understanding of the predictors of the following three outcome variables: current medical students’ attitudes towards psychiatry, interest in psychiatry and estimated likelihood of working in psychiatry. The sample consisted of N = 1356 medical students at 45 medical schools in Germany and Austria as well as regions of Switzerland and Hungary with a German language curriculum. We used snowball sampling via Facebook with a link to an online questionnaire as recruitment procedure. Snowball sampling is based on referrals made among people. This questionnaire included a German version of the Attitudes Towards Psychiatry Scale (ATP-30-G) and further variables related to outcomes and potential predictors in terms of sociodemography (e.g. gender) or medical training (e.g. curriculum-related experience with psychiatry). Data were analysed by linear mixed models and further regression models. On average, students had a positive attitude to and high general i</w:t>
      </w:r>
    </w:p>
    <w:p>
      <w:r>
        <w:t>POSSIBLE 2018: Annual number of candidates for transcatheter aortic valve implantation per country: current estimates and future projections — https://doi.org/10.1093/eurheartj/ehy107</w:t>
      </w:r>
    </w:p>
    <w:p>
      <w:r>
        <w:t>Shared claim-specific concepts: current, estimates, predict, countries; EU scope visible. This is a provisional connection, not an outcome finding.</w:t>
      </w:r>
    </w:p>
    <w:p>
      <w:r>
        <w:t>Available abstract (not full text): Aims: The number of transcatheter aortic valve implantation (TAVI) procedures is rapidly increasing. This has a major impact on health care resource planning. However, the annual numbers of TAVI candidates per country are unknown. The aim of this study was to estimate current and future number of annual TAVI candidates in 27 European countries, the USA and Canada. Methods and results: Systematic literature searches and meta-analyses were performed on aortic stenosis (AS) epidemiology and decision-making in severe symptomatic AS. The incidence rate of severe AS was determined. Findings were combined with population statistics and integrated into a model employing Monte Carlo simulations to predict the annual number of TAVI candidates. Various future scenarios and sensitivity analyses were explored. Data from 37 studies (n = 26 402) informed the model. The calculated incidence rate of severe AS was 4.4‰/year [95% confidence interval (95% CI) 3.0-6.1‰] in patients ≥65 years. AS-related symptoms were present in 68.3% (95% CI 60.8-75.9%) of patients with severe AS. Despite having severe symptomatic AS, 41.6% (95% CI 36.9-46.3%) did not undergo surgical aortic valve replacement. Of the non-operated patients, 61.7% (95% CI 42.0-81.7%) received TAVI. The model predicted 114 757 (95% CI 69 380-172 799) European and 58 556 (95% CI 35 631-87 738) Northern-American TAVI candidates annually</w:t>
      </w:r>
    </w:p>
    <w:p>
      <w:r>
        <w:t>POSSIBLE 2015: Particulate emissions from residential wood combustion in Europe – revised estimates and an evaluation — https://doi.org/10.5194/acp-15-6503-2015</w:t>
      </w:r>
    </w:p>
    <w:p>
      <w:r>
        <w:t>Shared claim-specific concepts: estimates, need, gas, about, especially; EU scope visible. This is a provisional connection, not an outcome finding.</w:t>
      </w:r>
    </w:p>
    <w:p>
      <w:r>
        <w:t>Available abstract (not full text): Abstract. Currently residential wood combustion (RWC) is increasing in Europe because of rising fossil fuel prices but also due to climate change mitigation policies. However, especially in small-scale applications, RWC may cause high emissions of particulate matter (PM). Recently we have developed a new high-resolution (7 km × 7 km) anthropogenic carbonaceous aerosol emission inventory for Europe. The inventory indicated that about half of the total PM2.5 emission in Europe is carbonaceous aerosol and identified RWC as the largest organic aerosol (OA) source in Europe. The inventory was partly based on national reported PM emissions. Use of this OA inventory as input for two Chemical Transport Models (CTMs), PMCAMx and EMEP MSC-W, revealed major underestimations of OA in winter time, especially for regions dominated by RWC. Interestingly, this was not universal but appeared to differ by country. In the present study we constructed a new bottom-up emission inventory for RWC accounting for the semi-volatile components of the emissions. The new RWC emissions are higher than those in the previous inventory by a factor of 2–3 but with substantial inter-country variation. The new emission inventory served as input for the CTMs and a substantially improved agreement between measured and predicted organic aerosol was found. The new RWC inventory improves the model calculated OA signif</w:t>
      </w:r>
    </w:p>
    <w:p>
      <w:pPr>
        <w:pStyle w:val="Heading2"/>
      </w:pPr>
      <w:r>
        <w:t>Toward Identification of the Priority Lines of Research in Nanotechnology on the Basis of the Technology Foresight NT for Podlaskie 2020</w:t>
      </w:r>
    </w:p>
    <w:p>
      <w:r>
        <w:t>Original source (2013): https://doi.org/10.7763/ijiet.2013.v3.293</w:t>
      </w:r>
    </w:p>
    <w:p>
      <w:r>
        <w:t>Original wording (abstract; indexed_source_text_not_full_document_verified): Foresight projects have been used across the world in the process of anticipating the future by governments, regional authorities, companies and S&amp;R institutes.Foresight, together with its specific research tools and terminology, is becoming increasingly important also in Poland.From nearly 50 foresight projects implemented in Poland most of them is related with the technology and research development.The key issue of foresight methodology is to identify the key technologies/priority line of research.The paper presents a methodology of selection of priority lines of research in nanotechnology at regional scale.</w:t>
      </w:r>
    </w:p>
    <w:p>
      <w:r>
        <w:t>POSSIBLE 2025: From Reaction to Foresight: EUPHA’s vision for health security in Europe — https://doi.org/10.1093/eurpub/ckaf071</w:t>
      </w:r>
    </w:p>
    <w:p>
      <w:r>
        <w:t>Shared claim-specific concepts: foresight, across, increasingly, poland, nearly; EU scope visible. This is a provisional connection, not an outcome finding.</w:t>
      </w:r>
    </w:p>
    <w:p>
      <w:r>
        <w:t>Available abstract (not full text): As we write these lines in April 2025, the European Union is entering a pivotal phase of strategic reorientation. Two months from now—when this editorial is published—it is possible that some of the uncertainty we currently face will have been resolved. Perhaps the long-awaited grants for civil society will have been released, easing the pressure on NGOs across Europe. But in this present moment, as defence spending accelerates and new frameworks like ReArm Europe take shape, we must reflect on the implications of sidelining public health and civil society in the name of security. In April 2025, European Commission President Ursula von der Leyen unveiled a new flagship initiative: ReArm Europe, a sweeping defence mobilization projected to unlock €800 billion, including €150 billion in loans to Member States for joint procurement and expanded national defence spending. Framed under ‘Readiness 2030’, this pivot marks a clear shift in the EU’s long-term strategic priorities: resilience is increasingly understood through a military lens. But as Europe prepares to rearm, its civil fabric is fraying. Across the continent, NGOs, including those working in public health, are waiting for delayed or suspended EU grants, facing growing uncertainty over their operational survival. This is not a marginal concern. These delays affect the very actors who have repeatedly carried Europe through</w:t>
      </w:r>
    </w:p>
    <w:p>
      <w:r>
        <w:t>POSSIBLE 2025: AstraNav-World: World Model for Foresight Control and Consistency — https://doi.org/10.48550/arxiv.2512.21714</w:t>
      </w:r>
    </w:p>
    <w:p>
      <w:r>
        <w:t>Shared claim-specific concepts: foresight, across, world; EU scope not established. This is a provisional connection, not an outcome finding.</w:t>
      </w:r>
    </w:p>
    <w:p>
      <w:r>
        <w:t>Available abstract (not full text): Embodied navigation in open, dynamic environments demands accurate foresight of how the world will evolve and how actions will unfold over time. We propose AstraNav-World, an end-to-end world model that jointly reasons about future visual states and action sequences within a unified probabilistic framework. Our framework integrates a diffusion-based video generator with a vision-language policy, enabling synchronized rollouts where predicted scenes and planned actions are updated simultaneously. Training optimizes two complementary objectives: generating action-conditioned multi-step visual predictions and deriving trajectories conditioned on those predicted visuals. This bidirectional constraint makes visual predictions executable and keeps decisions grounded in physically consistent, task-relevant futures, mitigating cumulative errors common in decoupled "envision-then-plan" pipelines. Experiments across diverse embodied navigation benchmarks show improved trajectory accuracy and higher success rates. Ablations confirm the necessity of tight vision-action coupling and unified training, with either branch removal degrading both prediction quality and policy reliability. In real-world testing, AstraNav-World demonstrated exceptional zero-shot capabilities, adapting to previously unseen scenarios without any real-world fine-tuning. These results suggest that AstraNav-World captu</w:t>
      </w:r>
    </w:p>
    <w:p>
      <w:r>
        <w:t>POSSIBLE 2024: Stakeholders and Their Participation in Foresight Projects — https://doi.org/10.17323/2500-2597.2024.1.80.91</w:t>
      </w:r>
    </w:p>
    <w:p>
      <w:r>
        <w:t>Shared claim-specific concepts: foresight, projects, becoming; EU scope not established. This is a provisional connection, not an outcome finding.</w:t>
      </w:r>
    </w:p>
    <w:p>
      <w:r>
        <w:t>Available abstract (not full text): With the expansion of the scope of foresight research, the role and importance of various participants in the relevant projects and the users of their results - stakeholders - simultaneously increase. Whereas previously a significant part of foresight projects were carried out with the involvement of professional experts, in many recent studies the circle of their participants is becoming more diverse and an increasing role belongs to members of the public and other potential beneficiaries. This article explores the theory and best practices of applying the stakeholder analysis method in foresight projects, and an attempt is made to systematically characterize this approach. The place and role of various stakeholders in foresight projects are considered, the main problems, opportunities, and recommendations for using the method are assessed, and the features of its application in conjunction with other foresight methods are characterized.</w:t>
      </w:r>
    </w:p>
    <w:p>
      <w:r>
        <w:t>POSSIBLE 2024: Article: Project FORESIGHT and Return on Investment — https://doi.org/10.4324/9780429318528-14</w:t>
      </w:r>
    </w:p>
    <w:p>
      <w:r>
        <w:t>Shared claim-specific concepts: foresight, projects, tools; EU scope visible. This is a provisional connection, not an outcome finding.</w:t>
      </w:r>
    </w:p>
    <w:p>
      <w:r>
        <w:t>Available abstract (not full text): Forensic laboratories have experienced a growing demand for services that has far outpaced the resources allocated for the investigation of forensic evidence. European and North American projects have led to the development of managerial tools for optimizing efficiency and the cost effective delivery of forensic science services. These developments have attracted the attention of other public sector operations, including public health laboratories. The public health laboratories share many of the characteristics of the forensic science laboratory. Both sectors are dominated by the work of scientists with many of the laboratory applications using similar techniques. Observing the Project FORESIGHT developments with forensic science laboratories, the Association of Public Health Laboratories introduced a project to create data collection tools for their membership, and to offer a foundation for research into the issues and challenges facing these laboratories. We outline the progression of events where the forensic science laboratory experience has been extended to the public health laboratories. The public health laboratory project has, in turn, developed some metrics that may prove valuable to the future research of forensic science laboratories. The public health laboratory project went beyond the internal inspection of the business experience and connected the internal effici</w:t>
      </w:r>
    </w:p>
    <w:p>
      <w:r>
        <w:t>POSSIBLE 2024: Applying foresight methods at the national level in the field of substance use: Experience from the DRUG-PREP project — https://doi.org/10.1093/eurpub/ckae144.540</w:t>
      </w:r>
    </w:p>
    <w:p>
      <w:r>
        <w:t>Shared claim-specific concepts: foresight, used, across, regional, important, implemented; EU scope visible. This is a provisional connection, not an outcome finding.</w:t>
      </w:r>
    </w:p>
    <w:p>
      <w:r>
        <w:t xml:space="preserve">Available abstract (not full text): Abstract This presentation will focus on the experience from the DRUG-PREP project. While foresight has been used in other sectors, its implementation in the drugs field has previously remained relatively limited. The application of foresight to the drugs sphere is important in recognition of the fast-changing and intersectional nature of drugs and addiction. At the European level, a futures exercise was organized by the EMCDDA (as of July 2024 the European Union Drugs Agency, EUDA) to explore the future of drugs at the European level until 2030. In this landscape, the DRUG-PREP project implemented foresight approaches at the national level, to support preparedness of national drug monitoring and response systems. The DRUG-PREP partners carried out individual national exercises in six countries: Belgium, Czechia, Finland, Ireland, the Netherlands, and Portugal. The link to policy was a key aspect of the project, with each country organising a national dialogue to directly engage policymakers. The presentation will focus on the Belgian research. Horizon Scanning was performed to identify trends and megatrends with potential implications on the national drugs ecosystem, through a literature review. An expert workshop was organized to validate the trends and explore their implications. Subsequently, a small scenario building exercise was organised to explore the consequences of a </w:t>
      </w:r>
    </w:p>
    <w:p>
      <w:r>
        <w:t>POSSIBLE 2024: Emerging Biotechnologies in Europe: Foresight for Policy — https://doi.org/10.2760/4814109</w:t>
      </w:r>
    </w:p>
    <w:p>
      <w:r>
        <w:t>Shared claim-specific concepts: foresight, projects, across, regional, important; EU scope visible. This is a provisional connection, not an outcome finding.</w:t>
      </w:r>
    </w:p>
    <w:p>
      <w:r>
        <w:t>Available abstract (not full text): The European Union (EU) is at an important point for developing its industrial biotechnology (IB) sector, as emerging biotechnologies advances merge with traditional industry. This external expert report reviews the EU's IB sector and associated emerging technologies, looking at its strengths, weaknesses, opportunities, and threats (SWOT) that affect its potential for growth and international competitiveness. The EU's biotechnology sector has strong foundations, including a solid research infrastructure supported by collaborative projects and partnerships, which have historically enabled innovation. These foundations are beneficial for the growing IB sector, with its skilled workforce and alignment with global sustainability goals. The EU's established industrial base and investment support, such as through the European Investment Bank and other funds, provide a strong base for shiſting towards bio-based production. However, several weaknesses limit progress. Slow-moving legislation and a lack of integrated capital markets in the EU make it hard to turn biotech research into market-ready applications. Fragmented regulations and a lack of transparency create uncertainty for investors and developers. Additionally, political debates on biotechnology have led to public misperceptions, creating barriers that slow the acceptance and adoption of biotechnological solutions. Internation</w:t>
      </w:r>
    </w:p>
    <w:p>
      <w:r>
        <w:t>POSSIBLE 2023: Scenario Development Using Foresight Studies — https://doi.org/10.5281/zenodo.7944509</w:t>
      </w:r>
    </w:p>
    <w:p>
      <w:r>
        <w:t>Shared claim-specific concepts: foresight, used, across, process, tools; EU scope visible. This is a provisional connection, not an outcome finding.</w:t>
      </w:r>
    </w:p>
    <w:p>
      <w:r>
        <w:t xml:space="preserve">Available abstract (not full text): PHIRI (Population Health Information Research Infrastructure) project aims to facilitate and generate the best available evidence for research on health and well-being of populations impacted by COVID19. Work Package 9 (WP9) of the PHIRI project (“Foresight: scenarios and modelling”) aims to gain insights into possible future health impacts of the COVID-19 outbreak by developing scenarios. A scenario is not a prediction, rather a consistent, plausible, and coherent description of the future that reflects on past perspectives, the present, and future developments, which can serve as a basis for action. WP9 follows a stepwise approach that started by learning about the foresight capacity and foresight capacity needs across European Members States (MS) in Task 9.1. Learning about capacity needs led to the development of a capacity building course in Task 9.2. The present task, Task 9.3, builds on Task 9.2 capacity building course to further build capacity by actually developing a foresight study. The present report provides an overview of the development, content, evaluation, and outcomes of ‘Develop your Public Health Foresight Study (PHFS)’ as the leading activity of Task 9.3. This activity aimed at giving participating researchers support and guidance in developing their own public health foresight study, including developing scenarios on different public health issues as well </w:t>
      </w:r>
    </w:p>
    <w:p>
      <w:r>
        <w:t>POSSIBLE 2022: Surveillance and Foresight Process of the Sustainable City Context: Innovation Potential Niches and Trends at the European Level — https://doi.org/10.3390/su14148795</w:t>
      </w:r>
    </w:p>
    <w:p>
      <w:r>
        <w:t>Shared claim-specific concepts: foresight, projects, process, important, also, them; EU scope visible. This is a provisional connection, not an outcome finding.</w:t>
      </w:r>
    </w:p>
    <w:p>
      <w:r>
        <w:t>Available abstract (not full text): Over the last decades, the environmental situation of the planet has worsened. Much of the pollution and energy consumption is attributed to cities, which are expected to increase in size and population in the coming years. It is therefore necessary to develop systems to make them more sustainable and resilient. In this regard, different agendas, strategies, and regulations have been published, such as the 2030 Agenda. The current research carried out a surveillance and foresight process at the European level in the field of the sustainable city, analyzing actions accomplished, ongoing, or forthcoming from 2014 to the present (2020) and coming years. The objective is to identify the potential niches and opportunities for decision making to develop successful projects in this sector. The study concludes that one of the most promoted themes is related to the environment, highlighting nature and biodiversity in cities to improve environmental quality and achieve the decarbonization necessary to fight climate change. Furthermore, society plays an important role, emphasizing the need to promote the population’s inclusion and empowerment. It also underlines the promotion of urban regeneration, which should include energy transition and digitalization to create smart cities, with local circular economies.</w:t>
      </w:r>
    </w:p>
    <w:p>
      <w:r>
        <w:t>POSSIBLE 2021: Foresight Capacity Building — https://doi.org/10.5281/zenodo.6630549</w:t>
      </w:r>
    </w:p>
    <w:p>
      <w:r>
        <w:t>Shared claim-specific concepts: foresight, used, specific, also, related; EU scope visible. This is a provisional connection, not an outcome finding.</w:t>
      </w:r>
    </w:p>
    <w:p>
      <w:r>
        <w:t>Available abstract (not full text): The present report provides an overview of the development, content, evaluation, and outcomes of the ‘Public Health Foresight Studies’ Training course, also referred to as the ‘Foresight Capacity Building’ training course or the ‘course’. The Foresight Capacity Building course aims at leveling capacity in Public Health Foresight Studies from PHIRI’s participating Member States (MS). Building foresight capacity through this training course is the main output of Task 9.2 of Work Package 9 (WP9) of the PHIRI project. This course was shaped taking into account the foresight capacity needs of MS as reported in the survey carried out in the first quarter of 2021 (during Task 9.1). The course prepares professionals of MS to carry out their own foresight study with the support of WP9 team and from each other. The Foresight Capacity Building course followed a didactive approach consisting of theory on the concepts covered, practical examples, and practical exercises. In addition to the foresight project team of lectures, guest lecturers contributed to specific topics. The course consisted of 5 modules: a general module, followed by three advanced modules deepening on several foresight elements, and a final module revisiting the concepts learned throughout the course and introducing participants to the next task: developing scenarios. Throughout the course, participants gave their feedba</w:t>
      </w:r>
    </w:p>
    <w:p>
      <w:r>
        <w:t>POSSIBLE 2020: Project FORESIGHT: A ten-year retrospective — https://doi.org/10.1016/j.fsisyn.2020.08.005</w:t>
      </w:r>
    </w:p>
    <w:p>
      <w:r>
        <w:t>Shared claim-specific concepts: foresight, used, process, also; EU scope not established. This is a provisional connection, not an outcome finding.</w:t>
      </w:r>
    </w:p>
    <w:p>
      <w:r>
        <w:t>Available abstract (not full text): Forensic service providers fulfill a fundamental role in a criminal justice system by providing scientific information that aids investigations and court proceedings. While the focus is often on the science aspect of these organizations, the provision is also of paramount importance. Historically, calls for more and better information about forensic laboratory performance (in essence, benchmarking) have gone unheard. Project FORESIGHT, created in 2008, filled this need through engagement with the forensic management community to build a needs-based process for providing operational data that can be used to enhance a laboratory's performance. With over 10 years of industry data, Project FORESIGHT is the de facto standard for benchmarking forensic service provision.</w:t>
      </w:r>
    </w:p>
    <w:p>
      <w:r>
        <w:t>POSSIBLE 2019: Horizon Scanning in Foresight – Why Horizon Scanning is only a part of the game — https://doi.org/10.1002/ffo2.23</w:t>
      </w:r>
    </w:p>
    <w:p>
      <w:r>
        <w:t>Shared claim-specific concepts: foresight, projects, used, world, process, also; EU scope visible. This is a provisional connection, not an outcome finding.</w:t>
      </w:r>
    </w:p>
    <w:p>
      <w:r>
        <w:t>Available abstract (not full text): Abstract Foresight and Horizon Scanning are often regarded as identical concepts with identical models and purposes. But they can be completely different activities, both in and for any kind of prospective activity as well as for strategy purposes. Scanning is no debate and no strategy building. Whereas Foresight is more process‐oriented and always includes a Horizon Scanning phase, Horizon Scanning is rather found at the beginning of any forward‐looking activity and can be an automatized stand‐alone approach for identifying “things to come” ‐ which often means the identification of new science and technology and providing information about them. This paper wants to shed light on some of the confusions in Foresight and Horizon Scanning (HS) that often occur in organizations, among researchers and practitioners being thus of practical and scientific relevance for using an integrated model. The contribution is backed up by a study conducted for the European Commission (Cuhls et al., 2015) conducted to clarify for the Commission’s Foresight department (A6) how the strategic intelligence part of a foresight, the Horizon Scanning, is intertwined with the sense‐making part in similar projects in other parts of the world. The contribution thus starts with a broad definition of Foresight and of Horizon Scanning, explains findings from the study on objectives, methods used and relates t</w:t>
      </w:r>
    </w:p>
    <w:p>
      <w:r>
        <w:t>POSSIBLE 2019: European electricity sector decarbonization under different levels of foresight — https://doi.org/10.1016/j.renene.2019.02.099</w:t>
      </w:r>
    </w:p>
    <w:p>
      <w:r>
        <w:t>Shared claim-specific concepts: foresight, specific, also; EU scope visible. This is a provisional connection, not an outcome finding.</w:t>
      </w:r>
    </w:p>
    <w:p>
      <w:r>
        <w:t>Available abstract (not full text): The European Union has set out to reduce the carbon intensity of its electricity generation substantially, as defined in the European Roadmap 2050. This paper analyses the impact of foresight towards decarbonization targets on the investment decisions in the European electricity sector using a specific model developed by the authors called dynELMOD. Incorporating the climate targets makes the investment into any additional fossil capacity uneconomic from 2025 onwards, resulting in a coal and natural gas phase-out in the 2040s. Limited foresight thus results in stranded investments of fossil capacities in the 2020s. Using a CO2 budgetary approach, on the other hand, leads to an even sharper emission reduction in the early periods before 2030, reducing overall costs. We also find that renewables carry the major burden of decarbonization; nuclear power (3rd or 4th generation) is unable to compete with other fuels and will, therefore, be phased out over time.</w:t>
      </w:r>
    </w:p>
    <w:p>
      <w:pPr>
        <w:pStyle w:val="Heading2"/>
      </w:pPr>
      <w:r>
        <w:t>Towards Europe 2035 - In Search of the Archimedean Screw: FOCUS in Perspective</w:t>
      </w:r>
    </w:p>
    <w:p>
      <w:r>
        <w:t>Original source (2013): https://doi.org/10.11610/isij.2912</w:t>
      </w:r>
    </w:p>
    <w:p>
      <w:r>
        <w:t>Original wording (abstract; indexed_source_text_not_full_document_verified): Approaches and results from the FOCUS project centred on the planning of security research in the 2035 time frame to support foresighted EU security missions.In a follow-up, they could be carried further to help provide a framework for analyzing long-term trends and dynamic interactions in a global environment undergoing tectonic changes, reaching beyond the FOCUS mission to explore new contexts of civil security research in support of possible future EU mission scenarios.European developments are in large part driven by challenging global developments, reaching beyond external risks and threats to which the EU needs to respond.This article thus explores the complementarity of the FOCUS framework and the concurrent fifth NIC Report "Global Trends 2030: Alternative Worlds" of the US National Intelligence Council (NIC) in search of a framework for assessing the impact of global dynamics on the inner dynamics of global players, with the EU as a special case.</w:t>
      </w:r>
    </w:p>
    <w:p>
      <w:r>
        <w:t>POSSIBLE 2026: PUBLIC SECURITY AS AN ADMINISTRATIVE FUNCTION IN THE EUROPEAN UNION. A MULTILEVEL GOVERNANCE APPROACH — https://doi.org/10.13165/pspo-25-38-01-02</w:t>
      </w:r>
    </w:p>
    <w:p>
      <w:r>
        <w:t>Shared claim-specific concepts: planning, security, further, provide, framework; EU scope visible. This is a provisional connection, not an outcome finding.</w:t>
      </w:r>
    </w:p>
    <w:p>
      <w:r>
        <w:t>Available abstract (not full text): Public security in the European Union is traditionally described through the distribution of competences between the Union and the Member States. However, everyday practice suggests a different logic: security is rarely exercised through hierarchical command and more often produced through coordinated administrative interaction. This article examines public security as an administrative function operating within a multilevel governance framework rather than as a strictly national competence.The purpose of the paper is to clarify how security can be effectively managed at the European level despite the Treaties preserving national responsibility, and to determine what this implies for the interpretation of EU law. The research addresses the following question: how is public security governed administratively in the European Union when operational powers remain primarily domestic?The study combines doctrinal legal analysis with governance-oriented research. It relies on the interpretation of EU primary law, general legal principles, and selected jurisprudential patterns, while engaging with literature on multilevel governance and European administrative cooperation. The approach is qualitative and interpretative, focusing on recurring administrative practices such as coordination procedures, information exchange, and joint operational planning rather than on a single policy secto</w:t>
      </w:r>
    </w:p>
    <w:p>
      <w:r>
        <w:t>POSSIBLE 2026: NATO’s evolution and European security dynamics — https://doi.org/10.1007/s44282-026-00594-1</w:t>
      </w:r>
    </w:p>
    <w:p>
      <w:r>
        <w:t>Shared claim-specific concepts: planning, security, time, they, environment; EU scope visible. This is a provisional connection, not an outcome finding.</w:t>
      </w:r>
    </w:p>
    <w:p>
      <w:r>
        <w:t>Available abstract (not full text): The North Atlantic Treaty Organization (NATO) has transformed dramatically since the end of the Cold War. As a collective defense alliance, it was primarily focused on defending itself against the Soviet Union. NATO is now focused on addressing multiple types of threats: traditional, hybrid, and non-traditional. This study uses a qualitative methodological approach that includes a systematic content review of NATO’s Strategic Concepts from to 1991–2022; NATO Summit Communiques; NATO Defense Planning Guidance and Elite Speeches. This allows us to analyse the causes and effects of NATO’s transformation over time. Our results suggest that because of Russia’s actions as a “revisionist” state, NATO has reverted to focusing on collective defence. However, NATO has also broadened its operational scope to counter new forms of cyber and hybrid threats [ 27 ]. While NATO has improved its deterrence capabilities through adaptation and the cohesiveness of its members has increased, significant problems remain. These include differences in burden sharing by member countries, differing views among member countries regarding how much political independence they want from their relationship with the United States, and increasing levels of tension regarding the potential trade-off between greater strategic autonomy for Europe versus increased dependence upon the U.S. Ultimately, this study conc</w:t>
      </w:r>
    </w:p>
    <w:p>
      <w:r>
        <w:t>POSSIBLE 2025: Food Security And Regional Planning Approach: Challenges &amp; Opportunities — https://doi.org/10.64252/q0684p75</w:t>
      </w:r>
    </w:p>
    <w:p>
      <w:r>
        <w:t>Shared claim-specific concepts: approaches, planning, security, support; EU scope not established. This is a provisional connection, not an outcome finding.</w:t>
      </w:r>
    </w:p>
    <w:p>
      <w:r>
        <w:t>Available abstract (not full text): Global food insecurity is rapidly increasing. In 2021 an estimated 29.3 per cent of the global population (2.3 billion people) was moderately or severely food insecure while 828 million people in the world (10.5 per cent of the world population) faced hunger. This paper explores the critical intersection of food security and regional planning, highlighting the challenges and opportunities inherent in addressing food insecurity through strategic spatial and developmental approaches. With global food insecurity on the rise—impacting approximately 29.3% of the world’s population in 2021 and showing pronounced regional disparities there is an urgent need for effective regional planning to combat this crisis. This study emphasizes the varying degrees of food insecurity across different continents, particularly focusing on the complex scenario in Asia and India, which despite being major food producers, face significant challenges related to distribution, access, and sustainability. Food security encompasses three dimensions: availability, accessibility, and intake, each affected by production, distribution, purchasing power, and health infrastructure. Regional planning plays a pivotal role in addressing these dimensions by optimizing resource distribution, integrating agriculture into broader development plans, and improving infrastructure for food distribution. However, there are n</w:t>
      </w:r>
    </w:p>
    <w:p>
      <w:r>
        <w:t>POSSIBLE 2025: Safe and Sound: Governance for Planning Public Space in a Security-by-Design Paradigm — https://doi.org/10.3390/urbansci9070241</w:t>
      </w:r>
    </w:p>
    <w:p>
      <w:r>
        <w:t>Shared claim-specific concepts: project, planning, security, time, support, further; EU scope visible. This is a provisional connection, not an outcome finding.</w:t>
      </w:r>
    </w:p>
    <w:p>
      <w:r>
        <w:t>Available abstract (not full text): Security in public spaces has long been the subject of debate and extensive experimentation. With the exponential growth in risks (both expected and unexpected) that public spaces are exposed to, further exacerbated by the pandemic crisis, urban security management increasingly conflicts with the right to social interaction in space. To avoid creating overly controlled spaces that are unsuitable for generating sociality and spontaneous interactions, and which often reproduce discriminatory social dynamics, while at the same time ensuring users’ awareness of being in a safe environment, it is necessary for all three dimensions of public space security—policy, design, and governance—to converge. This study focuses on governance, exploring how security management shapes public life and how it can align with planning that supports vibrant, spontaneous interaction. Using a multi-method qualitative approach, including a critical literature review, EU policy analysis, and empirical research from the Horizon Europe SAFE CITIES project, the study introduces two tools: the Security and Vulnerability Assessment (SVA) framework and the Atlas for Safe Public Spaces Design. These were tested in pilot sites, including the Gorizia-Nova Gorica cross-border square. Results support a governance model integrating “security by design,” which aligns with Foucault’s view of governance as adaptable to</w:t>
      </w:r>
    </w:p>
    <w:p>
      <w:r>
        <w:t>POSSIBLE 2024: USING AN INDICATIVE APPROACH TO ASSESSING THE SECURITY OF ELECTRICITY SUPPLY — https://doi.org/10.15407/srenergy2024.04.132</w:t>
      </w:r>
    </w:p>
    <w:p>
      <w:r>
        <w:t>Shared claim-specific concepts: focus, planning, security, further; EU scope visible. This is a provisional connection, not an outcome finding.</w:t>
      </w:r>
    </w:p>
    <w:p>
      <w:r>
        <w:t xml:space="preserve">Available abstract (not full text): Monitoring and assessing the security of electricity supply in Ukraine are becoming increasingly important due to the integration of the integrated power system with the European power system and the need to ensure uninterrupted operation in parallel. This paper aims to test the use of an indicative approach to assessing the security of electricity supply. The paper considers the possibility of using an indicative approach to assessing the security of electricity supply. Within this paper, the indicative approach is understood as a method of management and planning based on the use of indicators or indicators to assess the state and efficiency of a particular process, system, or phenomenon. The main focus is on forming a list of indicators to assess the security of electricity supply. The initial assessment of the level of the indicator for ensuring the balanced reliability of the power system and the quality and level of maintenance of power grids will allow us to assess the security of supply in general. Unlike the existing principles for assessing supply security, this approach allows for systematic monitoring and objective data on which to base strategies and plans, which increases management efficiency. To solve the problem of finding an assessment of the security of the electricity supply, an indicative approach may be proposed for use, which provides a unified indicator </w:t>
      </w:r>
    </w:p>
    <w:p>
      <w:r>
        <w:t>POSSIBLE 2023: European experience in ensuring the financial security of financial institutions — https://doi.org/10.33108/galicianvisnyk_tntu2023.05.092</w:t>
      </w:r>
    </w:p>
    <w:p>
      <w:r>
        <w:t>Shared claim-specific concepts: approaches, focus, security, analyzing, environment; EU scope visible. This is a provisional connection, not an outcome finding.</w:t>
      </w:r>
    </w:p>
    <w:p>
      <w:r>
        <w:t>Available abstract (not full text): The article is dedicated to exploring the essence of financial security for financial institutions in Ukraine in the context of a state of war and providing proposals for its enhancement. In light of international events, particularly the full-scale invasion and aggression by the russian federation, the insufficient level of financial security of Ukrainian financial institutions becomes exceptionally pertinent. Therefore, identifying internal and external threats to the financial security of these institutions during wartime, along with developing a strategy to neutralize these threats and enhance the effectiveness of financial security, emerges as an extremely relevant task. The article substantiates the significance of developing a strategic plan to bolster Ukraine's financial security, with a focus on the control of financial institution activities. The author meticulously examines key aspects and methods of ensuring stability and reliability of financial institutions in the European Union. Additionally, key elements of controlling financial institution activities within the context of Ukraine's financial sector development strategy are studied and compared with methods applied in other countries around the world. The article comprehensively examines practices and strategies for financial stability of institutions in European Union countries such as the Netherlands, Belgium,</w:t>
      </w:r>
    </w:p>
    <w:p>
      <w:r>
        <w:t>POSSIBLE 2023: The regulatory security state in Europe — https://doi.org/10.1080/13501763.2023.2172061</w:t>
      </w:r>
    </w:p>
    <w:p>
      <w:r>
        <w:t>Shared claim-specific concepts: security, framework, analyzing; EU scope visible. This is a provisional connection, not an outcome finding.</w:t>
      </w:r>
    </w:p>
    <w:p>
      <w:r>
        <w:t>Available abstract (not full text): The ‘regulatory state’ has prevailed in almost every sector of European public policy. The provision of security, however, is still widely viewed as the domain of the ‘positive state’, which rests on political authority and autonomous capacities. Challenging this presumption, we argue that expertise – as foundation of authority – and rules – as policy instruments – also shape the provision of European security by national and, in particular, supranational ‘regulatory security states’, namely the European Union (EU). We lay out a framework for mapping the uneven and contested rise of European regulatory security states; analyzing drivers and constraints of security state reforms; and grasping the implications of the regulatory security state for the effectiveness and democratic legitimacy of European security policy-making. We advance the research program on the regulatory state and contribute to an innovative understanding of who governs security in Europe’s multi-level polity, by what means, and on what legitimatory grounds.</w:t>
      </w:r>
    </w:p>
    <w:p>
      <w:r>
        <w:t>POSSIBLE 2022: Chemical Looping Combustion and Gasification: A Review and a Focus on European Research Projects — https://doi.org/10.1021/acs.iecr.2c02677</w:t>
      </w:r>
    </w:p>
    <w:p>
      <w:r>
        <w:t>Shared claim-specific concepts: focus, they, provide; EU scope visible. This is a provisional connection, not an outcome finding.</w:t>
      </w:r>
    </w:p>
    <w:p>
      <w:r>
        <w:t>Available abstract (not full text): Climate change has driven attention toward promoting sustainable policies and processes to contain global warming below +1.5 &amp; DEG;C. Negative emission technologies (NET)-bioenergy with carbon capture and storage in particular (BECCS)-are expected to contribute to the achievement of that target. Recent research and development concerning NET focused on chemical looping combustion (CLC) and chemical looping gasification (CLG), as they should limit cost-and energy-penalties associated with carbon capture and storage thanks to solid materials known as oxygen carriers (OCs). This review aims to provide an introductory tool about CLC and CLG and their possible role as NET if fed with biomasses to obtain BECCS. A critical overlook is proposed concerning chemical looping reactions, fuels, types of OCs, and reactor systems developed at different scales, focusing on recent and current European research projects and remarks on the subsequent developments.</w:t>
      </w:r>
    </w:p>
    <w:p>
      <w:r>
        <w:t>POSSIBLE 2022: Approaches to Implementing National Action Plans on Women, Peace and Security — https://doi.org/10.19088/k4d.2022.049</w:t>
      </w:r>
    </w:p>
    <w:p>
      <w:r>
        <w:t>Shared claim-specific concepts: approaches, focus, security, time, support, they; EU scope not established. This is a provisional connection, not an outcome finding.</w:t>
      </w:r>
    </w:p>
    <w:p>
      <w:r>
        <w:t>Available abstract (not full text): This report aims to identify a selection of programmes and projects undertaken by countries under their respective National Action Plans. It focuses on discrete, large-scale initiatives that specifically target aspects of the WPS agenda and aim to influence change outside the implementing agencies, rather than changing agencies’ own policies and practices. Common themes that appear frequently across these programmes and projects include: supporting global pools of technical capacity on WPS and on peacebuilding generally; training military, police, and other personnel from partner countries, including building women’s professional capacities as well as training personnel in WPS-related good practices; supporting WPS networks and forums to share experience and expertise; extensive use of multilateral mechanisms for channelling funding and for sharing technical capacity; extensive support to and collaboration with civil society organisations; initiatives focusing on combating violent extremism and counter-terrorism; initiatives focusing on preventing sexual exploitation and abuse in peacekeeping and humanitarian contexts; a wide range of commitments to stopping gender-based violence; and support for sexual and reproductive health initiatives. All of the countries discussed in this report also undertake considerable efforts to change policies and practices within their own agencies</w:t>
      </w:r>
    </w:p>
    <w:p>
      <w:r>
        <w:t>POSSIBLE 2021: Project FOCUS: an interdisciplinary approach to monitor disturbances in European forest ecosystems — https://doi.org/10.5281/zenodo.5607114</w:t>
      </w:r>
    </w:p>
    <w:p>
      <w:r>
        <w:t>Shared claim-specific concepts: focus, project, environment; EU scope visible. This is a provisional connection, not an outcome finding.</w:t>
      </w:r>
    </w:p>
    <w:p>
      <w:r>
        <w:t>Available abstract (not full text): European forest ecosystems are subject to a complex web of stressors including biotic agents, wildfires, climate change, and regional population shifts. The drivers operate at multiple spatial and temporal scales and across many domains, calling for a truly interdisciplinary approach to understand and manage change. Widespread damage to forests caused by biotic agents creates a singular environment where such dynamics can be tested in a rapidly evolving scenario. A representative case-study is discussed where the threat posed by Pinewood Nematode (PWN) (Bursaphelenchus xylophilus) is assessed. Preliminary results of the development of algorithms relying on Sentinel-2 data to detect infested trees are presented, with a focus on implementing an operational solution in collaboration with a broad network of users. The challenges, obstacles, and opportunities created by the integrated approach are discussed, offering clues for future initiatives addressing similar challenges.</w:t>
      </w:r>
    </w:p>
    <w:p>
      <w:r>
        <w:t>POSSIBLE 2020: What Is the Future of European Cyber Security? Three Principles of European Cooperation and the Hybrid Joint Strategy of Cyber Defence — https://doi.org/10.33067/se.2.2020.3</w:t>
      </w:r>
    </w:p>
    <w:p>
      <w:r>
        <w:t>Shared claim-specific concepts: focus, security, support, environment; EU scope visible. This is a provisional connection, not an outcome finding.</w:t>
      </w:r>
    </w:p>
    <w:p>
      <w:r>
        <w:t>Available abstract (not full text): The author argues that EU member states should pursue a joint strategy of cyber security and cyber defence. This claim does not immediately imply support for current EU legislation, in particular for enforcing the NIS Directive or the operation of ENISA in its currently planned capacity. Instead, three principles of European cooperation are discussed and followed by a proposal to centre the joint strategic effort around promoting and explicating the practical and procedural consequences of these principles. A bottom-up approach to joining and uniformization of European cyber defence is presented, aligned with the notion of Europeanization in security policy in the sense of E. Gross and R. Ladrech. This approach requires that European cyber security agencies, including ENISA, focus their efforts on addressing the trust defi cit among the member states through facilitating the environment for safe information exchange, instead of communicating with the member states through the medium of regulations and prescribing security standards. More generally, the author postulates that the European authorities embrace the inherent political character of international trust-building and aspire to the role of mediator, as opposed to presenting themselves as apolitical agents focused on the purely technical aspects of European cyber security.</w:t>
      </w:r>
    </w:p>
    <w:p>
      <w:r>
        <w:t>POSSIBLE 2019: Engineering Education for Sustainable Development: The European Project Semester Approach — https://doi.org/10.1109/te.2019.2926944</w:t>
      </w:r>
    </w:p>
    <w:p>
      <w:r>
        <w:t>Shared claim-specific concepts: focus, project, framework; EU scope visible. This is a provisional connection, not an outcome finding.</w:t>
      </w:r>
    </w:p>
    <w:p>
      <w:r>
        <w:t>Available abstract (not full text): Contribution:An analysis of the extent to which sustainability is present in the syllabi, project briefs, report templates, and student final reports of the three Iberian European project semester (EPS) providers, over a five-year period.Background:EPS is a one-semester capstone project framework that adopts project-based learning and multicultural, multidisciplinary teamwork. Educating engineers for sustainable development requires fostering critical and ethical thinking and a desire for equity, solidarity and preservation of natural resources, and cultural and genetic diversity. Existing engineering capstone design programs emphasize solving real world problems, hands-on training, and soft skills, but few focus on sustainability aspects of engineering design. The three Iberian EPS providers adopt project-based learning and teamwork methodologies, promoting the development of transversal skills and addressing sustainability in a multicultural and multidisciplinary background.Intended Outcomes:To show that the three Iberian EPS providers follow these recommendations and contribute to raising students’ awareness of sustainable development.Application Design:The proposed sustainability learning assessment method collects evidence from syllabi, project briefs, report templates, and final reports to extract faculty and student perspectives. The sustainability-related terms collecte</w:t>
      </w:r>
    </w:p>
    <w:p>
      <w:pPr>
        <w:pStyle w:val="Heading2"/>
      </w:pPr>
      <w:r>
        <w:t>Warming increases plant biomass and reduces diversity across continents, latitudes, and species migration scenarios in experimental wetland communities</w:t>
      </w:r>
    </w:p>
    <w:p>
      <w:r>
        <w:t>Original source (2013): https://doi.org/10.1111/gcb.12378</w:t>
      </w:r>
    </w:p>
    <w:p>
      <w:r>
        <w:t>Original wording (abstract; indexed_source_text_not_full_document_verified): These results reveal for the first time consistent impacts of warming on biomass and species richness for temperate wetland plant communities across continents, latitudes, and migration scenarios. Atmospheric warming may influence plant productivity and diversity and induce poleward migration of species, altering communities across latitudes.</w:t>
      </w:r>
    </w:p>
    <w:p>
      <w:r>
        <w:t>POSSIBLE 2025: Collaborative effort between fishers and scientists reveals first-time evidence of the smalltooth sandtiger shark (Odontaspis ferox) in Puerto Rico — https://doi.org/10.1017/s0025315425100246</w:t>
      </w:r>
    </w:p>
    <w:p>
      <w:r>
        <w:t>Shared claim-specific concepts: first, species, temperate, diversity; EU scope not established. This is a provisional connection, not an outcome finding.</w:t>
      </w:r>
    </w:p>
    <w:p>
      <w:r>
        <w:t>Available abstract (not full text): Abstract Studying deep-water shark species presents inherent challenges stemming from the difficulty in accessing their habitats, coupled with factors such as low population densities, intricate behaviours, and complex biological attributes. The integration of citizen scientists, particularly fishers, offers a valuable avenue to make use of their life-long insights and expertise, thus facilitating the acquisition of crucial data that can effectively enhance the realm of shark research. Our collaborative engagement with fishers since 2017 has yielded an extensive documentation concerning elasmobranchs in the Caribbean region of Puerto Rico providing a unique opportunity to formally record species hitherto unreported. This is exemplified by the first documentation of the smalltooth sandtiger shark (Odontaspis ferox (Risso, 1810)). Despite its broad geographic range and widespread distribution in temperate and tropical marine environments, there is a lack of comprehensive scientific understanding and limited available knowledge regarding this species. A noteworthy finding on December 30, 2020, near Rincón (northwest coast) in Puerto Rico, disclosed a large shark that an experienced fisher had captured as an unidentified by-catch at a depth of 325 m. Through an interdisciplinary approach using molecular (355 bp, Cytochrome Oxidase Subunit 1) and morphological techniques, we success</w:t>
      </w:r>
    </w:p>
    <w:p>
      <w:r>
        <w:t>POSSIBLE 2025: Bioassay tests reveal for the first time pyrethroid resistance in — https://doi.org/10.1051/parasite/2025036/pdf</w:t>
      </w:r>
    </w:p>
    <w:p>
      <w:r>
        <w:t>Shared claim-specific concepts: reveal, first, time, species; EU scope not established. This is a provisional connection, not an outcome finding.</w:t>
      </w:r>
    </w:p>
    <w:p>
      <w:r>
        <w:t>Available abstract (not full text): The spread of resistance to insecticides, such as pyrethroids, in Aedes vectors increases the risk of spread of arboviral diseases. In Gabon, the insecticide resistance profiles of Ae. aegypti and Ae. albopictus species remain poorly known. During a study to monitor the dynamics of Aedes populations in Franceville, in south-east Gabon, the resistance profiles of these two species to pyrethroids, organophosphates and carbamates were assessed. Susceptibility tests on adults and synergist tests with piperonyl butoxide (PBO) were carried out as per the World Health Organization protocol. The results showed that Ae. aegypti and Ae. albopictus were susceptible to permethrin, pirimiphos-methyl and bendiocarb. However, both species were resistant to deltamethrin (mortality: 67% for Ae. aegypti; 33% for Ae. albopictus). Exposure to a 5-fold dose of deltamethrin increased mortality to 100% and 91% for Ae. aegypti and Ae. albopictus, respectively. Resistance to alpha-cypermethrin was also recorded (mortality: 82% for Ae. aegypti; 64.6% for Ae. albopictus). Pre-exposure to PBO resulted in the restoration of susceptibility to deltamethrin and alpha-cypermethrin for Ae. aegypti, and a significant increase in mortality for Ae. albopictus. These data provide the first evidence of pyrethroid resistance in Aedes in Gabon and could help to establish more effective control measures against arbovir</w:t>
      </w:r>
    </w:p>
    <w:p>
      <w:r>
        <w:t>POSSIBLE 2024: Hidden impacts of ocean warming and acidification on biological responses of marine animals revealed through meta-analysis — https://doi.org/10.1038/s41467-024-47064-3</w:t>
      </w:r>
    </w:p>
    <w:p>
      <w:r>
        <w:t>Shared claim-specific concepts: impacts, warming, induce; EU scope not established. This is a provisional connection, not an outcome finding.</w:t>
      </w:r>
    </w:p>
    <w:p>
      <w:r>
        <w:t>Available abstract (not full text): Conflicting results remain on the impacts of climate change on marine organisms, hindering our capacity to predict the future state of marine ecosystems. To account for species-specific responses and for the ambiguous relation of most metrics to fitness, we develop a meta-analytical approach based on the deviation of responses from reference values (absolute change) to complement meta-analyses of directional (relative) changes in responses. Using this approach, we evaluate responses of fish and invertebrates to warming and acidification. We find that climate drivers induce directional changes in calcification, survival, and metabolism, and significant deviations in twice as many biological responses, including physiology, reproduction, behavior, and development. Widespread deviations of responses are detected even under moderate intensity levels of warming and acidification, while directional changes are mostly limited to more severe intensity levels. Because such deviations may result in ecological shifts impacting ecosystem structures and processes, our results suggest that climate change will likely have stronger impacts than those previously predicted based on directional changes alone.</w:t>
      </w:r>
    </w:p>
    <w:p>
      <w:r>
        <w:t>POSSIBLE 2023: The Impacts of a Weakened Atlantic Meridional Overturning Circulation on ENSO in a Warmer Climate — https://doi.org/10.1029/2023gl103025</w:t>
      </w:r>
    </w:p>
    <w:p>
      <w:r>
        <w:t>Shared claim-specific concepts: first, impacts, warming, atmospheric, induce; EU scope not established. This is a provisional connection, not an outcome finding.</w:t>
      </w:r>
    </w:p>
    <w:p>
      <w:r>
        <w:t>Available abstract (not full text): Abstract This study quantifies the impacts of the Atlantic Meridional Overturning Circulation (AMOC) on the El Niño–Southern Oscillation (ENSO) under anthropogenic warming by comparing climate change model simulations with declining and fixed strengths of the overturning. After the 1980s, a weakened AMOC is shown to reduce the strength of the annual cycle of sea surface temperature (SST) in the eastern equatorial Pacific and induce anomalous cross‐equatorial northerly winds there, which strengthens ENSO variability by about 11%. An analysis of the Bjerknes stability index reveals that this intensification of ENSO results mainly from enhanced Ekman upwelling feedback due to amplified atmospheric wind response to SST anomalies and oceanic upwelling response to equatorial wind stress anomalies. The weakened AMOC also promotes the occurrence of Central Pacific El Niño events and reduces ENSO skewness. These AMOC impacts on ENSO magnitude and complexity throughout the twenty‐first century are however smaller than ENSO variations expected from internal climate variability.</w:t>
      </w:r>
    </w:p>
    <w:p>
      <w:r>
        <w:t>POSSIBLE 2022: The Details of Limb Brightening Reveal the Structure of the Base of the Jet in M87 for the First Time — https://doi.org/10.3847/1538-4357/ac82f1</w:t>
      </w:r>
    </w:p>
    <w:p>
      <w:r>
        <w:t>Shared claim-specific concepts: reveal, first, time; EU scope not established. This is a provisional connection, not an outcome finding.</w:t>
      </w:r>
    </w:p>
    <w:p>
      <w:r>
        <w:t>Available abstract (not full text): Abstract It has become commonplace in astronomy to describe the transverse coarse structure of jets in loosely defined terms such as “sheath” and “spine” based on discussions of parsec scale properties. But, the applicability, dimension, and prominence of these features on sub-light-year scales has previously been unconstrained by observation. The first direct evidence of jet structure near the source in M87 is extreme limb brightening (a double-rail morphology), 0.3–0.6 mas from the source, which is prominent in observations with high resolution and sensitivity. Intensity crosscuts of these images provide three strong, interdependent constraints on the geometry responsible for the double-rail morphology: the rail to rail separation, the peak to trough intensity ratio, and the rail widths. Analyzing these constraints indicates that half or more of the jet volume resides in a thick-walled, tubular, mildly relativistic, protonic jet only ∼0.25 lt-yr (or ∼300 M, where M is the central black hole mass in geometrized units) from the source. By contrast, the Event Horizon Telescope Collaboration interprets their observations with the aid of general relativistic magnetohydrodynamic simulations that produce an invisible (by construction) jet with a surrounding luminous, thin sheath. Yet, it is shown that synthetic images of simulated jets are center brightened 0.3–0.6 mas from the sour</w:t>
      </w:r>
    </w:p>
    <w:p>
      <w:r>
        <w:t>POSSIBLE 2022: Reflections from graduate student instructors on their first time teaching reveal structural and individual challenges — https://doi.org/10.56230/osotl.44</w:t>
      </w:r>
    </w:p>
    <w:p>
      <w:r>
        <w:t>Shared claim-specific concepts: reveal, first, time, consistent; EU scope not established. This is a provisional connection, not an outcome finding.</w:t>
      </w:r>
    </w:p>
    <w:p>
      <w:r>
        <w:t>Available abstract (not full text): Graduate student instructors occupy a unique ‘liminal space’ as trainees in and instructors of their discipline. While research has explored challenges graduate students face while teaching, there is limited exploration of the challenges graduate students face that transcend disciplinary boundaries while preparing for and teaching their first undergraduate class. This qualitative study asked graduate students to reflect on the challenges and surprises they encountered while preparing for and teaching their first undergraduate class. Our findings indicate that consistent with previous literature, most graduate student pedagogical training is not sufficient for preparing graduate student instructors and many of the challenges they encounter are the result of a lack of support and prioritization of pedagogy in graduate training. We anchor these findings in a discussion of structural barriers to effective pedagogical training in graduate school and a brief review of model graduate pedagogical training programs.</w:t>
      </w:r>
    </w:p>
    <w:p>
      <w:r>
        <w:t>POSSIBLE 2022: Impacts of Global Climate Warming on Meteorological and Hydrological Droughts and Their Propagations — https://doi.org/10.1029/2021ef002542</w:t>
      </w:r>
    </w:p>
    <w:p>
      <w:r>
        <w:t>Shared claim-specific concepts: first, impacts, warming; EU scope not established. This is a provisional connection, not an outcome finding.</w:t>
      </w:r>
    </w:p>
    <w:p>
      <w:r>
        <w:t>Available abstract (not full text): Abstract Meteorological to hydrological drought propagation has been widely studied to reflect the relationship between these drought categories and better understand drought mechanisms. However, global warming may alter the drought propagation features, which are not fully understood. This study aims to investigate changes in meteorological and hydrological drought conditions, especially their propagation features in 1.5–3.0°C warmer climates for 8,655 watersheds globally. First, the three‐month scale standardized precipitation index and the standardized runoff index are calculated based on the precipitation simulated by the 15 global climate models and the runoff simulated by the four hydrological models, respectively. Drought events are then identified using the run theory, followed by the calculation of drought propagation features (i.e., pooling, lag, and lengthening) for matched meteorological and hydrological droughts. As a result, both meteorological and hydrological drought conditions (i.e., duration and severity) would relieve in warmer climates due to increased precipitation for regions excluding Western North America, South America, the Mediterranean, Southern Africa, East Asia, and Australia. However, the drought conditions would be more severe during drought propagation from meteorological to hydrological droughts over most regions. During drought propagation, the</w:t>
      </w:r>
    </w:p>
    <w:p>
      <w:r>
        <w:t>POSSIBLE 2021: Thermal flight performance reveals impact of warming on bumblebee foraging potential — https://doi.org/10.1111/1365-2435.13887</w:t>
      </w:r>
    </w:p>
    <w:p>
      <w:r>
        <w:t>Shared claim-specific concepts: warming, species, across; EU scope not established. This is a provisional connection, not an outcome finding.</w:t>
      </w:r>
    </w:p>
    <w:p>
      <w:r>
        <w:t>Available abstract (not full text): Abstract The effects of environmental temperature on components of insect flight determine life‐history traits, fitness, adaptability and, ultimately, organism ecosystem functional roles. Despite the crucial role of flying insects across landscapes, our understanding of how temperature affects insect flight performance remains limited. Many insect pollinators are considered under threat from climatic warming. Quantifying the relationship between temperature and behavioural performance traits allows us to understand where species are operating in respect to their thermal limits, helping predict responses to projected temperature increases and/or erratic weather events. Using a tethered flight mill, we quantify how flight performance of a widespread bumblebee, Bombus terrestris, varies over a temperature range (12–30℃). Given that body mass constrains insect mobility and behaviour, bumblebees represent a useful system to study temperature‐mediated size dependence of flight performance owing to the large intra‐colony variation in worker body size they exhibit. Workers struggled to fly over a few hundred metres at the lowest tested temperature of 12℃; however, flight endurance increased as temperatures rose, peaking around 25℃ after which it declined. Our findings further revealed variation in flight capacity across the workforce, with larger workers flying further, longer, and fas</w:t>
      </w:r>
    </w:p>
    <w:p>
      <w:r>
        <w:t>POSSIBLE 2020: Paleoclimate records reveal elusive ~200-kyr eccentricity cycle for the first time — https://doi.org/10.1016/j.gloplacha.2020.103296</w:t>
      </w:r>
    </w:p>
    <w:p>
      <w:r>
        <w:t>Shared claim-specific concepts: reveal, first, time; EU scope visible. This is a provisional connection, not an outcome finding.</w:t>
      </w:r>
    </w:p>
    <w:p>
      <w:r>
        <w:t>Available abstract (not full text): The main cycles of Earth's eccentricity as recorded in paleoclimate archives signify 2nd order terms, combining two g-frequencies associated with the precession of perihelia of the inner planets and Jupiter. However, many weaker cycles are present and may be documented as well. Here we report on a thus far unnoticed ~200-kyr cycle observed in rhythmically bedded marine marls and limestones of early Paleocene age in NE Spain and adjacent France. This cycle is expressed as alternating distinct and less distinct ~100-kyr CaCO3 maxima and associated magnetic susceptibility (MS) minima, which correspond to successive minima of the short ~100-kyr eccentricity cycle. The most plausible explanation is that this ~200-kyr cycle represents a weak but real cycle in eccentricity. Due to its weakness, this cycle is only expressed as alternatingly strong and weak ~100-kyr minima in eccentricity time series, a pattern that is identical to what we observe in the proxy records and outcrop. Its origin as eccentricity cycle is complex as it is composed of 4 to 6 individual components. A simplified solution solely based on the five leading g-frequencies reveals that most of these components originate from combinations of these 5 frequencies. However, they do not correspond to 2nd order terms, which underlie the principal short and long eccentricity cycles, but to much weaker higher order terms. Thr</w:t>
      </w:r>
    </w:p>
    <w:p>
      <w:r>
        <w:t>POSSIBLE 2020: Intraspecific variation in tolerance of warming in fishes — https://doi.org/10.1111/jfb.14620</w:t>
      </w:r>
    </w:p>
    <w:p>
      <w:r>
        <w:t>Shared claim-specific concepts: reveal, first, impacts, warming, species, across; EU scope not established. This is a provisional connection, not an outcome finding.</w:t>
      </w:r>
    </w:p>
    <w:p>
      <w:r>
        <w:t>Available abstract (not full text): Intraspecific variation in key traits such as tolerance of warming can have profound effects on ecological and evolutionary processes, notably responses to climate change. The empirical evidence for three primary elements of intraspecific variation in tolerance of warming in fishes is reviewed. The first is purely mechanistic that tolerance varies across life stages and as fishes become mature. The limited evidence indicates strongly that this is the case, possibly because of universal physiological principles. The second is intraspecific variation that is because of phenotypic plasticity, also a mechanistic phenomenon that buffers individuals' sensitivity to negative impacts of global warming in their lifetime, or to some extent through epigenetic effects over successive generations. Although the evidence for plasticity in tolerance to warming is extensive, more work is required to understand underlying mechanisms and to reveal whether there are general patterns. The third element is intraspecific variation based on heritable genetic differences in tolerance, which underlies local adaptation and may define long-term adaptability of a species in the face of ongoing global change. There is clear evidence of local adaptation and some evidence of heritability of tolerance to warming, but the knowledge base is limited with detailed information for only a few model or emblematic spe</w:t>
      </w:r>
    </w:p>
    <w:p>
      <w:r>
        <w:t>POSSIBLE 2020: Intraspecific responses to climate reveal nonintuitive warming impacts on a widespread thermophilic conifer — https://doi.org/10.1111/nph.16656</w:t>
      </w:r>
    </w:p>
    <w:p>
      <w:r>
        <w:t>Shared claim-specific concepts: reveal, impacts, warming, species, across; EU scope visible. This is a provisional connection, not an outcome finding.</w:t>
      </w:r>
    </w:p>
    <w:p>
      <w:r>
        <w:t>Available abstract (not full text): Many ecologically important forest trees from dry areas have been insufficiently investigated for their ability to adapt to the challenges posed by climate change, which hampers the implementation of mitigation policies. We analyzed 14 common-garden experiments across the Mediterranean which studied the widespread thermophilic conifer Pinus halepensis and involved 157 populations categorized into five ecotypes. Ecotype-specific tree height responses to climate were applied to projected climate change (2071-2100 ad), to project potential growth patterns both locally and across the species' range. We found contrasting ecotypic sensitivities to annual precipitation but comparatively uniform responses to mean temperature, while evidence of local adaptation for tree height was limited to mesic ecotypes. We projected intriguing patterns of response range-wide, implying either height inhibition or stimulation of up to 75%, and deduced that the ecotype currently experiencing more favorable (wetter) conditions will show the largest inhibition. Extensive height reductions can be expected for coastal areas of France, Greece, Spain and northern Africa. Our findings underline the fact that intraspecific variations in sensitivity to precipitation must be considered when projecting tree height responses of dry forests to future climate. The ecotype-specific projected performances call for man</w:t>
      </w:r>
    </w:p>
    <w:p>
      <w:r>
        <w:t>POSSIBLE 2020: A quantitative framework reveals ecological drivers of grassland microbial community assembly in response to warming — https://doi.org/10.1038/s41467-020-18560-z</w:t>
      </w:r>
    </w:p>
    <w:p>
      <w:r>
        <w:t>Shared claim-specific concepts: time, warming, plant, communities, productivity; EU scope not established. This is a provisional connection, not an outcome finding.</w:t>
      </w:r>
    </w:p>
    <w:p>
      <w:r>
        <w:t>Available abstract (not full text): Unraveling the drivers controlling community assembly is a central issue in ecology. Although it is generally accepted that selection, dispersal, diversification and drift are major community assembly processes, defining their relative importance is very challenging. Here, we present a framework to quantitatively infer community assembly mechanisms by phylogenetic bin-based null model analysis (iCAMP). iCAMP shows high accuracy (0.93-0.99), precision (0.80-0.94), sensitivity (0.82-0.94), and specificity (0.95-0.98) on simulated communities, which are 10-160% higher than those from the entire community-based approach. Application of iCAMP to grassland microbial communities in response to experimental warming reveals dominant roles of homogeneous selection (38%) and 'drift' (59%). Interestingly, warming decreases 'drift' over time, and enhances homogeneous selection which is primarily imposed on Bacillales. In addition, homogeneous selection has higher correlations with drought and plant productivity under warming than control. iCAMP provides an effective and robust tool to quantify microbial assembly processes, and should also be useful for plant and animal ecology.</w:t>
      </w:r>
    </w:p>
    <w:p>
      <w:pPr>
        <w:pStyle w:val="Heading2"/>
      </w:pPr>
      <w:r>
        <w:t>A history of futures: A review of scenario use in water policy studies in the Netherlands</w:t>
      </w:r>
    </w:p>
    <w:p>
      <w:r>
        <w:t>Original source (2012): https://doi.org/10.1016/j.envsci.2012.03.002</w:t>
      </w:r>
    </w:p>
    <w:p>
      <w:r>
        <w:t>Original wording (abstract; indexed_source_text_not_full_document_verified): Based on two criteria, 'Decision robustness' and 'Learning success', we conclude that (1) the possibilities for robust decisionmaking increased through a paradigm shift from predicting to exploring futures, but the scenario method is not yet fully exploited for decisionmaking under uncertainty; and (2) the scenarios enabled learning about possible impacts of developments and effectiveness of policy options.</w:t>
      </w:r>
    </w:p>
    <w:p>
      <w:r>
        <w:t>POSSIBLE 2024: Federated Learning for Generalization, Robustness, Fairness: A Survey and Benchmark — https://doi.org/10.1109/tpami.2024.3418862</w:t>
      </w:r>
    </w:p>
    <w:p>
      <w:r>
        <w:t>Shared claim-specific concepts: robustness, learning, paradigm; EU scope not established. This is a provisional connection, not an outcome finding.</w:t>
      </w:r>
    </w:p>
    <w:p>
      <w:r>
        <w:t>Available abstract (not full text): Federated learning has emerged as a promising paradigm for privacy-preserving collaboration among different parties. Recently, with the popularity of federated learning, an influx of approaches have delivered towards different realistic challenges. In this survey, we provide a systematic overview of the important and recent developments of research on federated learning. First, we introduce the study history and terminology definition of this area. Then, we comprehensively review three basic lines of research: generalization, robustness, and fairness, by introducing their respective background concepts, task settings, and main challenges. We also offer a detailed overview of representative literature on both methods and datasets. We further benchmark the reviewed methods on several well-known datasets. Finally, we point out several open issues in this field and suggest opportunities for further research.</w:t>
      </w:r>
    </w:p>
    <w:p>
      <w:r>
        <w:t>POSSIBLE 2024: Robust two-qubit gate with reinforcement learning and dropout — https://doi.org/10.1103/physreva.110.032614</w:t>
      </w:r>
    </w:p>
    <w:p>
      <w:r>
        <w:t>Shared claim-specific concepts: learning, robust, method; EU scope not established. This is a provisional connection, not an outcome finding.</w:t>
      </w:r>
    </w:p>
    <w:p>
      <w:r>
        <w:t>Available abstract (not full text): In the realm of quantum control, reinforcement learning, a prominent branch of machine learning, emerges as a competitive candidate for computer-assisted optimal experiment design. This paper investigates the extent to which guidance from human experts is necessary for effectively implementing reinforcement learning in the design of quantum control protocols. Specifically, our focus lies on engineering a robust two-qubit gate, utilizing a combination of analytical solutions as prior knowledge and techniques from computer science. Through thorough benchmarking of various models, we identify dropout---a widely used method for mitigating overfitting in machine learning---as a particularly robust approach. Our findings demonstrate the potential of integrating computer science concepts to propel the development of advanced quantum technologies.</w:t>
      </w:r>
    </w:p>
    <w:p>
      <w:r>
        <w:t>POSSIBLE 2023: Assessing the energy security of European Union countries from two perspectives – A new integrated approach based on MCDM methods — https://doi.org/10.1016/j.apenergy.2023.121443</w:t>
      </w:r>
    </w:p>
    <w:p>
      <w:r>
        <w:t>Shared claim-specific concepts: based, two, criteria; EU scope visible. This is a provisional connection, not an outcome finding.</w:t>
      </w:r>
    </w:p>
    <w:p>
      <w:r>
        <w:t>Available abstract (not full text): The subject of this article concerns a crucial issue of energy security in the European Union countries, especially during the war in Ukraine. The paper presents the results of a study aimed at assessing the level of energy security of EU-27 countries from two perspectives (for two variants of analysis). The first variant assesses the level of energy security of EU-27 countries, which is derived from a traditional approach related to the availability of energy sources at affordable prices (energy and economic factors). The second variant assesses the level of energy security from the perspective of sustainable development, the so-called sustainable energy security, which, in addition to energy and economic factors, also takes into account environmental and social factors. The multi-criteria nature of the subject matter undertaken determined the adoption of methodology based on Multiple-criteria decision-making methods (MCDM) for the study. Also, the author's integrated approach based on indicator weighting methods and MCDM methods was used. The CRiteria Importance Through Intercriteria Correlation (CRITIC) and standard deviation (SD) methods were utilized to determine indicator weights, and the Grey relational analysis (GRA) and the Technique for Order of Preference by Similarity to Ideal Solution (TOPSIS) methods were used for the core part of the research. Based on the propos</w:t>
      </w:r>
    </w:p>
    <w:p>
      <w:r>
        <w:t>POSSIBLE 2023: ShapleyFL: Robust Federated Learning Based on Shapley Value — https://doi.org/10.1145/3580305.3599500</w:t>
      </w:r>
    </w:p>
    <w:p>
      <w:r>
        <w:t>Shared claim-specific concepts: based, robustness, learning, robust, method; EU scope not established. This is a provisional connection, not an outcome finding.</w:t>
      </w:r>
    </w:p>
    <w:p>
      <w:r>
        <w:t>Available abstract (not full text): Federated Learning (FL) allows clients to form a consortium to train a global model under the orchestration of a central server while keeping data on the local client without sharing it, thus mitigating data privacy issues. However, training a robust global model is challenging since the local data is invisible to the server. The local data of clients are naturally heterogeneous, while some clients can use corrupted data or send malicious updates to interfere with the training process artificially. Meanwhile, communication and computation costs are inevitable challenges in designing a practical FL algorithm. In this paper, to improve the robustness of FL, we propose a Shapley value-inspired adaptive weighting mechanism, which regards the FL training as sequential cooperative games and adjusts clients' weights according to their contributions. We also develop a client sampling strategy based on importance sampling, which can reduce the communication cost by optimizing the variance of the global updates according to the weights of clients. Furthermore, to diminish the computation cost of the server, we propose a weight calculation method by estimating differences between the Shapley value of clients. Our experimental results on several real data sets demonstrate the effectiveness of our approaches.</w:t>
      </w:r>
    </w:p>
    <w:p>
      <w:r>
        <w:t>POSSIBLE 2023: Robustness challenges in Reinforcement Learning based time-critical cloud resource scheduling: A Meta-Learning based solution — https://doi.org/10.1016/j.future.2023.03.029</w:t>
      </w:r>
    </w:p>
    <w:p>
      <w:r>
        <w:t>Shared claim-specific concepts: based, robustness, learning, robust; EU scope not established. This is a provisional connection, not an outcome finding.</w:t>
      </w:r>
    </w:p>
    <w:p>
      <w:r>
        <w:t>Available abstract (not full text): Cloud computing attracts increasing attention in processing dynamic computing tasks and automating the software development and operation pipeline. In many cases, the computing tasks have strict deadlines. The cloud resource manager (e.g., orchestrator) effectively manages the resources and provides tasks Quality of Service (QoS). Cloud task scheduling is tricky due to the dynamic nature of task workload and resource availability. Reinforcement Learning (RL) has attracted lots of research attention in scheduling. However, those RL-based approaches suffer from low scheduling performance robustness when the task workload and resource availability change, particularly when handling time-critical tasks. This paper focuses on both challenges of robustness and deadline guarantee among such RL, specifically Deep RL (DRL)-based scheduling approaches. We quantify the robustness measurements as the retraining time and investigate how to improve both robustness and deadline guarantee of DRL-based scheduling. We propose MLR-TC-DRLS, a practical, robust Meta Deep Reinforcement Learning-based scheduling solution to provide time-critical tasks deadline guarantee and fast adaptation under highly dynamic situations. We comprehensively evaluate MLR-TC-DRLS performance against RL-based and RL advanced variants-based scheduling approaches using real-world and synthetic data. The evaluations valida</w:t>
      </w:r>
    </w:p>
    <w:p>
      <w:r>
        <w:t>POSSIBLE 2023: Beyond generalization: a theory of robustness in machine learning — https://doi.org/10.1007/s11229-023-04334-9</w:t>
      </w:r>
    </w:p>
    <w:p>
      <w:r>
        <w:t>Shared claim-specific concepts: robustness, learning, uncertainty; EU scope not established. This is a provisional connection, not an outcome finding.</w:t>
      </w:r>
    </w:p>
    <w:p>
      <w:r>
        <w:t>Available abstract (not full text): Abstract The termrobustnessis ubiquitous in modern Machine Learning (ML). However, its meaning varies depending on context and community. Researchers either focus on narrow technical definitions, such as adversarial robustness, natural distribution shifts, and performativity, or they simply leave open what exactly they mean by robustness. In this paper, we provide a conceptual analysis of the termrobustness, with the aim to develop a common language, that allows us to weave together different strands of robustness research. We define robustness as the relative stability of a robustness target with respect to specific interventions on a modifier. Our account captures the various sub-types of robustness that are discussed in the research literature, including robustness to distribution shifts, prediction robustness, or the robustness of algorithmic explanations. Finally, we delineate robustness from adjacent key concepts in ML, such as extrapolation, generalization, and uncertainty, and establish it as an independent epistemic concept.</w:t>
      </w:r>
    </w:p>
    <w:p>
      <w:r>
        <w:t>POSSIBLE 2022: Privacy and Robustness in Federated Learning: Attacks and Defenses — https://doi.org/10.1109/tnnls.2022.3216981</w:t>
      </w:r>
    </w:p>
    <w:p>
      <w:r>
        <w:t>Shared claim-specific concepts: robustness, learning, robust; EU scope not established. This is a provisional connection, not an outcome finding.</w:t>
      </w:r>
    </w:p>
    <w:p>
      <w:r>
        <w:t>Available abstract (not full text): As data are increasingly being stored in different silos and societies becoming more aware of data privacy issues, the traditional centralized training of artificial intelligence (AI) models is facing efficiency and privacy challenges. Recently, federated learning (FL) has emerged as an alternative solution and continues to thrive in this new reality. Existing FL protocol designs have been shown to be vulnerable to adversaries within or outside of the system, compromising data privacy and system robustness. Besides training powerful global models, it is of paramount importance to design FL systems that have privacy guarantees and are resistant to different types of adversaries. In this article, we conduct a comprehensive survey on privacy and robustness in FL over the past five years. Through a concise introduction to the concept of FL and a unique taxonomy covering: 1) threat models; 2) privacy attacks and defenses; and 3) poisoning attacks and defenses, we provide an accessible review of this important topic. We highlight the intuitions, key techniques, and fundamental assumptions adopted by various attacks and defenses. Finally, we discuss promising future research directions toward robust and privacy-preserving FL, and their interplays with the multidisciplinary goals of FL.</w:t>
      </w:r>
    </w:p>
    <w:p>
      <w:r>
        <w:t>POSSIBLE 2022: Safe Learning in Robotics: From Learning-Based Control to Safe Reinforcement Learning — https://doi.org/10.1146/annurev-control-042920-020211</w:t>
      </w:r>
    </w:p>
    <w:p>
      <w:r>
        <w:t>Shared claim-specific concepts: robustness, learning, but; EU scope not established. This is a provisional connection, not an outcome finding.</w:t>
      </w:r>
    </w:p>
    <w:p>
      <w:r>
        <w:t>Available abstract (not full text): The last half decade has seen a steep rise in the number of contributions on safe learning methods for real-world robotic deployments from both the control and reinforcement learning communities. This article provides a concise but holistic review of the recent advances made in using machine learning to achieve safe decision-making under uncertainties, with a focus on unifying the language and frameworks used in control theory and reinforcement learning research. It includes learning-based control approaches that safely improve performance by learning the uncertain dynamics, reinforcement learning approaches that encourage safety or robustness, and methods that can formally certify the safety of a learned control policy. As data- and learning-based robot control methods continue to gain traction, researchers must understand when and how to best leverage them in real-world scenarios where safety is imperative, such as when operating in close proximityto humans. We highlight some of the open challenges that will drive the field of robot learning in the coming years, and emphasize the need for realistic physics-based benchmarks to facilitate fair comparisons between control and reinforcement learning approaches.</w:t>
      </w:r>
    </w:p>
    <w:p>
      <w:r>
        <w:t>POSSIBLE 2022: On Robustness in Optimization-Based Constrained Iterative Learning Control — https://doi.org/10.3929/ethz-b-000549153</w:t>
      </w:r>
    </w:p>
    <w:p>
      <w:r>
        <w:t>Shared claim-specific concepts: based, robustness, learning, robust, uncertainty; EU scope not established. This is a provisional connection, not an outcome finding.</w:t>
      </w:r>
    </w:p>
    <w:p>
      <w:r>
        <w:t>Available abstract (not full text): Iterative learning control (ILC) is a control strategy for repetitive tasks wherein information from previous runs is leveraged to improve future performance. Optimization-based ILC (OB-ILC) is a powerful design framework for constrained ILC where measurements from the process are integrated into an optimization algorithm to provide robustness against noise and modelling error. This paper proposes a robust ILC controller for constrained linear processes based on the forward-backward splitting algorithm. It demonstrates how structured uncertainty information can be leveraged to ensure constraint satisfaction and provides a rigorous stability analysis in the iteration domain by combining concepts from monotone operator theory and robust control. Numerical simulations of a precision motion stage support the theoretical results.</w:t>
      </w:r>
    </w:p>
    <w:p>
      <w:r>
        <w:t>POSSIBLE 2021: Possibilities of the Development of Edible Insect-Based Foods in Europe — https://doi.org/10.3390/foods10040766</w:t>
      </w:r>
    </w:p>
    <w:p>
      <w:r>
        <w:t>Shared claim-specific concepts: two, possibilities, but, not; EU scope visible. This is a provisional connection, not an outcome finding.</w:t>
      </w:r>
    </w:p>
    <w:p>
      <w:r>
        <w:t xml:space="preserve">Available abstract (not full text): All over the world, a large proportion of the population consume insects as part of their diet. In Western countries, however, the consumption of insects is perceived as a negative phenomenon. The consumption of insects worldwide can be considered in two ways: on the one hand, as a source of protein in countries affected by hunger, while, on the other, as an alternative protein in highly-developed regions, in response to the need for implementing policies of sustainable development. This review focused on both the regulations concerning the production and marketing of insects in Europe and the characteristics of edible insects that are most likely to establish a presence on the European market. The paper indicates numerous advantages of the consumption of insects, not only as a valuable source of protein but also as a raw material rich in valuable fatty acids, vitamins, and mineral salts. Attention was paid to the functional properties of proteins derived from insects, and to the possibility for using them in the production of functional food. The study also addresses the hazards which undoubtedly contribute to the mistrust and lowered acceptance of European consumers and points to the potential gaps in the knowledge concerning the breeding conditions, raw material processing and health safety. This set of analyzed data allows us to look optimistically at the possibilities for </w:t>
      </w:r>
    </w:p>
    <w:p>
      <w:r>
        <w:t>POSSIBLE 2021: Approval of artificial intelligence and machine learning-based medical devices in the USA and Europe (2015–20): a comparative analysis — https://doi.org/10.1016/s2589-7500(20)30292-2</w:t>
      </w:r>
    </w:p>
    <w:p>
      <w:r>
        <w:t>Shared claim-specific concepts: based, learning, increased; EU scope visible. This is a provisional connection, not an outcome finding.</w:t>
      </w:r>
    </w:p>
    <w:p>
      <w:r>
        <w:t>Available abstract (not full text): There has been a surge of interest in artificial intelligence and machine learning (AI/ML)-based medical devices. However, it is poorly understood how and which AI/ML-based medical devices have been approved in the USA and Europe. We searched governmental and non-governmental databases to identify 222 devices approved in the USA and 240 devices in Europe. The number of approved AI/ML-based devices has increased substantially since 2015, with many being approved for use in radiology. However, few were qualified as high-risk devices. Of the 124 AI/ML-based devices commonly approved in the USA and Europe, 80 were first approved in Europe. One possible reason for approval in Europe before the USA might be the potentially relatively less rigorous evaluation of medical devices in Europe. The substantial number of approved devices highlight the need to ensure rigorous regulation of these devices. Currently, there is no specific regulatory pathway for AI/ML-based medical devices in the USA or Europe. We recommend more transparency on how devices are regulated and approved to enable and improve public trust, efficacy, safety, and quality of AI/ML-based medical devices. A comprehensive, publicly accessible database with device details for Conformité Européene (CE)-marked medical devices in Europe and US Food and Drug Administration approved devices is needed.</w:t>
      </w:r>
    </w:p>
    <w:p>
      <w:r>
        <w:t>POSSIBLE 2021: Time-sequencing European options and pricing with deep learning – Analyzing based on interpretable ALE method — https://doi.org/10.1016/j.eswa.2021.115951</w:t>
      </w:r>
    </w:p>
    <w:p>
      <w:r>
        <w:t>Shared claim-specific concepts: based, learning, method; EU scope visible. This is a provisional connection, not an outcome finding.</w:t>
      </w:r>
    </w:p>
    <w:p>
      <w:r>
        <w:t>Available abstract (not full text): Unavailable</w:t>
      </w:r>
    </w:p>
    <w:p>
      <w:pPr>
        <w:pStyle w:val="Heading2"/>
      </w:pPr>
      <w:r>
        <w:t>After-crisis Scenarios for the European Regions</w:t>
      </w:r>
    </w:p>
    <w:p>
      <w:r>
        <w:t>Original source (2012): https://doi.org/10.2457/srs.42.3</w:t>
      </w:r>
    </w:p>
    <w:p>
      <w:r>
        <w:t>Original wording (abstract; indexed_source_text_not_full_document_verified): What is called a “reference scenario” is built under the assumption that there will be a perception that structural changes will happen, that an extrapolation of past trends has no meaning at all, but that policies will not act in an effective way. This scenario will be compared to a second one, called the pro-active scenario, in which changes will be perceived and even anticipated; and to the re-active or defensive one, based on the assumptions that changes are not fully perceived by economic actors.</w:t>
      </w:r>
    </w:p>
    <w:p>
      <w:r>
        <w:t>POSSIBLE 2026: The New European Bauhaus Academy: a novel skills, knowledge and innovation platform to boost sustainable construction within the built environment — https://doi.org/10.5281/zenodo.20586709</w:t>
      </w:r>
    </w:p>
    <w:p>
      <w:r>
        <w:t>Shared claim-specific concepts: reference, built, all, one; EU scope visible. This is a provisional connection, not an outcome finding.</w:t>
      </w:r>
    </w:p>
    <w:p>
      <w:r>
        <w:t>Available abstract (not full text): The New European Bauhaus (NEB) is a policy initiative of the European Commission aiming ‘to make the built environment beautiful, sustainable and inclusive’. It has inspired a large grassroots movement: about 2,000 organisations and 500 projects are co-creating and testing new visions and practices, how local neighborhoods, communities, and the built environment at large can become more liveable, affordable, resilient, and sustainable. Through NEB, wood building materials gained a lot of interest by architects, builders and public authorities, being recognized as an aesthetic, healthy material and a decisive lever to decarbonize buildings. A significant bottleneck is the need for skilled workers and educated professionals capable of transforming the construction ecosystem towards a regenerative model. To address this gap, the NEB Academy will establish a European point of reference for knowledge, skills, and innovation in bio-based, circular, and digital solutions for the built environment, providing a full support system for practitioners by integrating different EU funding instruments. The NEBA Alliance project was tasked to set the foundation of the NEB Academy: it launched a European network of 14 organisations in education and training from 11 countries and co-designed a governance structure of 4 regional training hubs under one common umbrella. A series of pilot trainings</w:t>
      </w:r>
    </w:p>
    <w:p>
      <w:r>
        <w:t>POSSIBLE 2026: Public perception of dermatologists in Europe — https://openalex.org/W7171337581</w:t>
      </w:r>
    </w:p>
    <w:p>
      <w:r>
        <w:t>Shared claim-specific concepts: perception, past, all, second, perceived;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2023: Public perception of dermatologists in Europe: Results from a population‐based survey — https://doi.org/10.1111/jdv.18988</w:t>
      </w:r>
    </w:p>
    <w:p>
      <w:r>
        <w:t>Shared claim-specific concepts: perception, past, all, second, perceived; EU scope visible. This is a provisional connection, not an outcome finding.</w:t>
      </w:r>
    </w:p>
    <w:p>
      <w:r>
        <w:t>Available abstract (not full text): BACKGROUND: The public perception of dermatology has been poorly investigated in Europe. OBJECTIVE: To determine the general public's perception of dermatologists in Europe. METHODS: This multinational, cross-sectional study was conducted within the framework of the EADV population-based survey on the 'Burden of skin diseases in Europe'. Data were collected using a web-based online survey on a representative sample of the general populations aged 18 years or more of 27 European countries. Proportional quota sampling with replacement design was used for each country. RESULTS: A total of 44,689 adult participants responded to the questionnaire, of whom 18,004 visited a dermatologist in the preceding 3 years. The dermatologist was the second most often visited specialist among all medical specialties, with 69.7%, 72.1%, 42.1% and 78.1% of participants in Western Europe (WE), Eastern Europe (EE), Northern Europe (NE) and Southern Europe (SE), respectively, having consulted a dermatologist over the past 24 months. Most participants across all regions agreed that the dermatologist was the first healthcare provider for chronic skin diseases (61.9% in WE, 69.8% in EE, 45.7% in NE and 60.4% in SE) and for skin cancers (65.5% in WE, 67.6% in EE, 42.4% in NE and 63.0% in SE). The five most common reasons for visiting a dermatologist among all participants were: naevi check-up or skin canc</w:t>
      </w:r>
    </w:p>
    <w:p>
      <w:r>
        <w:t>POSSIBLE 2022: The 2018–2020 Multi‐Year Drought Sets a New Benchmark in Europe — https://doi.org/10.1029/2021ef002394</w:t>
      </w:r>
    </w:p>
    <w:p>
      <w:r>
        <w:t>Shared claim-specific concepts: past, but, not, compared; EU scope visible. This is a provisional connection, not an outcome finding.</w:t>
      </w:r>
    </w:p>
    <w:p>
      <w:r>
        <w:t>Available abstract (not full text):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r>
        <w:t>POSSIBLE 2022: Shepherd on Meaning, Reference, and Perception — https://doi.org/10.32881/jomp.234</w:t>
      </w:r>
    </w:p>
    <w:p>
      <w:r>
        <w:t>Shared claim-specific concepts: reference, perception, meaning; EU scope not established. This is a provisional connection, not an outcome finding.</w:t>
      </w:r>
    </w:p>
    <w:p>
      <w:r>
        <w:t>Available abstract (not full text): The aim of this paper is to present an interpretation of Shepherd’s account of our most fundamental cognitive powers, most especially the faculty that Shepherd calls perception, which she claims is a unity of contributions from the understanding and the senses. I find that Shepherd is what we would nowadays call a meaning holist: she holds that the meaning of any natural-kind term is constituted by its place in a system of definitions, which system specifies the causal roles of the objects its terms name. Such an account of meaning raises questions about the contact that such a system of definitions, or conceptual scheme, makes with the world. The natural place to seek answers to these questions is in Shepherd’s account of perception, which I argue Shepherd takes to be our most fundamental cognitive faculty. Our cognitive lives begin with perceptions, representations of objects as the cause of those very perceptions of them. With this interpretation in hand, I draw a contrast between it and Boyle’s and Lolordo’s recent work on Shepherd’s theory of meaning. I argue that for Shepherd truths about the causal powers of objects are analytic, and that the relevant empirical questions answered by science concern whether our conceptual scheme accurately represents the world. Finally, I provide additional support for this interpretation by showing that it comports with Shepherd’s critic</w:t>
      </w:r>
    </w:p>
    <w:p>
      <w:r>
        <w:t>POSSIBLE 2021: Towards peace in Europe: on legal linguistics, prosperity and European identity – the European Reference Language System for the European Union — https://doi.org/10.1515/ijld-2021-2044</w:t>
      </w:r>
    </w:p>
    <w:p>
      <w:r>
        <w:t>Shared claim-specific concepts: reference, all, not, way; EU scope visible. This is a provisional connection, not an outcome finding.</w:t>
      </w:r>
    </w:p>
    <w:p>
      <w:r>
        <w:t>Available abstract (not full text): Abstract The European Union is a legal community of hundreds of millions of people, established in a single market through European law. This is tied to language and translation into 24 official languages, each with equally authentic status. However, this leads to considerable legal differences between Member States and underscores the dominance of English, at the Court of Justice that of French (monolingualism), both of which have no legal foundation. Rule-of-law order (Rechtsstaatlichkeit) is created by the European Reference Language System (Europäisches Referenzsprachensystem), which is presented here as a tool for the urgently required reform of the language laws in the European Union: Not having a hegemonial focus on a single language (and thus on a single legal world) or on the exclusivity of some few languages, it offers a legal-linguistic basis of communication with all treaty languages of the European Union for a clear European law and prosperity. The official languages of the Member States thus preserve the mother tongue reality of the citizens in the sense of the subsidiarity principle (multilingualism). In this way, the citizens and their Union acquire a legally valid voice and identity. This seems necessary in the face of the present restructuring of the world, in order to maintain peace for the people in Europe and to continue promoting their well-being. The basi</w:t>
      </w:r>
    </w:p>
    <w:p>
      <w:r>
        <w:t>POSSIBLE 2021: Common European Framework of Reference (CEFR): A Review on Teachers’ Perception &amp; Plurilingualism — https://doi.org/10.4236/ce.2021.124051</w:t>
      </w:r>
    </w:p>
    <w:p>
      <w:r>
        <w:t>Shared claim-specific concepts: reference, there, perception, second; EU scope visible. This is a provisional connection, not an outcome finding.</w:t>
      </w:r>
    </w:p>
    <w:p>
      <w:r>
        <w:t>Available abstract (not full text): Common Framework of Reference (CEFR) is a document produced by the council of Europe (CoE) to set a standard for teaching and learning English as the Second Language (ESL). Propelled by the need to situate Malaysia English language parallel to the standard of the European countries, the Ministry of Education Malaysia rushed the adaptation of CEFR framework into Malaysia education system. Teachers’ lack of training and understanding onCEFR as well as unsuitable content used in the textbook are among the main challenges faced by teachers to name a few. Nonetheless, the key concept of Plurilingualism which served as the principle in CEFR has been given very minimal focus in the syllabus. Considering Malaysia as a multilingual and multicultural country, there is a potential of English Second Language learners to benefit from the concept of plurilingualism given appropriate training and exposure given to the teachers as the gatekeeper of knowledge and information. In fact, plurilingualism could also be the missing piece that could help aid teachers’ understanding of the framework better.</w:t>
      </w:r>
    </w:p>
    <w:p>
      <w:r>
        <w:t>POSSIBLE 2020: Public perception of air pollution sources across Europe — https://doi.org/10.1007/s13280-020-01450-5</w:t>
      </w:r>
    </w:p>
    <w:p>
      <w:r>
        <w:t>Shared claim-specific concepts: perception, all, one; EU scope visible. This is a provisional connection, not an outcome finding.</w:t>
      </w:r>
    </w:p>
    <w:p>
      <w:r>
        <w:t>Available abstract (not full text): Air pollution is one of the primary concerns of our society for its effect on human health and the environment. Among the policy measures that can be put in place to limit air pollutant emissions, end-of-pipe technologies and/or regulatory instruments may be implemented through legislative acts. Also, equally important are behavioural measures, requiring citizens' active involvement. The success of any measure to limit pollutant emissions requires the acceptance by the citizens that, in turn, implies a correct perception of the main pollutant emission drivers. We present here the comparison between the public perception of air pollution sources and the real-world situation through a survey carried out in seven European countries and involving 16 101 respondents. Our study shows a dramatic underestimation of the contribution of the agri-food sector to air pollution. This result is common to all respondents in the seven countries examined and only to a small extent depends on gender, age and socio-economic status of the respondents.</w:t>
      </w:r>
    </w:p>
    <w:p>
      <w:r>
        <w:t>POSSIBLE 2019: Household carbon footprint patterns by the degree of urbanisation in Europe — https://doi.org/10.1088/1748-9326/ab443d</w:t>
      </w:r>
    </w:p>
    <w:p>
      <w:r>
        <w:t>Shared claim-specific concepts: all, but, not; EU scope visible. This is a provisional connection, not an outcome finding.</w:t>
      </w:r>
    </w:p>
    <w:p>
      <w:r>
        <w:t>Available abstract (not full text): Abstract Urbanisation increases household carbon footprints in developing economies. However, the results from developed countries have varied, particularly in Europe. This study provides a coherent comparison of the impact of the degree of urbanisation on income, expenditure and carbon footprints in Europe. On average, carbon footprints are 7% lower in cities than in rural areas when income and household characteristics are controlled. However, this is compensated by the 6% higher average income in cities. The patterns are not uniform in all countries. In Eastern Europe, the pattern is similar to other developing regions. In some Western European countries, both the income level and the carbon footprints are lower in urban areas than in rural areas. In the rest of Europe, the differences in income level between rural and urban areas are small, but they still largely compensate for the efficiency benefits of urban areas. We call for more systemic emissions accounting and climate strategies.</w:t>
      </w:r>
    </w:p>
    <w:p>
      <w:r>
        <w:t>POSSIBLE 2019: Plantation forests in Europe: challenges and opportunities — https://doi.org/10.36333/fs09</w:t>
      </w:r>
    </w:p>
    <w:p>
      <w:r>
        <w:t>Shared claim-specific concepts: there, past, but, policies, not, effective; EU scope visible. This is a provisional connection, not an outcome finding.</w:t>
      </w:r>
    </w:p>
    <w:p>
      <w:r>
        <w:t>Available abstract (not full text): The Sustainable Development Goals, Paris Climate Agreement, the Forest Europe process, and EU targets and policies set new demands for European forests. These include helping to mitigate climate change, providing goods and services, gen-erating jobs and acting as a source of fuel and mate-rials. The development of an innovative, sustainable bioeconomy is a key strategy, and in Europe forestry is expected to play a major part in supplying the feed-stock and services required. Plantation forests can play a key role in meeting these objectives. Globally forest area continues to decline, from 4.3 billion hectares to 4 billion hectares during the period 1990 to 2015. However, over the same timeframe the area of planted forests has in-creased, and they now comprise 7% of the total glob-al forest area and provide about 33% of the world’s roundwood.In Europe, the area of plantation forestry is also in-creasing, together with the proportion of roundwood and other services provided by plantation forests. There is new evidence that the sustainable manage-ment of plantations, particularly as part of a land-scape-scale mosaic, has strong potential to deliver against Europe’s emerging policy priorities. The scientific evidence on how best to achieve these targets, while achieving multifunctionality and maxi-mizing the synergies between ecosystem services is key to the success of future fores</w:t>
      </w:r>
    </w:p>
    <w:p>
      <w:r>
        <w:t>POSSIBLE 2018: Europe - a project worthy of being built — https://doi.org/10.21814/unio.4.1.3</w:t>
      </w:r>
    </w:p>
    <w:p>
      <w:r>
        <w:t>Shared claim-specific concepts: built, all, but, not, way, second; EU scope visible. This is a provisional connection, not an outcome finding.</w:t>
      </w:r>
    </w:p>
    <w:p>
      <w:r>
        <w:t>Available abstract (not full text): Sixty years after the emergence of the EU, it is still a challenge to educate citizens about European themes and to really involve them in the integration process. This requires the pursuit for solutions and adequate responses from institutions, among others. But, what does it mean to be a European citizen? Does it make sense to use the concept of “citizenship” beyond the national borders? With the purpose of addressing these questions, this paper is divided into three parts. The first part addresses the definition of citizenship within the borders of a Nation State and, looks at the relationship between nationality and identity emphasized by the philosopher Thomas H. Marshall. The second turns to the European citizenship, looking at the political developments under which this concept has been given greater prominence, becoming both a source of legitimation of the European integration process and a fundamental factor in the creation among citizens of a European identity. Citizenship of the Union treasures the indisputable virtue of being the first political and legal materialisation of a citizenship at a transnational level. Nevertheless, at the time like the present, when nationalist and xenophobic feelings against the EU are on the rise and national egoism is becoming an attractive alternative to integration, the European identity struggles to attain a legitimate status in th</w:t>
      </w:r>
    </w:p>
    <w:p>
      <w:r>
        <w:t>POSSIBLE 2018: The Challenges of Urban Ageing: Making Cities Age-Friendly in Europe — https://doi.org/10.3390/ijerph15112473</w:t>
      </w:r>
    </w:p>
    <w:p>
      <w:r>
        <w:t>Shared claim-specific concepts: way, compared, one; EU scope visible. This is a provisional connection, not an outcome finding.</w:t>
      </w:r>
    </w:p>
    <w:p>
      <w:r>
        <w:t>Available abstract (not full text): Urban ageing is an emerging domain that deals with the population of older people living in cities. The ageing of society is a positive yet challenging phenomenon, as population ageing and urbanisation are the culmination of successful human development. One could argue whether the city environment is an ideal place for people to grow old and live at an old age compared to rural areas. This viewpoint article explores and describes the challenges that are encountered when making cities age-friendly in Europe. Such challenges include the creation of inclusive neighbourhoods and the implementation of technology for ageing-in-place. Examples from projects in two age-friendly cities in The Netherlands (The Hague) and Poland (Cracow) are shown to illustrate the potential of making cities more tuned to the needs of older people and identify important challenges for the next couple of years. Overall, the global ageing of urban populations calls for more age-friendly approaches to be implemented in our cities. It is a challenge to prepare for these developments in such a way that both current and future generations of older people can benefit from age-friendly strategies.</w:t>
      </w:r>
    </w:p>
    <w:p>
      <w:pPr>
        <w:pStyle w:val="Heading2"/>
      </w:pPr>
      <w:r>
        <w:t>An assessment of the impact of climate adaptation measures to reduce flood risk on ecosystem services</w:t>
      </w:r>
    </w:p>
    <w:p>
      <w:r>
        <w:t>Original source (2012): https://doi.org/10.1007/s10980-012-9715-6</w:t>
      </w:r>
    </w:p>
    <w:p>
      <w:r>
        <w:t>Original wording (abstract; indexed_source_text_not_full_document_verified): Therefore, it is likely that adaptation measures may result in synergies and trade-offs between a range of ecosystems goods and services. The reference scenario is compared to a policy scenario in which a range of measures is implemented to regulate flood risk and protect soils under conditions of climate change.</w:t>
      </w:r>
    </w:p>
    <w:p>
      <w:r>
        <w:t>POSSIBLE 2024: Aneuploidy Can Be an Evolutionary Diversion on the Path to Adaptation — https://doi.org/10.1093/molbev/msae052</w:t>
      </w:r>
    </w:p>
    <w:p>
      <w:r>
        <w:t>Shared claim-specific concepts: therefore, likely, adaptation, compared, conditions; EU scope not established. This is a provisional connection, not an outcome finding.</w:t>
      </w:r>
    </w:p>
    <w:p>
      <w:r>
        <w:t>Available abstract (not full text): Aneuploidy is common in eukaryotes, often leading to decreased fitness. However, evidence from fungi and human tumur cells suggests that specific aneuploidies can be beneficial under stressful conditions and facilitate adaptation. In a previous evolutionary experiment with yeast, populations evolving under heat stress became aneuploid, only to later revert to euploidy after beneficial mutations accumulated. It was therefore suggested that aneuploidy is a "stepping stone" on the path to adaptation. Here, we test this hypothesis. We use Bayesian inference to fit an evolutionary model with both aneuploidy and mutation to the experimental results. We then predict the genotype frequency dynamics during the experiment, demonstrating that most of the evolved euploid population likely did not descend from aneuploid cells, but rather from the euploid wild-type population. Our model shows how the beneficial mutation supply-the product of population size and beneficial mutation rate-determines the evolutionary dynamics: with low supply, much of the evolved population descends from aneuploid cells; but with high supply, beneficial mutations are generated fast enough to outcompete aneuploidy due to its inherent fitness cost. Our results suggest that despite its potential fitness benefits under stress, aneuploidy can be an evolutionary "diversion" rather than a "stepping stone": it can delay</w:t>
      </w:r>
    </w:p>
    <w:p>
      <w:r>
        <w:t>POSSIBLE 2023: Environmental effects on genetic variance are likely to constrain adaptation in novel environments — https://doi.org/10.1093/evlett/qrad065</w:t>
      </w:r>
    </w:p>
    <w:p>
      <w:r>
        <w:t>Shared claim-specific concepts: likely, adaptation, between, conditions; EU scope not established. This is a provisional connection, not an outcome finding.</w:t>
      </w:r>
    </w:p>
    <w:p>
      <w:r>
        <w:t>Available abstract (not full text):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(Senecio, Asteraceae) adapted to high and low elevations on Mt. Etna. Using a quantitative genetic breeding design, we generated and then reciprocally planted c. 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select</w:t>
      </w:r>
    </w:p>
    <w:p>
      <w:r>
        <w:t>POSSIBLE 2021: Environmental effects on genetic variance are likely to constrain adaptation in novel environments — https://doi.org/10.1101/2021.02.08.430333</w:t>
      </w:r>
    </w:p>
    <w:p>
      <w:r>
        <w:t>Shared claim-specific concepts: likely, adaptation, between, conditions; EU scope not established. This is a provisional connection, not an outcome finding.</w:t>
      </w:r>
    </w:p>
    <w:p>
      <w:r>
        <w:t>Available abstract (not full text): Abstract Adaptive plasticity allows populations to cope with environmental variation but is expected to fail as conditions become unfamiliar. In novel conditions, populations may instead rely on rapid adaptation to increase fitness and avoid extinction. Adaptation should be fastest when both plasticity and selection occur in directions of the multivariate phenotype that contain abundant genetic variation. However, tests of this prediction from field experiments are rare. Here, we quantify how additive genetic variance in a multivariate phenotype changes across an elevational gradient, and test whether plasticity and selection align with genetic variation. We do so using two closely related, but ecologically distinct, sister species of Sicilian daisy ( Senecio, Asteraceae) adapted to high and low elevations on Mount Etna. Using a paternal half-sibling breeding design, we generated and then reciprocally planted c.19,000 seeds of both species, across an elevational gradient spanning each species’ native elevation, and then quantified mortality and five leaf traits of emergent seedlings. We found that genetic variance in leaf traits changed more across elevations than between species. The high-elevation species at novel lower elevations showed changes in the distribution of genetic variance among the leaf traits, which reduced the amount of genetic variance in the directions of sel</w:t>
      </w:r>
    </w:p>
    <w:p>
      <w:r>
        <w:t>POSSIBLE 2020: Parallel flowering time clines in native and introduced ragweed populations are likely due to adaptation — https://doi.org/10.1002/ece3.6163</w:t>
      </w:r>
    </w:p>
    <w:p>
      <w:r>
        <w:t>Shared claim-specific concepts: likely, adaptation, result, between, range, climate; EU scope visible. This is a provisional connection, not an outcome finding.</w:t>
      </w:r>
    </w:p>
    <w:p>
      <w:r>
        <w:t>Available abstract (not full text):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North American clines in size and the parallel clines seen for flowering time a</w:t>
      </w:r>
    </w:p>
    <w:p>
      <w:r>
        <w:t>POSSIBLE 2020: Synergies and Trade-Offs in Reaching the Sustainable Development Goals — https://doi.org/10.3390/su12208729</w:t>
      </w:r>
    </w:p>
    <w:p>
      <w:r>
        <w:t>Shared claim-specific concepts: synergies, trade-offs, between; EU scope not established. This is a provisional connection, not an outcome finding.</w:t>
      </w:r>
    </w:p>
    <w:p>
      <w:r>
        <w:t>Available abstract (not full text): The Sustainable Development Goals (SDGs) adopted in 2015 integrate diverse issues such as addressing hunger, gender equality and clean energy and set a common agenda for all United Nations member states until 2030. The 17 SDGs interact and by working towards achieving one goal countries may further—or jeopardise—progress on others. However, the direction and strength of these interactions are still poorly understood and it remains an analytical challenge to capture the relationships between the multi-dimensional goals, comprising 169 targets and over 200 indicators. Here, we use principal component analysis (PCA), an in this context novel approach, to summarise each goal and interactions in the global SDG agenda. Applying PCA allows us to map trends, synergies and trade-offs at the level of goals for all SDGs while using all available information on indicators. While our approach does not allow us to investigate causal relationships, it provides important evidence of the degree of compatibility of goal attainment over time. Based on global data 2000–2016, our results indicate that synergies between and within the SDGs prevail, both in terms of levels and over time change. An exception is SDG 10 ‘Reducing inequalities’ which has not progressed in tandem with other goals.</w:t>
      </w:r>
    </w:p>
    <w:p>
      <w:r>
        <w:t>POSSIBLE 2020: Trade-offs and synergies in the ecosystem service demand of urban brownfield stakeholders — https://doi.org/10.1016/j.ecoser.2020.101074</w:t>
      </w:r>
    </w:p>
    <w:p>
      <w:r>
        <w:t>Shared claim-specific concepts: therefore, synergies, trade-offs, between, range, services; EU scope not established. This is a provisional connection, not an outcome finding.</w:t>
      </w:r>
    </w:p>
    <w:p>
      <w:r>
        <w:t>Available abstract (not full text): Brownfield site redevelopment presents an opportunity to create urban green spaces that provide a wide range of ecosystem services. It is important, therefore, to understand which ecosystem services are demanded by stakeholders and whether there are trade-offs or synergies in this demand. We performed a quantitative survey of ecosystem service demand from brownfield sites that included all major stakeholder groups. Results showed that there was a strong trade-off between demand for services related to property development (e.g. ground strength and low flood risk) and all other services, which were linked to vegetated sites. There was a secondary, but weak, trade-off between demand for services of more ‘natural’ vegetated sites (e.g. with a biodiversity protection role) and those linked to aesthetics and recreation. Stakeholders with a strong preference for biodiversity protection formed a distinct group in their ecosystem service demands. While a ‘development’ vs ‘green space’ trade-off may be unavoidable, the general lack of strong trade-offs in demand for other services indicated that the creation of multifunctional greenspaces from former brownfield sites would be desirable to most stakeholders, as long as these are biophysically possible.</w:t>
      </w:r>
    </w:p>
    <w:p>
      <w:r>
        <w:t>POSSIBLE 2019: Parallel clines in native and introduced ragweed populations are likely due to adaptation — https://doi.org/10.1101/773838</w:t>
      </w:r>
    </w:p>
    <w:p>
      <w:r>
        <w:t>Shared claim-specific concepts: likely, adaptation, result, between, range, climate; EU scope visible. This is a provisional connection, not an outcome finding.</w:t>
      </w:r>
    </w:p>
    <w:p>
      <w:r>
        <w:t xml:space="preserve">Available abstract (not full text): Abstract As introduced species expand their ranges, they often encounter differences in climate which are often correlated with geography. For introduced species, encountering a geographically variable climate sometimes leads to the re-establishment of clines seen in the native range. However, clines can also be caused by neutral processes, and so it is important to gather additional evidence that population differentiation is the result of selection as opposed to non-adaptive processes. Here, we examine phenotypic and genetic differences in ragweed from the native (North America) and introduced (European) ranges. We used a common garden to assess phenotypic differentiation in size and flowering time in ragweed populations. We found significant parallel clines in flowering time in both North America and Europe. Height and branch number had significant clines in North America and, while not statistically significant, the patterns in Europe were the same. We used SNP data to assess population structure in both ranges and to compare phenotypic differentiation to neutral genetic variation. We failed to detect significant patterns of isolation by distance, geographic patterns in population structure, or correlations between the major axes of SNP variation and phenotypes or latitude of origin. We conclude that the clines seen for flowering time and size are most likely the result of </w:t>
      </w:r>
    </w:p>
    <w:p>
      <w:r>
        <w:t>POSSIBLE 2018: Intercultural Scale Adaptation Stages, Language and Culture Adaptation: Updated Guideline — https://doi.org/10.26650/fnjn397481</w:t>
      </w:r>
    </w:p>
    <w:p>
      <w:r>
        <w:t>Shared claim-specific concepts: therefore, likely, adaptation, between; EU scope not established. This is a provisional connection, not an outcome finding.</w:t>
      </w:r>
    </w:p>
    <w:p>
      <w:r>
        <w:t xml:space="preserve">Available abstract (not full text): The fact that many of the scales developed in English are translated requires much analysis in order to ensure equality of the scale in terms of culture and language. This assessment gains more importance with increasing language and cultural differences between the source country (where the scale was developed) and the target country. Additionally, there can be differences likely to affect the validity and reliability of the scale, even in cultures that are very similar in terms of level of development, social life, or values. Despite all these difficulties, the use of the adapted scale saves time, increases the generalization capacity of the data collected, and allows scholars to research the similarities and differences between the societies where the measurements are carried out. Also, valid and reliable tools contribute significant findings to measuring the outcomes of nursing care. However, two important questions need to be analyzed carefully before an adaptation is performed. The first question is whether or not the planned adaptation of the scale is truly necessary. The second question is whether or not the suggested scale for adaptation is really the best tool. How people express emotions, thoughts, and behaviors vary between societies. Therefore, any necessary changes should be made during the scale adaptation by taking into account the variable structure. The steps </w:t>
      </w:r>
    </w:p>
    <w:p>
      <w:r>
        <w:t>POSSIBLE 2017: The FLC Locus: A Platform for Discoveries in Epigenetics and Adaptation — https://doi.org/10.1146/annurev-cellbio-100616-060546</w:t>
      </w:r>
    </w:p>
    <w:p>
      <w:r>
        <w:t>Shared claim-specific concepts: therefore, adaptation, regulate; EU scope not established. This is a provisional connection, not an outcome finding.</w:t>
      </w:r>
    </w:p>
    <w:p>
      <w:r>
        <w:t>Available abstract (not full text): Our understanding of the detailed molecular mechanisms underpinning adaptation is still poor. One example for which mechanistic understanding of regulation has converged with studies of life history variation is Arabidopsis thaliana FLOWERING LOCUS C (FLC). FLC determines the need for plants to overwinter and their ability to respond to prolonged cold in a process termed vernalization. This review highlights how molecular analysis of vernalization pathways has revealed important insight into antisense-mediated chromatin silencing mechanisms that regulate FLC. In turn, such insight has enabled molecular dissection of the diversity in vernalization across natural populations of A. thaliana. Changes in both cotranscriptional regulation and epigenetic silencing of FLC are caused by noncoding polymorphisms at FLC. The FLC locus is therefore providing important concepts for how noncoding transcription and chromatin regulation influence gene expression and how these mechanisms can vary to underpin adaptation in natural populations.</w:t>
      </w:r>
    </w:p>
    <w:p>
      <w:r>
        <w:t>POSSIBLE 2017: Cross-Adaptation: Heat and Cold Adaptation to Improve Physiological and Cellular Responses to Hypoxia — https://doi.org/10.1007/s40279-017-0717-z</w:t>
      </w:r>
    </w:p>
    <w:p>
      <w:r>
        <w:t>Shared claim-specific concepts: therefore, likely, adaptation, between; EU scope not established. This is a provisional connection, not an outcome finding.</w:t>
      </w:r>
    </w:p>
    <w:p>
      <w:r>
        <w:t>Available abstract (not full text): To prepare for extremes of heat, cold or low partial pressures of oxygen (O 2 ), humans can undertake a period of acclimation or acclimatization to induce environment-specific adaptations, e.g. heat acclimation (HA), cold acclimation (CA), or altitude training. While these strategies are effective, they are not always feasible due to logistical impracticalities. Cross-adaptation is a term used to describe the phenomenon whereby alternative environmental interventions, e.g. HA or CA, may be a beneficial alternative to altitude interventions, providing physiological stress and inducing adaptations observable at altitude. HA can attenuate physiological strain at rest and during moderate-intensity exercise at altitude via adaptations allied to improved O 2 delivery to metabolically active tissue, likely following increases in plasma volume and reductions in body temperature. CA appears to improve physiological responses to altitude by attenuating the autonomic response to altitude. While no cross-acclimation-derived exercise performance/capacity data have been measured following CA, post-HA improvements in performance underpinned by aerobic metabolism, and therefore dependent on O 2 delivery at altitude, are likely. At a cellular level, heat shock protein responses to altitude are attenuated by prior HA, suggesting that an attenuation of the cellular stress response and therefore a</w:t>
      </w:r>
    </w:p>
    <w:p>
      <w:r>
        <w:t>POSSIBLE 2017: Epigenetic and Genetic Contributions to Adaptation in Chlamydomonas — https://doi.org/10.1093/molbev/msx166</w:t>
      </w:r>
    </w:p>
    <w:p>
      <w:r>
        <w:t>Shared claim-specific concepts: adaptation, between; EU scope not established. This is a provisional connection, not an outcome finding.</w:t>
      </w:r>
    </w:p>
    <w:p>
      <w:r>
        <w:t>Available abstract (not full text): Epigenetic modifications, such as DNA methylation or histone modifications, can be transmitted between cellular or organismal generations. However, there are no experiments measuring their role in adaptation, so here we use experimental evolution to investigate how epigenetic variation can contribute to adaptation. We manipulated DNA methylation and histone acetylation in the unicellular green alga Chlamydomonas reinhardtii both genetically and chemically to change the amount of epigenetic variation generated or transmitted in adapting populations in three different environments (salt stress, phosphate starvation, and high CO2) for two hundred asexual generations. We find that reducing the amount of epigenetic variation available to populations can reduce adaptation in environments where it otherwise happens. From genomic and epigenomic sequences from a subset of the populations, we see changes in methylation patterns between the evolved populations over-represented in some functional categories of genes, which is consistent with some of these differences being adaptive. Based on whole genome sequencing of evolved clones, the majority of DNA methylation changes do not appear to be linked to cis-acting genetic mutations. Our results show that transgenerational epigenetic effects play a role in adaptive evolution, and suggest that the relationship between changes in methylation p</w:t>
      </w:r>
    </w:p>
    <w:p>
      <w:r>
        <w:t>POSSIBLE 2016: An uncertain future, deep uncertainty, scenarios, robustness and adaptation: How do they fit together? — https://doi.org/10.1016/j.envsoft.2016.03.014</w:t>
      </w:r>
    </w:p>
    <w:p>
      <w:r>
        <w:t>Shared claim-specific concepts: adaptation, conditions, climate; EU scope not established. This is a provisional connection, not an outcome finding.</w:t>
      </w:r>
    </w:p>
    <w:p>
      <w:r>
        <w:t>Available abstract (not full text): A highly uncertain future due to changes in climate, technology and socio-economics has led to the realisation that identification of “best-guess” future conditions might no longer be appropriate. Instead, multiple plausible futures need to be considered, which requires (i) uncertainties to be described with the aid of scenarios that represent coherent future pathways based on different sets of assumptions, (ii) system performance to be represented by metrics that measure insensitivity (i.e. robustness) to changes in future conditions, and (iii) adaptive strategies to be considered alongside their more commonly used static counterparts. However, while these factors have been considered in isolation previously, there has been a lack of discussion of the way they are connected. In order to address this shortcoming, this paper presents a multidisciplinary perspective on how the above factors fit together to facilitate the development of strategies that are best suited to dealing with a deeply uncertain future.</w:t>
      </w:r>
    </w:p>
    <w:p>
      <w:pPr>
        <w:pStyle w:val="Heading2"/>
      </w:pPr>
      <w:r>
        <w:t>Backcasting scenarios for Finland 2050 of low emissions</w:t>
      </w:r>
    </w:p>
    <w:p>
      <w:r>
        <w:t>Original source (2012): https://doi.org/10.1108/14636681211256099</w:t>
      </w:r>
    </w:p>
    <w:p>
      <w:r>
        <w:t>Original wording (abstract; indexed_source_text_not_full_document_verified): It is important to note, however, that in the way the exercise was carried out in this case, it is only possible to view future development through qualitative arguments. Purpose The objective of this paper is to present an example on how futures studies methodologies, especially backcasting, can be used to assist public policy formulation.</w:t>
      </w:r>
    </w:p>
    <w:p>
      <w:r>
        <w:t>POSSIBLE 2025: Factors that determine the level of participation in sport and exercise—an analyze of public policy for sport and exercise in European countries — https://doi.org/10.3389/fspor.2025.1633869</w:t>
      </w:r>
    </w:p>
    <w:p>
      <w:r>
        <w:t>Shared claim-specific concepts: important, exercise; EU scope visible. This is a provisional connection, not an outcome finding.</w:t>
      </w:r>
    </w:p>
    <w:p>
      <w:r>
        <w:t xml:space="preserve">Available abstract (not full text): Introduction: The burgeoning issue of physical inactivity on a global scale, prominently underscored by the World Health Organization (WHO) and the European Union (EU), poses significant health challenges. This necessitates a concerted effort to elevate levels of physical activity. This paper delves into the public policies concerning sport and exercise within EU countries to identify pivotal factors that encourage sports and exercise participation. Methods: Employing data from Eurostat, Eurobarometer, and Eurofound, this study investigates the patterns of sports participation across Europe. The analysis encompasses descriptive statistics, correlation analyses, and multivariate regression models, with a focus on variables such as economic prosperity, educational attainment, and governance quality. Results: The findings reveal a weak correlation between public expenditure on sports and participation rates. Interestingly, Eastern and Southern European countries allocate a proportionally higher share of their budgets to sports yet report lower participation rates. Moreover, the quality of governance and overall economic conditions emerge as important factors, displaying a robust association with participation rates and eclipsing the potential impact of direct government spending. Discussion: The study highlights the limited direct impact of public sports policies, emphasizing the </w:t>
      </w:r>
    </w:p>
    <w:p>
      <w:r>
        <w:t>POSSIBLE 2023: Bronchiectasis in Europe: data on disease characteristics from the European Bronchiectasis registry (EMBARC) — https://doi.org/10.1016/s2213-2600(23)00093-0</w:t>
      </w:r>
    </w:p>
    <w:p>
      <w:r>
        <w:t>Shared claim-specific concepts: important, case, used;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2021: Environmental Restrictions on the Exercise of Land Rights: European Experience — https://doi.org/10.33687/ijae.009.00.3963</w:t>
      </w:r>
    </w:p>
    <w:p>
      <w:r>
        <w:t>Shared claim-specific concepts: exercise, purpose, present; EU scope visible. This is a provisional connection, not an outcome finding.</w:t>
      </w:r>
    </w:p>
    <w:p>
      <w:r>
        <w:t>Available abstract (not full text): The current land reforms in Ukraine are aimed at supporting the rational use and protection of land protection. At the same time, as a result of difficult social, political and economic conditions, the processes of exercising rights to land resources have become more complicated. Ploughed land reaches 57% of the total territory, which is the highest rate in the world. The purpose of the study is to determine the essence of environmental restrictions on the exercise of land rights in the context of new land relations based on the experience of European countries, as well as to reveal the conceptual foundations of land use at the present stage of legislative and regulatory issues. Modern processes do not meet the requirements of rational use of natural resources, violating acceptable ratios. Problems with the balance of nutrients in agriculture and violation of environmentally acceptable areas of the environment have become more acute. Rules on environmental restrictions are established on the territory of the state to resolve issues of land use and protection. Their compliance is a prerequisite for all executive authorities in the field of environmental restrictions, as well as for all individuals and legal entities that are users or owners of land resources. The practical significance lies in the justification of methods and tools for rationing restrictions on the protection of</w:t>
      </w:r>
    </w:p>
    <w:p>
      <w:r>
        <w:t>POSSIBLE 2020: Is There a Crisis of Democracy in Europe? — https://doi.org/10.1007/s11615-020-00231-9</w:t>
      </w:r>
    </w:p>
    <w:p>
      <w:r>
        <w:t>Shared claim-specific concepts: however, way, view; EU scope visible. This is a provisional connection, not an outcome finding.</w:t>
      </w:r>
    </w:p>
    <w:p>
      <w:r>
        <w:t>Available abstract (not full text): Abstract This paper discusses the current prospects of democracy in Europe from four perspectives: the birdʼs-eye view of long-term trends; the perspective of citizens’ support of democratic principles and their dissatisfaction with the way democracy works in their own countries; the voters’ perspective, which points to the rise of populist challengers in reaction to rising democratic dissatisfaction; and the elites’ perspective of populists in power. Overall, there is reason for concern, but no reason to dramatize. The long-term trends point to the expansion of democracy; the citizens’ support for democracy is still massive in Europe. At the same time, democratic dissatisfaction is widespread, giving rise to the surge of populist challengers from the left and the right. However, even if they gain power, populists meet with a large number of constraints that stabilize democracy.</w:t>
      </w:r>
    </w:p>
    <w:p>
      <w:r>
        <w:t>POSSIBLE 2019: Social enterprises and their ecosystems in Europe — https://doi.org/10.2767/330252</w:t>
      </w:r>
    </w:p>
    <w:p>
      <w:r>
        <w:t>Shared claim-specific concepts: however, way, present; EU scope visible. This is a provisional connection, not an outcome finding.</w:t>
      </w:r>
    </w:p>
    <w:p>
      <w:r>
        <w:t>Available abstract (not full text): Social enterprises present an alternative to business-as-usual with their combination of core social and environmental objectives being addressed through commercial approaches. In this way they present an alternative avenue for a sustainable prosperity that is not driven by profit but rather focused on flourishing and living within ecological limits. In the UK, there has been particular interest and support for the creation of start-ups and the scaling of existing social enterprises. The term social enterprise has been in use in the UK since the 1970s, and the current approaches are shaped by the philanthropic traditions of charities, the cooperative traditions of democratic governance, and cultures of socially responsible business. The UK social enterprise movement was given a boost by the pioneering public policies and approaches in the 1990s, including various support programmes, the introduction of a new legal form and investment funds. Since 2010 there has been a focus of policy on encouraging social investment funds and mutual social enterprise ‘spin-outs’ from the public sector. However, the context of public sector austerity has seen a considerable decline in overall spending across the UK in recent years, with the exception of Scotland</w:t>
      </w:r>
    </w:p>
    <w:p>
      <w:r>
        <w:t>POSSIBLE 2019: Social Innovation in Community Energy in Europe: A Review of the Evidence — https://doi.org/10.3389/fenrg.2019.00031</w:t>
      </w:r>
    </w:p>
    <w:p>
      <w:r>
        <w:t>Shared claim-specific concepts: important, however, out; EU scope visible. This is a provisional connection, not an outcome finding.</w:t>
      </w:r>
    </w:p>
    <w:p>
      <w:r>
        <w:t>Available abstract (not full text): Citizen-driven Renewable Energy (RE) projects of various kinds, known collectively as community energy (CE), have an important part to play in the worldwide transition to cleaner energy systems. On the basis of evidence from 8 European countries, we investigate CE, over approximately the last 50 years (c.1970-2018), through the lens of Social Innovation (SI). We carry out a detailed review of literature around the social dimension of renewable energy; we collect, describe and map CE initiatives from Belgium, France, Germany, Italy, Poland, Spain, Sweden and the UK; and we unpack the SI concept into 4 operational criteria which we suggest are essential to recognising SI in CE. These are: 1) Crises and opportunities; 2) the agency of civil society; 3) reconfiguration of social practices, institutions and networks; 4) new ways of working. We identify three main phases of SI in CE. The environmental movements of the 1960s and the “oil shocks” of the 1970s provided the catalyst for a series of innovative societal responses around energy and self-sufficiency. A second wave of SI relates to the mainstreaming of RE and associated government support mechanisms. In this phase, with some important exceptions, successful CE initiatives were mainly confined to those countries where they were already embedded as innovators in the previous phase. The third phase of CE innovation relates to th</w:t>
      </w:r>
    </w:p>
    <w:p>
      <w:r>
        <w:t>POSSIBLE 2018: Drought tolerance during reproductive development is important for increasing wheat yield potential under climate change in Europe — https://doi.org/10.1093/jxb/ery226</w:t>
      </w:r>
    </w:p>
    <w:p>
      <w:r>
        <w:t>Shared claim-specific concepts: important, however, used; EU scope visible. This is a provisional connection, not an outcome finding.</w:t>
      </w:r>
    </w:p>
    <w:p>
      <w:r>
        <w:t>Available abstract (not full text): Drought stress during reproductive development could drastically reduce wheat grain number and yield, but quantitative evaluation of such an effect is unknown under climate change. The objectives of this study were to evaluate potential yield benefits of drought tolerance during reproductive development for wheat ideotypes under climate change in Europe, and to identify potential cultivar parameters for improvement. We used the Sirius wheat model to optimize drought-tolerant (DT) and drought-sensitive (DS) wheat ideotypes under a future 2050 climate scenario at 13 contrasting sites, representing major wheat growing regions in Europe. Averaged over the sites, DT ideotypes achieved 13.4% greater yield compared with DS, with higher yield stability. However, the performances of the ideotypes were site dependent. Mean yield of DT was 28-37% greater compared with DS in southern Europe. In contrast, no yield difference (≤1%) between ideotypes was found in north-western Europe. An intermediate yield benefit of 10-23% was found due to drought tolerance in central and eastern Europe. We conclude that tolerance to drought stress during reproductive development is important for high yield potentials and greater yield stability of wheat under climate change in Europe.</w:t>
      </w:r>
    </w:p>
    <w:p>
      <w:r>
        <w:t>POSSIBLE 2018: Home Exercise Training Improves Exercise Capacity in Cirrhosis Patients: Role of Exercise Adherence — https://doi.org/10.1038/s41598-017-18320-y</w:t>
      </w:r>
    </w:p>
    <w:p>
      <w:r>
        <w:t>Shared claim-specific concepts: exercise, objective, used; EU scope not established. This is a provisional connection, not an outcome finding.</w:t>
      </w:r>
    </w:p>
    <w:p>
      <w:r>
        <w:t>Available abstract (not full text): Abstract Cirrhosis patients have reduced peak aerobic power (peak VO2) that is associated with reduced survival. Supervised exercise training increases exercise tolerance. The effect of home-based exercise training (HET) in cirrhosis is unknown. The objective was to evaluate the safety and efficacy of 8 weeks of HET on peak VO2, 6-minute walk distance (6MWD), muscle mass, and quality of life in cirrhosis. Random assignment to 8 weeks of HET (moderate to high intensity cycling exercise, 3 days/week) or usual care. Exercise adherence defined as completing ≥80% training sessions. Paired t-tests and analysis of covariance used for comparisons. Forty patients enrolled: 58% male, mean age 57 y, 70% Child Pugh-A. Between group increases in peak VO2 (1.7, 95% CI: −0.33 to 3.7 ml/kg/min, p = 0.09) and 6MWD (33.7, 95% CI: 5.1 to 62.4 m, p = 0.02) were greater after HET versus usual care. Improvements even more marked in adherent subjects for peak VO2 (2.8, 95% CI: 0.5–5.2 mL/kg/min, p = 0.02) and 6MWD (46.4, 95% CI: 12.4–80.5 m, p = 0.009). No adverse events occurred during testing or HET. Eight weeks of HET is a safe and effective intervention to improve exercise capacity in cirrhosis, with maximal benefits occurring in those who complete ≥80% of the program.</w:t>
      </w:r>
    </w:p>
    <w:p>
      <w:r>
        <w:t>POSSIBLE 2018: Challenges and Action Points to Amplify Agroecology in Europe — https://doi.org/10.3390/su10051598</w:t>
      </w:r>
    </w:p>
    <w:p>
      <w:r>
        <w:t>Shared claim-specific concepts: important, exercise, carried, out, present; EU scope visible. This is a provisional connection, not an outcome finding.</w:t>
      </w:r>
    </w:p>
    <w:p>
      <w:r>
        <w:t>Available abstract (not full text): Agriculture in Europe results in the production of food for both the European population and for the export sector. Significant environmental and social problems have emerged with the intensification of European agriculture. These include the loss of biodiversity, the contamination of soils, water, and food with pesticides, and the eutrophication of water bodies. Industrialized agricultural and food systems are also a major contributing factor in the decline of farm numbers, and the high use of antibiotics has led to serious human health problems. In this respect, agroecology can provide insights into important pathways and guide the design, development, and promotion of the transition towards sustainable farming and food systems. An analysis of the major challenges for the amplification of agroecology in Europe was carried out by 310 stakeholders in a World Café exercise and 23 sessions and workshops during the Agroecology Europe Forum 2017. The different challenges that were identified can be grouped into seven categories: (1) definition and concepts; (2) education, training, and knowledge sharing; (3) research approach and funding; (4) policies; (5) productivity and practices; (5) food systems and consumer awareness; and (6) co-optation. To address these challenges, the following key actions are recommended: (1) to develop a common understanding of agroecology; (2) to enhanc</w:t>
      </w:r>
    </w:p>
    <w:p>
      <w:r>
        <w:t>POSSIBLE 2017: Exercise for intermittent claudication — https://doi.org/10.1002/14651858.cd000990.pub4</w:t>
      </w:r>
    </w:p>
    <w:p>
      <w:r>
        <w:t>Shared claim-specific concepts: important, however, exercise, case, only, used; EU scope not established. This is a provisional connection, not an outcome finding.</w:t>
      </w:r>
    </w:p>
    <w:p>
      <w:r>
        <w:t>Available abstract (not full text): BACKGROUND: Exercise programmes are a relatively inexpensive, low-risk option compared with other, more invasive therapies for treatment of leg pain on walking (intermittent claudication (IC)). This is the fourth update of a review first published in 1998. OBJECTIVES: Our goal was to determine whether an exercise programme was effective in alleviating symptoms and increasing walking treadmill distances and walking times in people with intermittent claudication. Secondary objectives were to determine whether exercise was effective in preventing deterioration of underlying disease, reducing cardiovascular events, and improving quality of life. SEARCH METHODS: For this update, the Cochrane Vascular Information Specialist searched the Specialised Register (last searched 15 November 2016) and the Cochrane Central Register of Controlled Trials (CENTRAL; 2016, Issue 10) via the Cochrane Register of Studies Online, along with trials registries. SELECTION CRITERIA: Randomised controlled trials of an exercise regimen versus control or versus medical therapy for people with IC due to peripheral arterial disease (PAD). We included any exercise programme or regimen used for treatment of IC, such as walking, skipping, and running. Inclusion of trials was not affected by duration, frequency, or intensity of the exercise programme. Outcome measures collected included treadmill walking distance</w:t>
      </w:r>
    </w:p>
    <w:p>
      <w:r>
        <w:t>POSSIBLE 2016: The second gamma-H2AX assay inter-comparison exercise carried out in the framework of the European biodosimetry network (RENEB) — https://doi.org/10.1080/09553002.2016.1207822</w:t>
      </w:r>
    </w:p>
    <w:p>
      <w:r>
        <w:t>Shared claim-specific concepts: way, exercise, carried, out, only, purpose; EU scope visible. This is a provisional connection, not an outcome finding.</w:t>
      </w:r>
    </w:p>
    <w:p>
      <w:r>
        <w:t>Available abstract (not full text): PURPOSE: Within the EU RENEB project, seven laboratories have taken part in training and harmonisation activities to strengthen triage gamma-H2AX-based radiation exposure assessment. This has culminated in a second triage biodosimetry exercise. MATERIALS AND METHODS: Co gamma rays at 0.5, 2.5 (blind samples), 0 and 2 Gy (reference samples). Following post-exposure incubations of 4 and 24 h, 16 samples were shipped on ice packs to each partner. The samples were stained and scored for gamma-H2AX foci, using manual and/or automated fluorescence microscope scoring strategies. Dose estimates were obtained and used to assign triage categories to the samples. RESULTS: Average dose estimates across all the laboratories correlated well with true doses. The most accurate assignment of triage category was achieved by manual scoring of the 4-h blood and lymphocyte samples. Only three samples out of a total of 46 were miscategorized in a way that could have adversely effected the clinical management of a radiation casualty. CONCLUSIONS: This inter-comparison exercise has demonstrated that following a recent acute radiation exposure, the gamma-H2AX assay could be a useful triage tool that can be successfully applied across a network of laboratories.</w:t>
      </w:r>
    </w:p>
    <w:p>
      <w:r>
        <w:t>POSSIBLE 2015: Epidemiology of traumatic brain injury in Europe — https://doi.org/10.1007/s00701-015-2512-7</w:t>
      </w:r>
    </w:p>
    <w:p>
      <w:r>
        <w:t>Shared claim-specific concepts: case, only; EU scope visible. This is a provisional connection, not an outcome finding.</w:t>
      </w:r>
    </w:p>
    <w:p>
      <w:r>
        <w:t>Available abstract (not full text): BACKGROUND: Traumatic brain injury (TBI) is a critical public health and socio-economic problem throughout the world, making epidemiological monitoring of incidence, prevalence and outcome of TBI necessary. We aimed to describe the epidemiology of traumatic brain injury in Europe and to evaluate the methodology of incidence studies. METHOD: We performed a systematic review and meta-analyses of articles describing the epidemiology of TBI in European countries. A search was conducted in the PubMed electronic database using the terms: epidemiology, incidence, brain injur*, head injur* and Europe. Only articles published in English and reporting on data collected in Europe between 1990 and 2014 were included. RESULTS: In total, 28 epidemiological studies on TBI from 16 European countries were identified in the literature. A great variation was found in case definitions and case ascertainment between studies. Falls and road traffic accidents (RTA) were the two most frequent causes of TBI, with falls being reported more frequently than RTA. In most of the studies a peak TBI incidence was seen in the oldest age groups. In the meta-analysis, an overall incidence rate of 262 per 100,000 for admitted TBI was derived. CONCLUSIONS: Interpretation of published epidemiologic studies is confounded by differences in inclusion criteria and case ascertainment. Nevertheless, changes in epidemiolo</w:t>
      </w:r>
    </w:p>
    <w:p>
      <w:pPr>
        <w:pStyle w:val="Heading2"/>
      </w:pPr>
      <w:r>
        <w:t>FORECASTED TRENDS IN CHANGES OF VEGETATION IN THE EUROPEAN PART OF RUSSIA IN CONNECTION WITH GLOBAL WARMING</w:t>
      </w:r>
    </w:p>
    <w:p>
      <w:r>
        <w:t>Original source (2012): https://doi.org/10.24057/2071-9388-2012-5-4-4-16</w:t>
      </w:r>
    </w:p>
    <w:p>
      <w:r>
        <w:t>Original wording (abstract; indexed_source_text_not_full_document_verified): The models are used to forecast changes in the boundaries of the vegetation sub-zones and of forest stands productivity in the European Part of Russia and on the adjacent areas for 2046–2065 under one of the scenarios of global warming.</w:t>
      </w:r>
    </w:p>
    <w:p>
      <w:r>
        <w:t>POSSIBLE 2026: Changing-CAMELS: A pan-European dataset for non-stationary hydrological modeling under climate and land-use change — https://doi.org/10.5194/egusphere-egu26-6543</w:t>
      </w:r>
    </w:p>
    <w:p>
      <w:r>
        <w:t>Shared claim-specific concepts: boundaries, vegetation; EU scope visible. This is a provisional connection, not an outcome finding.</w:t>
      </w:r>
    </w:p>
    <w:p>
      <w:r>
        <w:t>Available abstract (not full text): Non-stationarity has long been recognized as a fundamental challenge in hydrological modelling, as climate change and human activities continuously alter catchment properties and the boundary conditions under which hydrological systems operate. However, translating this long-standing recognition into systematic model evaluation remains challenging, as suitable large-sample hydrological datasets that explicitly represent temporal change are still scarce. Most existing datasets adopt a static design, with time-invariant catchment attributes and hydro-meteorological time series limited to retrospective observations, which constrains the systematic testing of hypotheses and models targeting non-stationary hydrological behaviour. Here, we introduce Changing-CAMELS, a pan-European, CAMELS-style dataset explicitly designed to support non-stationary hydrological modelling. Building on the strengths of existing datasets such as CAMELS, Caravan, and EStreams, the developed dataset moves beyond static representations by incorporating time-varying catchment attributes and future climate forcing on a European scale.In particular, dynamic land-use and land-cover changes are derived from the European LUCAS dataset, providing annual updates to vegetation and land-cover fractions. Simultaneously, the inclusion of both raw and bias-corrected daily-resolution regional and global climate model dat</w:t>
      </w:r>
    </w:p>
    <w:p>
      <w:r>
        <w:t>POSSIBLE 2024: Assessing the impact of transient land use and land cover changes in regional climate modeling using the LUCAS LUC dataset with a focus on forest cover changes in Europe — https://doi.org/10.5194/ems2024-893</w:t>
      </w:r>
    </w:p>
    <w:p>
      <w:r>
        <w:t>Shared claim-specific concepts: vegetation, forest; EU scope visible. This is a provisional connection, not an outcome finding.</w:t>
      </w:r>
    </w:p>
    <w:p>
      <w:r>
        <w:t>Available abstract (not full text): Land use and land cover changes (LULCC), driven by human activities such as urbanization, afforestation or agricultural expansion, alter land surface properties. These alterations can lead to modifications in energy and water fluxes between the land surface and the atmosphere, thereby influencing the local and regional climate. Due to forests’ ability to sequester carbon, climate-resilient forest management is pivotal in climate change adaptation and mitigation, and its effects and feedbacks have to be well understood. However, in regional climate modeling, LULCC is often neglected, and the land cover is represented with a static land use and land cover map. Therefore, the WCRP CORDEX flagship pilot study LUCAS (Land Use and Climate Across Scales) aims to assess the impact of LULCC on regional climate with a coordinated regional climate model ensemble approach. A realistic implementation of LULCC into regional climate models requires consideration of transient LULCC. The LUCAS LUC dataset, developed by Hoffmann et al. (2023) provides these transient LULCC on high resolution suitable for regional climate modeling. The dataset is based on the plant functional type (PFT) distribution derived from the ESA-CCI LC dataset and provides annual LULCC based on the LUH2 dataset until the end of the century for different SSP scenarios and the historical period 1950–2014. As a collaboration</w:t>
      </w:r>
    </w:p>
    <w:p>
      <w:r>
        <w:t>POSSIBLE 2023: High-resolution land use and land cover dataset for regional climate modelling: historical and future changes in Europe — https://doi.org/10.5194/essd-15-3819-2023</w:t>
      </w:r>
    </w:p>
    <w:p>
      <w:r>
        <w:t>Shared claim-specific concepts: used, forest; EU scope visible. This is a provisional connection, not an outcome finding.</w:t>
      </w:r>
    </w:p>
    <w:p>
      <w:r>
        <w:t>Available abstract (not full text):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r>
        <w:t>POSSIBLE 2023: Climate-Adapted Potential Vegetation—A European Multiclass Model Estimating the Future Potential of Natural Vegetation — https://doi.org/10.3390/f14020239</w:t>
      </w:r>
    </w:p>
    <w:p>
      <w:r>
        <w:t>Shared claim-specific concepts: boundaries, vegetation, forest; EU scope visible. This is a provisional connection, not an outcome finding.</w:t>
      </w:r>
    </w:p>
    <w:p>
      <w:r>
        <w:t>Available abstract (not full text): Climate change will alter the site conditions for European vegetation. This is likely to shift the potential distribution of species and habitats outside its current boundaries. To enable future projections on shifts in vegetation potentials, we fitted a multiclass model to the current potential natural vegetation (PNV) of Europe using climatic predictors. The model was then applied to climate data of the time slice 2061–2080 with the Representative Concentration Pathways (RCPs) 4.5 and RCP 8.5. With an accuracy of 0.78, simulations well represented the site-equivalent vegetation types of the current PNV across Europe. Projections show drastic shifts in vegetation potentials in all parts of Europe. Boreal forests could lose up to 75% of their current potential, while Mediterranean Quercus forests and steppes would double their potential area. Deserts are projected to be on the rice, and the potential of currently widespread vegetation such as Fagus forests would be translocated. These estimated alterations of European vegetation potentials could have great effects on the stability of current forests, affecting nature conservation strategies and forest management.</w:t>
      </w:r>
    </w:p>
    <w:p>
      <w:r>
        <w:t>POSSIBLE 2023: Testing the Effect of Relative Pollen Productivity on the REVEALS Model: A Validated Reconstruction of Europe-Wide Holocene Vegetation — https://doi.org/10.3390/land12050986</w:t>
      </w:r>
    </w:p>
    <w:p>
      <w:r>
        <w:t>Shared claim-specific concepts: vegetation, forest, productivity, one; EU scope visible. This is a provisional connection, not an outcome finding.</w:t>
      </w:r>
    </w:p>
    <w:p>
      <w:r>
        <w:t>Available abstract (not full text): Reliable quantitative vegetation reconstructions for Europe during the Holocene are crucial to improving our understanding of landscape dynamics, making it possible to assess the past effects of environmental variables and land-use change on ecosystems and biodiversity, and mitigating their effects in the future. We present here the most spatially extensive and temporally continuous pollen-based reconstructions of plant cover in Europe (at a spatial resolution of 1° × 1°) over the Holocene (last 11.7 ka BP) using the ‘Regional Estimates of VEgetation Abundance from Large Sites’ (REVEALS) model. This study has three main aims. First, to present the most accurate and reliable generation of REVEALS reconstructions across Europe so far. This has been achieved by including a larger number of pollen records compared to former analyses, in particular from the Mediterranean area. Second, to discuss methodological issues in the quantification of past land cover by using alternative datasets of relative pollen productivities (RPPs), one of the key input parameters of REVEALS, to test model sensitivity. Finally, to validate our reconstructions with the global forest change dataset. The results suggest that the RPPs.st1 (31 taxa) dataset is best suited to producing regional vegetation cover estimates for Europe. These reconstructions offer a long-term perspective providing unique possibili</w:t>
      </w:r>
    </w:p>
    <w:p>
      <w:r>
        <w:t>POSSIBLE 2022: High-resolution land use and land cover dataset for regional climate modelling: Historical and future changes in Europe — https://doi.org/10.5194/essd-2022-431</w:t>
      </w:r>
    </w:p>
    <w:p>
      <w:r>
        <w:t>Shared claim-specific concepts: used, forest;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r>
        <w:t>POSSIBLE 2022: Simulating Ecological Functions of Vegetation Using a Dynamic Vegetation Model — https://doi.org/10.3390/f13091464</w:t>
      </w:r>
    </w:p>
    <w:p>
      <w:r>
        <w:t>Shared claim-specific concepts: used, vegetation, forest; EU scope not established. This is a provisional connection, not an outcome finding.</w:t>
      </w:r>
    </w:p>
    <w:p>
      <w:r>
        <w:t>Available abstract (not full text): The ecological functions of vegetation play a significant role in improving human well-being. However, previous studies on ecological functions have only used semi-empirical models, which do not include physiological mechanisms and therefore do not accurately estimate the ecological functions of vegetation under scenarios of future climate change. To address this problem, a process-based dynamic vegetation model (LPJ-GUESS) was used to simulate the ecological functions of vegetation under different climate change scenarios in the Loess Plateau (LP), a typical ecologically fragile area in China. The simulated ecological functions were the carbon stock function (CS), soil conservation function (SC), and the water conservation function (WC). The results showed that: (1) Compared with 2001–2020, the proportion of area by shrub and grass vegetation that was predicted to transform into forest accounted for more than 1% of the area in the LP under the SSP119 scenario and 3% of the area in the LP under the SSP585 scenario during 2081–2100, respectively. (2) Compared with 2001–2020, the CS would decrease in the central and south-eastern regions, the SC would decrease in the western regions, and the WC would decrease in the Qilian, Wushaoling, Xinglong and Liupan Mountains during 2081–2100. (3) The relationships and the corresponding regions between the ecological functions of the vegeta</w:t>
      </w:r>
    </w:p>
    <w:p>
      <w:r>
        <w:t>POSSIBLE 2021: High-resolution land-use land-cover change data for regional climate modelling applications over Europe – Part 2: Historical and future changes — https://doi.org/10.5194/essd-2021-252</w:t>
      </w:r>
    </w:p>
    <w:p>
      <w:r>
        <w:t>Shared claim-specific concepts: used, forest, part;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r>
        <w:t>POSSIBLE 2021: Analysing the relationship between drought and soil erosion using vegetation health index and RUSLE models in Godavari middle sub-basin, India — https://doi.org/10.1016/j.gsf.2021.101312</w:t>
      </w:r>
    </w:p>
    <w:p>
      <w:r>
        <w:t>Shared claim-specific concepts: vegetation, one; EU scope not established. This is a provisional connection, not an outcome finding.</w:t>
      </w:r>
    </w:p>
    <w:p>
      <w:r>
        <w:t>Available abstract (not full text): Drought is a natural phenomenon posing severe implications for soil, groundwater and agricultural yield. It has been recognized as one of the most pervasive global change drivers to affect the soil. Soil being a weakly renewable resource takes a long time to form, but it takes no time to degrade. However, the response of soil to drought conditions as soil loss is not manifested in the existing literature. Thus, this study makes a concerted effort to analyze the relationship between drought conditions and soil erosion in the middle sub-basin of the Godavari River in India. MODIS remote sensing data was utilized for driving drought indices during 2000–2019. Firstly, we constricted Temperature condition index (TCI) and Vegetation Condition Index (VCI) from Land Surface Temperature (LST) and Enhanced Vegetation Index (EVI) derived from MODIS data. TCI and VCI were then integrated to determine the Vegetation Health Index (VHI). Revised Universal Soil Loss Equation (RUSLE) was utilized for estimating soil loss. The relationship between drought condition and vegetation was ascertained using the Pearson correlation. Most of the northern and southern watersheds experienced severe drought condition in the sub-basin during 2000–2019. The mean frequency of the drought occurrence was 7.95 months. The average soil erosion in the sub-basin was estimated to be 9.88 t ha−1 year−1. A positive re</w:t>
      </w:r>
    </w:p>
    <w:p>
      <w:r>
        <w:t>POSSIBLE 2020: Sentinel-1 Cross Ratio and Vegetation Optical Depth: A Comparison over Europe — https://doi.org/10.3390/rs12203404</w:t>
      </w:r>
    </w:p>
    <w:p>
      <w:r>
        <w:t>Shared claim-specific concepts: used, vegetation, one; EU scope visible. This is a provisional connection, not an outcome finding.</w:t>
      </w:r>
    </w:p>
    <w:p>
      <w:r>
        <w:t>Available abstract (not full text): Vegetation products based on microwave remote sensing observations, such as Vegetation Optical Depth (VOD), are increasingly used in a variety of applications. One disadvantage is the often coarse spatial resolution of tens of kilometers of products retrieved from microwave observations from spaceborne radiometers and scatterometers. This can potentially be overcome by using new high-resolution Synthetic Aperture Radar (SAR) observations from Sentinel-1. However, the sensitivity of Sentinel-1 backscatter to vegetation dynamics, or its use in radiative transfer models, such as the water cloud model, has only been tested at field to regional scale. In this study, we compared the cross-polarization ratio (CR) to vegetation dynamics as observed in microwave-based Vegetation Optical Depth from coarse-scale satellites over Europe. CR was obtained from Sentinel-1 VH and VV backscatter observations at 500 m sampling and resampled to the spatial resolution of VOD from the Advanced SCATterometer (ASCAT) on-board the Metop satellite series. Spatial patterns between median CR and ASCAT VOD correspond to each other and to vegetation patterns over Europe. Analysis of temporal correlation between CR and ASCAT VOD shows that high Pearson correlation coefficients (Rp) are found over croplands and grasslands (median Rp &gt; 0.75). Over deciduous broadleaf forests, negative correlations are found. T</w:t>
      </w:r>
    </w:p>
    <w:p>
      <w:r>
        <w:t>POSSIBLE 2017: Vegetation dynamics and fire history at the southern boundary of the forest vegetation zone in European Russia during the middle and late Holocene — https://doi.org/10.1177/0959683617721331</w:t>
      </w:r>
    </w:p>
    <w:p>
      <w:r>
        <w:t>Shared claim-specific concepts: vegetation, forest, part, russia; EU scope visible. This is a provisional connection, not an outcome finding.</w:t>
      </w:r>
    </w:p>
    <w:p>
      <w:r>
        <w:t>Available abstract (not full text): Climate and human activity affected significantly the Eurasian on the forest vegetation zone through the Holocene. This paper presents new multi-proxy records of environmental changes at the southern boundary of the mixed coniferous broadleaved forest zone in the east-central part of the East European Plain during the middle and late Holocene. Palaeoecological analyses of a peat core for pollen, charcoal, peat humification, plant macrofossils and testate amoebae with dating using radiocarbon have shown that climate appears to have been a dominant control on vegetation. There is strong evidence for a reduced precipitation–evapotranspiration ratio and high fire frequency during the Holocene thermal maximum (6.9–5.3 ka BP), leading to dominance of Betula–Pinus forests. By contrast subsequent climatic cooling led to the expansion of broadleaved forests and establishment of Picea. Human activities influenced vegetation from the Neolithic onwards but played a role which was secondary to climate until the recent past. Over the last century, human impacts considerably increased because of harvesting of broadleaved trees and contributed to the formation of the current mixed coniferous broadleaved forests.</w:t>
      </w:r>
    </w:p>
    <w:p>
      <w:r>
        <w:t>POSSIBLE 2015: A Conceptual Model of Vegetation–hydrogeomorphology Interactions Within River Corridors — https://doi.org/10.1002/rra.2928</w:t>
      </w:r>
    </w:p>
    <w:p>
      <w:r>
        <w:t>Shared claim-specific concepts: vegetation, one; EU scope visible. This is a provisional connection, not an outcome finding.</w:t>
      </w:r>
    </w:p>
    <w:p>
      <w:r>
        <w:t>Available abstract (not full text): Abstract We propose a conceptual model of vegetation–hydrogeomorphology interactions and feedbacks within river corridors (i.e. river channels and their floodplains) that builds on previous similar hydrogeomorphologically centred models by incorporating hydrogeomorphological constraints on river corridor vegetation from region to reach scales; defining five dynamic river corridor zones within which different hydrogeomorphological processes are dominant so that plants and physical processes interact in different ways, and considering the potential distribution of these zones longitudinally from river headwaters to mouth, laterally across the river corridor, and in relation to different river planform styles; considering the way in which vegetation‐related landforms within each zone may reflect processes of self‐organization and the role of particular plant species as physical ecosystem engineers within the context of the dominant hydrogeomorphological processes; focussing, in particular, upon a ‘critical zone’ at the leading edge of plant–hydrogeomorphological process interactions that is located somewhere within the area of the river corridor perennially inundated by flowing water (zone 1) and the area that is frequently inundated and subject to both sediment erosion and deposition processes (zone 2). Within the critical zone some plant species strongly influence the position a</w:t>
      </w:r>
    </w:p>
    <w:p>
      <w:pPr>
        <w:pStyle w:val="Heading2"/>
      </w:pPr>
      <w:r>
        <w:t>Facing the future: Scanning, synthesizing and sense-making in horizon scanning</w:t>
      </w:r>
    </w:p>
    <w:p>
      <w:r>
        <w:t>Original source (2012): https://doi.org/10.1093/scipol/scs021</w:t>
      </w:r>
    </w:p>
    <w:p>
      <w:r>
        <w:t>Original wording (abstract; indexed_source_text_not_full_document_verified): In this paper, we discuss key issues in harnessing horizon scanning to shape systemic policies, particularly in the light of the foresight exercise ‘Facing the future: Time for the EU to meet global challenges' which was carried out for the Bureau of European Policy Advisors. This exercise illustrates how horizon scanning can enable collective sense-making processes which assist in the identification of emerging signals and policy issues; the synthesis of such issues into encompassing clusters; and the interpretation of resulting clusters as an important step towards the coordinated development of joint policy measures.</w:t>
      </w:r>
    </w:p>
    <w:p>
      <w:r>
        <w:t>POSSIBLE 2026: Horizon scanning for European wild pollinators identifies world-leading legislation as a key opportunity for pollinators — https://doi.org/10.1038/s41598-026-53025-1</w:t>
      </w:r>
    </w:p>
    <w:p>
      <w:r>
        <w:t>Shared claim-specific concepts: key, issues, horizon, scanning, time; EU scope visible. This is a provisional connection, not an outcome finding.</w:t>
      </w:r>
    </w:p>
    <w:p>
      <w:r>
        <w:t>Available abstract (not full text): Wild insect pollinators contribute significantly to agricultural productivity, biodiversity, and ecosystem functioning. Wild pollinators are increasingly affected by multiple interacting stressors. Proactively identifying emerging risks and feasible mitigation strategies will be critical to ensuring the long-term stability of wild pollinators biodiversity and pollination services. We conducted the first continental scale horizon scan focused on wild pollinators in Europe. A structured Delphi-based approach was used to identify emerging issues that may have significant implications for wild pollinators over the coming decade. Ten priority issues were identified, including both potential risks and opportunities. For the first time in a pollinator-focused horizon scan, legislation was identified as a key opportunity, with the European Union Nature Restoration Regulation recognised for its potential to influence pollinator conservation through mandatory restoration and monitoring targets. In contrast, political developments such as the rise of populist parties and post-truth discourse may impede policy implementation. Several issues relating to pesticide use were also identified, including developments in RNA interference technologies and precision application methods, which may reduce non-target impacts if risks are appropriately assessed. These findings provide a foundation for f</w:t>
      </w:r>
    </w:p>
    <w:p>
      <w:r>
        <w:t>POSSIBLE 2026: Evaluating international collaboration on horizon scanning for pharmaceuticals: developing key performance indicators for the international horizon scanning initiative — https://doi.org/10.1017/s0266462325103358</w:t>
      </w:r>
    </w:p>
    <w:p>
      <w:r>
        <w:t>Shared claim-specific concepts: key, horizon, scanning, time; EU scope visible. This is a provisional connection, not an outcome finding.</w:t>
      </w:r>
    </w:p>
    <w:p>
      <w:r>
        <w:t>Available abstract (not full text): INTRODUCTION: Many European countries independently conduct horizon scanning activities. However, the costs, time, and resources required can be prohibitive. To address this, the International Horizon Scanning Initiative (IHSI) was launched in 2019. IHSI aims to facilitate decision-makers and payers in negotiating fair prices and preparing for potentially disruptive pharmaceuticals. IHSI developed the Joint Horizon Scanning Database, a repository of pharmaceuticals expected to enter the European market, and initiated a series of High Impact Reports (HIRs) to highlight pharmaceuticals that have the potential to significantly impact healthcare systems. This paper outlines the development of key performance indicators (KPIs) that can be used to evaluate IHSI's work. RESULTS: In close collaboration with representatives from IHSI member countries and its Executive Committee, the following KPIs were developed: "Number of IHSI member countries", "Embedding of IHSI in national health technology assessment procedures", "Database coverage", "Data completeness", "Data timeliness", "Accuracy of identifying disruptive pharmaceuticals", "Accuracy of identifying non-disruptive pharmaceuticals", "Use of HIRs in preparing for disruption to the healthcare system", and "Use of HIRs in price negotiations and financial arrangements". Among these, "Accuracy of identifying disruptive pharmaceuticals"</w:t>
      </w:r>
    </w:p>
    <w:p>
      <w:r>
        <w:t>POSSIBLE 2026: Assessing the success of a horizon scanning approach in predicting invasive non-native species — https://openalex.org/W7114593291</w:t>
      </w:r>
    </w:p>
    <w:p>
      <w:r>
        <w:t>Shared claim-specific concepts: discuss, key, horizon, scanning, exercise; EU scope visible. This is a provisional connection, not an outcome finding.</w:t>
      </w:r>
    </w:p>
    <w:p>
      <w:r>
        <w:t>Available abstract (not full text):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managing them once they have arrived, is recognised as the most effective approach to their management. Horizon scanning represents one of the key tools to identify high-risk INNS that are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ten years, establishing and having an impact on biodiversity and ecosystems. We assess the success of this exercise in predicting arrival of these species within the subsequent ten years. Ninety-two species were shortlisted in the 2013 horizon scan. Overall, 31 of the 92 species identified in the 2013 horizon scan have arrived by 2023. We found that 12 of the top 20 species had arrived within ten years. In predicting arrival, there was a significant effect of arrival previously within Great Britain, and the number of countries in Western Europe and Baltic countries in which an</w:t>
      </w:r>
    </w:p>
    <w:p>
      <w:r>
        <w:t>POSSIBLE 2026: A global review of horizon scanning exercises for invasive alien species — https://doi.org/10.3897/aca.9.e202375</w:t>
      </w:r>
    </w:p>
    <w:p>
      <w:r>
        <w:t>Shared claim-specific concepts: discuss, key, horizon, scanning, particularly, challenges; EU scope visible. This is a provisional connection, not an outcome finding.</w:t>
      </w:r>
    </w:p>
    <w:p>
      <w:r>
        <w:t>Available abstract (not full text): Invasive alien species (IAS) are a major driver of global biodiversity loss, generating substantial ecological, economic and social impacts. Prevention and early intervention are widely recognised as being more cost‑effective than long‑term management. As a result, IAS policy frameworks increasingly rely on predictive strategies and tools to guide prioritisation. Horizon scanning has emerged as a key approach, providing structured, forward‑looking assessments of IAS that are likely to arrive in a new area in the near future, establish invasive populations and cause harm. Despite widespread uptake of the method, there has, to our knowledge, been no global synthesis of how IAS horizon scanning exercises are conducted, how methodologies are developed, and what their potential policy implications are. Here, we present a global review of over 50 IAS horizon scanning exercises undertaken up to 2026, drawing on published and grey literature. We examine how horizon scans were designed across multiple taxonomic groups, geographic scales, regions and environments, evaluate their underlying objectives, such as informing policy and biosecurity, and review their recommendations. Our review shows that the number of horizon scans has been steadily increasing in recent years. Across the horizon scanning literature, terrestrial and freshwater environments were more frequently represented than m</w:t>
      </w:r>
    </w:p>
    <w:p>
      <w:r>
        <w:t>POSSIBLE 2025: Editorial: Discussing key issues in the digital agenda — https://doi.org/10.1108/jstpm-03-2025-250</w:t>
      </w:r>
    </w:p>
    <w:p>
      <w:r>
        <w:t>Shared claim-specific concepts: key, issues, horizon, policies, challenges; EU scope visible. This is a provisional connection, not an outcome finding.</w:t>
      </w:r>
    </w:p>
    <w:p>
      <w:r>
        <w:t>Available abstract (not full text): The Horizon Europe strategic plan 2025–2027 addresses, among other main global challenges, the digital transition and climate change. This plan has three key orientations for research and innovation: “green transition, digital transition and a more resilient, competitive, inclusive and democratic Europe” (European Commission: Directorate-General for Research and Innovation, 2024, p. 3). In this period, “it is agreed to invest at least EUR 13 billion from Horizon Europe in core digital technologies” (European Commission: Directorate-General for Research and Innovation, 2024, p. 6).It is important to set priorities to reinforce investments in human capital, science and technology as well as align policies initiatives at different levels (local, national and regional). This requires the dialogue among a broad variety of stakeholders and design innovative strategies successfully navigate the green and digital transitions (Almunawar et al., 2022, 2023; Collin et al., 2023; Imjai et al., 2024; Lytras and Ordóñez de Pablos, 2008; Zhang et al., 2012; Zhang et al., 2019, 2024).The second issue Journal of Science and Technology Policy Management in 2025 contains a collection of seven papers addressing key topics for competitiveness of companies, governments and nations such as big data, entrepreneurship, e-payment, sustainability and innovative systems. Next, we will summarize the conten</w:t>
      </w:r>
    </w:p>
    <w:p>
      <w:r>
        <w:t>POSSIBLE 2025: One Health Horizon Scanning: Contribution to Road Map — https://doi.org/10.1079/junoreports.2025.0003</w:t>
      </w:r>
    </w:p>
    <w:p>
      <w:r>
        <w:t>Shared claim-specific concepts: discuss, key, issues, horizon, scanning, challenges; EU scope visible. This is a provisional connection, not an outcome finding.</w:t>
      </w:r>
    </w:p>
    <w:p>
      <w:r>
        <w:t>Available abstract (not full text): A Horizon Scanning process was undertaken to identify and prioritize future One Health (OH) research needs in low- and middle-income countries (LMICs), focusing on Africa and Asia. Through a multi-phase participatory process comprising multilingual global surveys to gather and prioritize OH issues of importance, thematic analysis to cluster priorities, online and in-person workshops to discuss and add context to priorities, over 400 contributors reported cross-sectoral research priorities in human, animal, plant, and environmental health. A modified Delphi method, involving extensive input from a group of 11 people with expertise in a board spectrum of OH areas, produced a final set of 56 priority questions, five of which emerged as globally critical: integrated surveillance systems; the role of climate change in disease emergence; governance for OH coordination; antimicrobial resistance (AMR); and socio-environmental drivers of disease. While some priorities had global consensus, others varied regionally, reflecting contextual epidemiological and structural realities. Participants from Africa and Asia prioritized AMR and water, sanitation and hygiene (WASH); Europe prioritized governance; Oceania prioritized indigenous knowledge; and South America prioritized community-led strategies. Key cross-cutting challenges included the challenge of fragmented surveillance data, insuffic</w:t>
      </w:r>
    </w:p>
    <w:p>
      <w:r>
        <w:t>POSSIBLE 2025: Assessing the success of a horizon scanning approach in predicting invasive non‐native species arrival — https://doi.org/10.1111/1365-2664.70217</w:t>
      </w:r>
    </w:p>
    <w:p>
      <w:r>
        <w:t>Shared claim-specific concepts: discuss, key, horizon, scanning, exercise; EU scope visible. This is a provisional connection, not an outcome finding.</w:t>
      </w:r>
    </w:p>
    <w:p>
      <w:r>
        <w:t>Available abstract (not full text): Abstract Despite increasing awareness of invasive non‐native species (INNS) and enhanced biosecurity controls in many countries, INNS are still arriving and establishing in new destinations, remaining a globally acknowledged threat to native biodiversity. Preventing the introduction of INNS, as opposed to controlling them once they have arrived, is recognised as the most effective approach to their management. Horizon scanning represents one of the key tools to identify high‐risk INNS that have yet to arrive within a region and has been applied in many contexts around the world, but to date there have been no studies that systematically assess the effectiveness of this approach. Here, we revisit the horizon scan for Great Britain conducted in 2013 that assessed the likelihood of high‐risk INNS arriving within the next 10 years, establishing and having an impact on biodiversity and ecosystems. We evaluated the success of this exercise in predicting arrival of these species within the subsequent 10 years. Ninety‐two species were shortlisted in the 2013 horizon scan. In total, 31 of the 92 species identified in the 2013 horizon scan had arrived by 2023. We found that 12 of the top 20 species had arrived within 10 years. In predicting arrival, there was a significant effect of species having arrived previously to Great Britain, and the number of countries in Western Europe and Balt</w:t>
      </w:r>
    </w:p>
    <w:p>
      <w:r>
        <w:t>POSSIBLE 2023: Emerging threats and opportunities to managed bee species in European agricultural systems: a horizon scan — https://doi.org/10.1038/s41598-023-45279-w</w:t>
      </w:r>
    </w:p>
    <w:p>
      <w:r>
        <w:t>Shared claim-specific concepts: issues, horizon, scanning, exercise; EU scope visible. This is a provisional connection, not an outcome finding.</w:t>
      </w:r>
    </w:p>
    <w:p>
      <w:r>
        <w:t>Available abstract (not full text): Managed bee species provide essential pollination services that contribute to food security worldwide. However, managed bees face a diverse array of threats and anticipating these, and potential opportunities to reduce risks, is essential for the sustainable management of pollination services. We conducted a horizon scanning exercise with 20 experts from across Europe to identify emerging threats and opportunities for managed bees in European agricultural systems. An initial 63 issues were identified, and this was shortlisted to 21 issues through the horizon scanning process. These ranged from local landscape-level management to geopolitical issues on a continental and global scale across seven broad themes-Pesticides &amp; pollutants, Technology, Management practices, Predators &amp; parasites, Environmental stressors, Crop modification, and Political &amp; trade influences. While we conducted this horizon scan within a European context, the opportunities and threats identified will likely be relevant to other regions. A renewed research and policy focus, especially on the highest-ranking issues, is required to maximise the value of these opportunities and mitigate threats to maintain sustainable and healthy managed bee pollinators within agricultural systems.</w:t>
      </w:r>
    </w:p>
    <w:p>
      <w:r>
        <w:t>POSSIBLE 2022: Health horizons: Future trends and technologies from the European Medicines Agency’s horizon scanning collaborations — https://doi.org/10.3389/fmed.2022.1064003</w:t>
      </w:r>
    </w:p>
    <w:p>
      <w:r>
        <w:t>Shared claim-specific concepts: horizon, scanning, light, challenges; EU scope visible. This is a provisional connection, not an outcome finding.</w:t>
      </w:r>
    </w:p>
    <w:p>
      <w:r>
        <w:t>Available abstract (not full text): In medicines development, the progress in science and technology is accelerating. Awareness of these developments and their associated challenges and opportunities is essential for medicines regulators and others to translate them into benefits for society. In this context, the European Medicines Agency uses horizon scanning to shine a light on early signals of relevant innovation and technological trends with impact on medicinal products. This article provides the results of systematic horizon scanning exercises conducted by the Agency, in collaboration with the World Health Organization (WHO) and the European Commission's Joint Research Centre's (DG JRC). These collaborative exercises aim to inform policy-makers of new trends and increase preparedness in responding to them. A subset of 25 technological trends, divided into three clusters were selected and reviewed from the perspective of medicines regulators. For each of these trends, the expected impact and challenges for their adoption are discussed, along with recommendations for developers, regulators and policy makers.</w:t>
      </w:r>
    </w:p>
    <w:p>
      <w:r>
        <w:t>POSSIBLE 2022: AI hyped? A horizon scan of discourse on artificial intelligence in education (AIED) and development — https://doi.org/10.1080/17439884.2022.2095568</w:t>
      </w:r>
    </w:p>
    <w:p>
      <w:r>
        <w:t>Shared claim-specific concepts: key, horizon; EU scope not established. This is a provisional connection, not an outcome finding.</w:t>
      </w:r>
    </w:p>
    <w:p>
      <w:r>
        <w:t>Available abstract (not full text): The study seeks to understand how the AI ecosystem might be implicated in a form of knowledge production which reifies particular kinds of epistemologies over others. Using text mining and thematic analysis, this paper offers a horizon scan of the key themes that have emerged over the past few years during the AIEd debate. We begin with a discussion of the tools we used to experiment with digital methods for data collection and analysis. This paper then examines how AI in education systems are being conceived, hyped, and potentially deployed into global education contexts. Findings are categorised into three themes in the discourse: (1) geopolitical dominance through education and technological innovation; (2) creation and expansion of market niches, and (3) managing narratives, perceptions, and norms.</w:t>
      </w:r>
    </w:p>
    <w:p>
      <w:r>
        <w:t>POSSIBLE 2021: Issues that mobilize Europe. The role of key policy issues for voter turnout in the 2019 European Parliament election — https://doi.org/10.1177/14651165211040337</w:t>
      </w:r>
    </w:p>
    <w:p>
      <w:r>
        <w:t>Shared claim-specific concepts: key, issues, systemic, light; EU scope visible. This is a provisional connection, not an outcome finding.</w:t>
      </w:r>
    </w:p>
    <w:p>
      <w:r>
        <w:t>Available abstract (not full text): In light of the unexpectedly high turnout in the 2019 European Parliament election, we explore how major transnational policy issues mobilize voters in European electoral contests. Based on the analysis of two data sets, the Eurobarometer post-election survey and the RECONNECT panel survey, we make three important observations. First, European citizens show a higher tendency to participate in European Parliament elections when they attribute greater importance to the issues ‘climate change and environment’, ‘economy and growth’, and ‘immigration’. Second, having a more extreme opinion on the issue of ‘European integration’ increases people's likelihood to vote in European elections. Third, the mobilizing effect of personal issue importance is enhanced by the systemic salience that the respective policy issue has during the election campaign. These findings show the relevance of issue mobilization in European Parliament elections as well as its context-dependent nature.</w:t>
      </w:r>
    </w:p>
    <w:p>
      <w:r>
        <w:t>POSSIBLE 2021: The Imperative to Discuss European Islam: A Response to Grinell and Črnič — https://doi.org/10.1017/s1062798721000193</w:t>
      </w:r>
    </w:p>
    <w:p>
      <w:r>
        <w:t>Shared claim-specific concepts: discuss, key, issues; EU scope visible. This is a provisional connection, not an outcome finding.</w:t>
      </w:r>
    </w:p>
    <w:p>
      <w:r>
        <w:t>Available abstract (not full text): Abstract Prompted by two recent articles in European Review about the place of Islam in Europe, this article argues for the importance of considering the variants of Islam in Europe that are autochthonous as opposed to connected with migration or immigration. The article discusses the specifics of the Crimean Tatars, Bosnia, Kosovo and Albania, and the Muslims of Georgia by way of illustrating how the issues around European Islam are far from being a marginal curiosity and, in fact, point to key issues in continental culture and politics in the twenty-first century.</w:t>
      </w:r>
    </w:p>
    <w:p>
      <w:pPr>
        <w:pStyle w:val="Heading2"/>
      </w:pPr>
      <w:r>
        <w:t>Future air quality in Europe: a multi-model assessment of projected exposure to ozone</w:t>
      </w:r>
    </w:p>
    <w:p>
      <w:r>
        <w:t>Original source (2012): https://doi.org/10.5194/acp-12-10613-2012</w:t>
      </w:r>
    </w:p>
    <w:p>
      <w:r>
        <w:t>Original wording (abstract; indexed_source_text_not_full_document_verified): We conclude that air pollution mitigation measures (present in both scenarios) are the main factors leading to the improvement, but an additional cobenefit of at least 40% (depending on the indicator) is brought about by the climate policy. In order to explore future air quality in Europe at the 2030 horizon, two emission scenarios developed in the framework of the Global Energy Assessment including varying assumptions on climate and energy access policies are investigated with an ensemble of six regional and global atmospheric chemistry transport models.</w:t>
      </w:r>
    </w:p>
    <w:p>
      <w:r>
        <w:t>POSSIBLE 2025: Air pollution and innovation — https://doi.org/10.1016/j.jeem.2024.103102</w:t>
      </w:r>
    </w:p>
    <w:p>
      <w:r>
        <w:t>Shared claim-specific concepts: conclude, air, pollution, least; EU scope visible. This is a provisional connection, not an outcome finding.</w:t>
      </w:r>
    </w:p>
    <w:p>
      <w:r>
        <w:t>Available abstract (not full text): Existing estimates of the economic costs of air pollution do not account for its effect on inventive output. Using two weather phenomena as instruments, we estimate this effect in a sample of 1,288 European regions. A decrease in exposure to small particulate matter of 0:17 g=m3 – the average yearly reduction in Europe – leads to 1.7% more patented inventions. After ruling out reallocation of human capital, inventor mortality and R&amp;D expenditures as drivers of the effect, we conclude that air pollution’s harm to economic output increases by at least 10% when accounting for innovation.</w:t>
      </w:r>
    </w:p>
    <w:p>
      <w:r>
        <w:t>POSSIBLE 2024: Geographic sources of ozone air pollution and mortality burden in Europe — https://doi.org/10.1038/s41591-024-02976-x</w:t>
      </w:r>
    </w:p>
    <w:p>
      <w:r>
        <w:t>Shared claim-specific concepts: air, pollution, mitigation, both, but, about; EU scope visible. This is a provisional connection, not an outcome finding.</w:t>
      </w:r>
    </w:p>
    <w:p>
      <w:r>
        <w:t>Available abstract (not full text): Abstract Ground-level ozone (O 3 ) is a harmful air pollutant formed in the atmosphere by the interaction between sunlight and precursor gases. Exposure to current O 3 levels in Europe is a major source of premature mortality from air pollution. However, mitigation actions have been mainly designed and implemented at the national and regional scales, lacking a comprehensive assessment of the geographic sources of O 3 pollution and its associated health impacts. Here we quantify both national and imported contributions to O 3 and their related mortality burden across 813 contiguous regions in 35 European countries, representing about 530 million people. Imported O 3 contributed to 88.3% of all O 3 -attributable deaths (intercountry range 83–100%). The greatest share of imported O 3 had its origins outside the study domain (that is, hemispheric sources), which was responsible for 56.7% of total O 3 -attributable mortality (range 42.5–87.2%). It was concluded that achieving the air-quality guidelines set out by the World Health Organization and avoiding the health impacts of O 3 require not only the implementation of national or coordinated pan-European actions but also global strategies.</w:t>
      </w:r>
    </w:p>
    <w:p>
      <w:r>
        <w:t>POSSIBLE 2023: Clean air in Europe for all — https://doi.org/10.1097/ee9.0000000000000245</w:t>
      </w:r>
    </w:p>
    <w:p>
      <w:r>
        <w:t>Shared claim-specific concepts: air, pollution, present, but, climate, quality; EU scope visible. This is a provisional connection, not an outcome finding.</w:t>
      </w:r>
    </w:p>
    <w:p>
      <w:r>
        <w:t>Available abstract (not full text): Introduction Ambient air pollution is a major global public health risk factor. There is now broad consensus that exposure to air pollution causes an array of adverse health effects based on evidence from a large scientific literature that has grown exponentially since the mid-1990s.1–4 Air pollution damages most organ systems and is linked to many debilitating diseases, such as asthma, cardiovascular diseases, chronic obstructive pulmonary disease, pneumonia, stroke, diabetes, lung cancer, and dementia.5 The Global Burden of Disease study estimated that in 2019 air pollution ranked as the fourth global risk factor for mortality, surpassed only by high blood pressure, tobacco use, and poor diet.6 The European Environment Agency estimated 300,000 premature deaths due to air pollution in the EU-27 in 2020—an unacceptable high air pollution burden.7 Air pollution levels have generally declined over the last several decades in Europe, due largely to successful air quality regulation and subsequent improvements in technology and industry. The current air quality legislation in Europe—the Ambient Air Quality Directive (AAQD) from 2008—set limit values for the annual mean of the air pollutants PM2.5 and NO2 to 25 and 40 µg/m3, respectively.8 These limit values are criticized for being insufficient to protect the health of EU citizens.9,10 The World Health Organization (WHO) released n</w:t>
      </w:r>
    </w:p>
    <w:p>
      <w:r>
        <w:t>POSSIBLE 2022: Reviewing the links and feedbacks between climate change and air pollution in Europe — https://doi.org/10.3389/fenvs.2022.954045</w:t>
      </w:r>
    </w:p>
    <w:p>
      <w:r>
        <w:t>Shared claim-specific concepts: air, pollution, mitigation, main, but, depending; EU scope visible. This is a provisional connection, not an outcome finding.</w:t>
      </w:r>
    </w:p>
    <w:p>
      <w:r>
        <w:t>Available abstract (not full text): Feedbacks between air pollutants and meteorology play a crucial role in the direction of the response of future climate and air pollution. These feedbacks are important to understand and quantify the potential impact of adaptation and mitigation policies setup for protecting the population against air pollution and heat stress. We review the interactions between climate and air pollution, with special focus on the projections of air pollution under different future climate scenarios and time horizons, based on a literature review of research articles and reports from the last decade. The assessment focuses on 1) the specific impacts of climate change on air pollution and natural particle and precursor emissions in Europe in the near future (2030), by mid-century (2050) and by end of the century (2100), 2) impacts on air pollution due to changes in emissions vs. changes in climate, 3) feedbacks from air pollution on climate, 4) impacts of climate change on wildland fires and air pollutant levels, and 5) the role of adaptation and mitigation policies on climate change and air pollution. Available literature to a large extent suggests that ozone concentrations will likely increase in the second half of the century by up to 9 ppb [−4 + 9.3], while in the first half of the century, changes are much smaller and are up to ±1.5 ppb. These changes are mainly attributed to increased temp</w:t>
      </w:r>
    </w:p>
    <w:p>
      <w:r>
        <w:t>POSSIBLE 2022: Spatial heterogeneity of air pollution statistics in Europe — https://doi.org/10.1038/s41598-022-16109-2</w:t>
      </w:r>
    </w:p>
    <w:p>
      <w:r>
        <w:t>Shared claim-specific concepts: air, pollution, leading, order; EU scope visible. This is a provisional connection, not an outcome finding.</w:t>
      </w:r>
    </w:p>
    <w:p>
      <w:r>
        <w:t xml:space="preserve">Available abstract (not full text): Air pollution is one of the leading causes of death globally, and continues to have a detrimental effect on our health. In light of these impacts, an extensive range of statistical modelling approaches has been devised in order to better understand air pollution statistics. However, the time-varying statistics of different types of air pollutants are far from being fully understood. The observed probability density functions (PDFs) of concentrations depend very much on the spatial location and on the pollutant substance. In this paper, we analyse a large variety of data from 3544 different European monitoring sites and show that the PDFs of nitric oxide (NO), nitrogen dioxide ([Formula: see text]) and particulate matter ([Formula: see text] and [Formula: see text]) concentrations generically exhibit heavy tails and are asymptotically well approximated by q-exponential distributions with a given width parameter [Formula: see text]. We observe that the power-law parameter q and the width parameter [Formula: see text] vary widely for the different spatial locations. For each substance, we find different patterns of parameter clouds in the [Formula: see text] plane. These depend on the type of pollutants and on the environmental characteristics (urban/suburban/rural/traffic/industrial/background). This means the effective statistical physics description of air pollution exhibits a </w:t>
      </w:r>
    </w:p>
    <w:p>
      <w:r>
        <w:t>POSSIBLE 2022: Measuring disparities in air transport access across Europe: An inequality, vulnerability and dependence approach — https://doi.org/10.1016/j.tra.2022.11.016</w:t>
      </w:r>
    </w:p>
    <w:p>
      <w:r>
        <w:t>Shared claim-specific concepts: air, indicator; EU scope visible. This is a provisional connection, not an outcome finding.</w:t>
      </w:r>
    </w:p>
    <w:p>
      <w:r>
        <w:t>Available abstract (not full text): Air transport networks tend to develop in accordance with underlying economic activity and links. This relationship in Europe has not developed entirely evenly or consistently, however, with some regional population centres having comparatively low levels of access to air transport services and global markets. This study focusses on air transport access inequality across 1,388 regions in Europe using the 20:20 ratio, a commonly used indicator in macroeconomic income inequality studies. For those regions in the bottom 5% in terms of degree centrality (using 2019 baseline data) an in-depth vulnerability, dependence and pandemic impact analysis was performed to determine the regions that may represent strong cases for state intervention to ensure continued access to a base level of essential air services. The stepwise methodological framework developed in this research could be used as a prioritisation tool by industry and policy stakeholders, most notably in the context of scarce public resources, which is a typical characteristic in Europe. The highest levels of inequality, vulnerability, dependence and pandemic impact were found in some Spanish, and Finnish regions.</w:t>
      </w:r>
    </w:p>
    <w:p>
      <w:r>
        <w:t>POSSIBLE 2021: COVID-19 and Air Pollution: Measuring Pandemic Impact to Air Quality in Five European Countries — https://doi.org/10.3390/atmos12030290</w:t>
      </w:r>
    </w:p>
    <w:p>
      <w:r>
        <w:t>Shared claim-specific concepts: air, pollution, improvement, quality; EU scope visible. This is a provisional connection, not an outcome finding.</w:t>
      </w:r>
    </w:p>
    <w:p>
      <w:r>
        <w:t>Available abstract (not full text): The rapid spread of the coronavirus (COVID-19) pandemic affected the economy, trade, transport, health care, social services, and other sectors. To control the rapid dispersion of the virus, most countries imposed national lockdowns and social distancing policies. This led to reduced industrial, commercial, and human activities, followed by lower air pollution emissions, which caused air quality improvement. Air pollution monitoring data from the European Environment Agency (EEA) datasets were used to investigate how lockdown policies affected air quality changes in the period before and during the COVID-19 lockdown, comparing to the same periods in 2018 and 2019, along with an assessment of the Index of Production variation impact to air pollution changes during the pandemic in 2020. Analysis results show that industrial and mobility activities were lower in the period of the lockdown along with the reduced selected pollutant NO2, PM2.5, PM10 emissions by approximately 20–40% in 2020.</w:t>
      </w:r>
    </w:p>
    <w:p>
      <w:r>
        <w:t>POSSIBLE 2021: Premature mortality due to air pollution in European cities: a health impact assessment — https://doi.org/10.1016/s2542-5196(20)30272-2</w:t>
      </w:r>
    </w:p>
    <w:p>
      <w:r>
        <w:t>Shared claim-specific concepts: air, pollution, but; EU scope visible. This is a provisional connection, not an outcome finding.</w:t>
      </w:r>
    </w:p>
    <w:p>
      <w:r>
        <w:t>Available abstract (not full text): Background Ambient air pollution is a major environmental cause of morbidity and mortality worldwide. Cities are generally hotspots for air pollution and disease. However, the exact extent of the health effects of air pollution at the city level is still largely unknown. We aimed to estimate the proportion of annual preventable deaths due to air pollution in almost 1000 cities in Europe. Methods We did a quantitative health impact assessment for the year 2015 to estimate the effect of air pollution exposure (PM 2·5 and NO 2 ) on natural-cause mortality for adult residents (aged ≥20 years) in 969 cities and 47 greater cities in Europe. We retrieved the cities and greater cities from the Urban Audit 2018 dataset and did the analysis at a 250 m grid cell level for 2015 data based on the global human settlement layer residential population. We estimated the annual premature mortality burden preventable if the WHO recommended values (ie, 10 μg/m 3 for PM 2·5 and 40 μg/m 3 for NO 2 ) were achieved and if air pollution concentrations were reduced to the lowest values measured in 2015 in European cities (ie, 3·7 μg/m 3 for PM 2·5 and 3·5 μg/m 3 for NO 2 ). We clustered and ranked the cities on the basis of population and age-standardised mortality burden associated with air pollution exposure. In addition, we did several uncertainty and sensitivity analyses to test the robustness of ou</w:t>
      </w:r>
    </w:p>
    <w:p>
      <w:r>
        <w:t>POSSIBLE 2020: Alkaline air: changing perspectives on nitrogen and air pollution in an ammonia-rich world — https://doi.org/10.1098/rsta.2019.0315</w:t>
      </w:r>
    </w:p>
    <w:p>
      <w:r>
        <w:t>Shared claim-specific concepts: air, pollution, present, leading, quality; EU scope visible. This is a provisional connection, not an outcome finding.</w:t>
      </w:r>
    </w:p>
    <w:p>
      <w:r>
        <w:t>Available abstract (not full text): Ammonia and ammonium have received less attention than other forms of air pollution, with limited progress in controlling emissions at UK, European and global scales. By contrast, these compounds have been of significant past interest to science and society, the recollection of which can inform future strategies. Sal ammoniac ( nūshādir , nao sha ) is found to have been extremely valuable in long-distance trade ( ca AD 600–1150) from Egypt and China, where 6–8 kg N could purchase a human life, while air pollution associated with nūshādir collection was attributed to this nitrogen form. Ammonia was one of the keys to alchemy—seen as an early experimental mesocosm to understand the world—and later became of interest as ‘alkaline air’ within the eighteenth century development of pneumatic chemistry. The same economic, chemical and environmental properties are found to make ammonia and ammonium of huge relevance today. Successful control of acidifying SO 2 and NO x emissions leaves atmospheric NH 3 in excess in many areas, contributing to particulate matter (PM 2.5 ) formation, while leading to a new significance of alkaline air, with adverse impacts on natural ecosystems. Investigations of epiphytic lichens and bog ecosystems show how the alkalinity effect of NH 3 may explain its having three to five times the adverse effect of ammonium and nitrate, respectively. It is concluded t</w:t>
      </w:r>
    </w:p>
    <w:p>
      <w:r>
        <w:t>POSSIBLE 2020: Effects of global ship emissions on European air pollution levels — https://doi.org/10.5194/acp-20-11399-2020</w:t>
      </w:r>
    </w:p>
    <w:p>
      <w:r>
        <w:t>Shared claim-specific concepts: air, pollution, both, but; EU scope visible. This is a provisional connection, not an outcome finding.</w:t>
      </w:r>
    </w:p>
    <w:p>
      <w:r>
        <w:t xml:space="preserve">Available abstract (not full text): Abstract. Ship emissions constitute a large, and so far poorly regulated, source of air pollution. Emissions are mainly clustered along major ship routes, both in open seas and close to densely populated shorelines. Major air pollutants emitted include sulfur dioxide, NOx and particles. Sulfur dioxide and NOx are both major contributors to the formation of secondary fine particles (PM2.5) and to acidification and eutrophication. In addition, NOx is a major precursor for ground-level ozone. This study is based on global and regional model calculations. The model runs are made with meteorology and emission data representative for year 2017, after the tightening of the SECA (Sulphur Emission Control Area) regulations in 2015, but before the global sulfur cap entering into force in 2020. We have also made model runs reducing sulfur emissions by 80 % corresponding to the 2020 requirements. This study is based on model sensitivity studies perturbing emissions from different sea areas: the Northern European SECA in the North Sea and the Baltic Sea, the Mediterranean Sea and the Black Sea, the Atlantic Ocean close to Europe, shipping in the rest of the world and finally all global ship emissions together. Sensitivity studies have also been made setting lower bounds on the effects of ship plumes on ozone formation. The results from the global and regional calculations are similar. Both </w:t>
      </w:r>
    </w:p>
    <w:p>
      <w:r>
        <w:t>POSSIBLE 2019: Cardiovascular disease burden from ambient air pollution in Europe reassessed using novel hazard ratio functions — https://doi.org/10.1093/eurheartj/ehz135</w:t>
      </w:r>
    </w:p>
    <w:p>
      <w:r>
        <w:t>Shared claim-specific concepts: air, pollution, leading, about; EU scope visible. This is a provisional connection, not an outcome finding.</w:t>
      </w:r>
    </w:p>
    <w:p>
      <w:r>
        <w:t>Available abstract (not full text): AIMS: Ambient air pollution is a major health risk, leading to respiratory and cardiovascular mortality. A recent Global Exposure Mortality Model, based on an unmatched number of cohort studies in many countries, provides new hazard ratio functions, calling for re-evaluation of the disease burden. Accordingly, we estimated excess cardiovascular mortality attributed to air pollution in Europe. METHODS AND RESULTS: The new hazard ratio functions have been combined with ambient air pollution exposure data to estimate the impacts in Europe and the 28 countries of the European Union (EU-28). The annual excess mortality rate from ambient air pollution in Europe is 790 000 [95% confidence interval (95% CI) 645 000-934 000], and 659 000 (95% CI 537 000-775 000) in the EU-28. Between 40% and 80% are due to cardiovascular events, which dominate health outcomes. The upper limit includes events attributed to other non-communicable diseases, which are currently not specified. These estimates exceed recent analyses, such as the Global Burden of Disease for 2015, by more than a factor of two. We estimate that air pollution reduces the mean life expectancy in Europe by about 2.2 years with an annual, attributable per capita mortality rate in Europe of 133/100 000 per year. CONCLUSION: We provide new data based on novel hazard ratio functions suggesting that the health impacts attributable to a</w:t>
      </w:r>
    </w:p>
    <w:p>
      <w:r>
        <w:t>POSSIBLE 2017: Air pollution and social inequality in the European Union — https://openalex.org/W2897528287</w:t>
      </w:r>
    </w:p>
    <w:p>
      <w:r>
        <w:t>Shared claim-specific concepts: air, pollution, but, about; EU scope visible. This is a provisional connection, not an outcome finding.</w:t>
      </w:r>
    </w:p>
    <w:p>
      <w:r>
        <w:t>Available abstract (not full text): Commonly, air pollution is treated by the European Union (EU) and its member states as a structural problem with technical, one-size-fit-all solutions. The EU has the ambition to follow the United Nation’s Sustainable Development Goals , Agenda 2030 , in which, for example, gender equality is highlighted. Yet, the legislation on toxic air does not explicitly mention how they aim to achieve social equality. Neither has it a gender or intersectional perspective, as far as I could find. Instead, the EU Sustainable Development Strategy rather focus on resource efficiency and ‘green’ economic growth as a trickle-down-theory solution. Since 2008 is clean air stated as a human right in the United Kingdom (UK), but tens of thousands living in UK die every year as a result of toxic air. The environmental law organisation ClientEarth has sued the UK government on their lack of action on this, and won a precedential case in the European Court of Justice in 2014. This study compares how the EU and ClientEarth speak about air pollution and social equality, foremost in regards to health and sustainable transport. None of the actors go into greater detail on how social categories such as those with lower socioeconomic status are affected differently by ambient air, and what can be done about it. The essay therefore concludes that legislation on toxic air needs to be contextualised to a greate</w:t>
      </w:r>
    </w:p>
    <w:p>
      <w:pPr>
        <w:pStyle w:val="Heading2"/>
      </w:pPr>
      <w:r>
        <w:t>Impact of climate change on ozone-related mortality and morbidity in Europe</w:t>
      </w:r>
    </w:p>
    <w:p>
      <w:r>
        <w:t>Original source (2012): https://doi.org/10.1183/09031936.00210411</w:t>
      </w:r>
    </w:p>
    <w:p>
      <w:r>
        <w:t>Original wording (abstract; indexed_source_text_not_full_document_verified): Comparing the baseline period and the future periods (2021-2050 and 2041-2060), much larger increases in ozone-related mortality and morbidity are projected for Belgium, France, Spain and Portugal, with the impact being stronger using the climate projection from ECHAM4 (A2).</w:t>
      </w:r>
    </w:p>
    <w:p>
      <w:r>
        <w:t>POSSIBLE 2025: New baselines, new extremes? Assessing the impact of reference periods on climate extremes in Central Europe — https://doi.org/10.5194/ems2025-601</w:t>
      </w:r>
    </w:p>
    <w:p>
      <w:r>
        <w:t>Shared claim-specific concepts: baseline, period, periods, climate; EU scope visible. This is a provisional connection, not an outcome finding.</w:t>
      </w:r>
    </w:p>
    <w:p>
      <w:r>
        <w:t>Available abstract (not full text): Climatological normal periods are used to describe the typical climate conditions that can be expected in a given location. These climate normals – statistical values such as means or totals for specific climate elements – are calculated for non-overlapping 30-year periods. The 1961–1990 period was probably the most widely used reference baseline in modern climatology, as it was recommended by the World Meteorological Organization for long-term climate change assessments. Now that 2020 has passed, a new climatological normal period (1991–2020) can be adopted. This raises an important question: how will this updated baseline affect the way we define anomalies and extremes, given that climate warming has already shifted what is now considered “normal” in many regions? With ongoing climate change, the statistical definition of “normal” itself is evolving – potentially influencing climate assessments and regional comparisons.The main aim of this study is to assess how the selection of the reference period (1961–1990 vs. 1991–2020) influences how extremes are defined and distributed across Central Europe, based on a new high-resolution dataset. First, we compared how the choice of baseline period affects spatial and seasonal patterns of air temperature and precipitation indices. These indices include mean values and counts of extreme days defined by absolute thresholds. Next, we ass</w:t>
      </w:r>
    </w:p>
    <w:p>
      <w:r>
        <w:t>POSSIBLE 2025: Diverging trends in large floods across Europe in a warming climate — https://doi.org/10.1038/s43247-025-02734-y</w:t>
      </w:r>
    </w:p>
    <w:p>
      <w:r>
        <w:t>Shared claim-specific concepts: larger, increases, climate; EU scope visible. This is a provisional connection, not an outcome finding.</w:t>
      </w:r>
    </w:p>
    <w:p>
      <w:r>
        <w:t>Available abstract (not full text): Abstract Large floods, which affect multiple regions simultaneously, pose substantial risks to lives and economies. In a warmer climate, increased precipitation extremes and reduced snowmelt are expected to alter flood characteristics, but how the dynamics of large floods across Europe will evolve under climate change remains unclear. By jointly assessing projected changes in the timing, spatial extent and volume of large floods in a warmer world, here we show that earlier snowmelt generally leads to earlier floods, while increasing precipitation contributions attenuate flood seasonality. Although continental-scale averages suggest limited change, they mask substantial regional heterogeneity. In western Europe, projected increases in heavy precipitation result in larger flood extents and volumes. In contrast, reduced snowmelt dominates changes in the largest floods in northern Europe, with localized shifts from snowmelt-driven to rainfall-driven floods. These regionally diverse responses of large floods to climate change should be considered in transnational flood risk management across Europe.</w:t>
      </w:r>
    </w:p>
    <w:p>
      <w:r>
        <w:t>POSSIBLE 2023: Contact allergy to corticosteroids: Is the European baseline series sufficient? — https://doi.org/10.1111/cod.14358</w:t>
      </w:r>
    </w:p>
    <w:p>
      <w:r>
        <w:t>Shared claim-specific concepts: baseline, period, stronger; EU scope visible. This is a provisional connection, not an outcome finding.</w:t>
      </w:r>
    </w:p>
    <w:p>
      <w:r>
        <w:t>Available abstract (not full text): BACKGROUND: Patients are consecutively screened for contact allergy to corticosteroids with budesonide and tixocortol-21-pivalate in the European baseline series. Centres using TRUE Test also include hydrocortisone-17-butyrate. A supplementary corticosteroid patch test series is used in case of suspicion of corticosteroid contact allergy or when a marker of corticosteroid contact allergy is positive. OBJECTIVE: The aims were to evaluate (1) the efficacy of corticosteroids in the TRUE Test and (2) co-sensitization patterns. METHODS: This retrospective study analysed patients patch tested with TRUE Test corticosteroids plus supplementary corticosteroid series in the period 2006-2020 at the Department of Dermatology and Allergy Centre, Odense University Hospital. RESULTS: Of 1852 patients tested, 119 were sensitised to TRUE Test corticosteroids and supplementary testing found additional reactions to other corticosteroids in 19 of 119 patients. TRUE Test corticosteroids gave more positive and stronger reactions compared to allergens in petrolatum/ethanol. Fourteen percent of sensitised patients were co-sensitised to multiple corticosteroid groups. Baeck group 3 corticosteroids accounted for 9 of 16 patients not identified by TRUE Test. CONCLUSIONS: Budesonide, hydrocortisone-17-butyrate, and tixocortol-21-pivalate in combination are sensitive corticosteroid markers. In case of clin</w:t>
      </w:r>
    </w:p>
    <w:p>
      <w:r>
        <w:t>POSSIBLE 2021: Emerging new climate extremes over Europe — https://doi.org/10.1007/s00382-021-05917-3</w:t>
      </w:r>
    </w:p>
    <w:p>
      <w:r>
        <w:t>Shared claim-specific concepts: baseline, period, larger, stronger, climate; EU scope visible. This is a provisional connection, not an outcome finding.</w:t>
      </w:r>
    </w:p>
    <w:p>
      <w:r>
        <w:t>Available abstract (not full text): Abstract Human society and natural systems are intrinsically adapted to the local climate mean and variability. Therefore, changes relative to the local expected variability are highly relevant for assessing impact and planning for adaptation as the climate changes. We analyse the emerging climate signal relative to the diagnosed internal variability (signal-to-noise ratio, S/N) of a set of recently published climate indices over Europe. We calculate the signal-to-noise ratio with respect to a recent baseline (1951-1983) which relates to recent societal experience. In this framework, we find that during the 2000-2016 period, many areas of Europe already experienced significant changes in climate extremes, even when compared to this recent period which is within living memory. In particular, the S/N of extreme temperatures is larger than 1 and 2 over 34% and 4% of Europe, respectively. We also find that about 15% of Europe is experiencing more intense winter precipitation events, while in summer, 7% of Europe is experiencing stronger drought-inducing conditions.</w:t>
      </w:r>
    </w:p>
    <w:p>
      <w:r>
        <w:t>POSSIBLE 2020: Patch test results of the European baseline series among 1309 patients in Turkey between 2013 and 2019 — https://doi.org/10.1111/cod.13653</w:t>
      </w:r>
    </w:p>
    <w:p>
      <w:r>
        <w:t>Shared claim-specific concepts: baseline, period, increases; EU scope visible. This is a provisional connection, not an outcome finding.</w:t>
      </w:r>
    </w:p>
    <w:p>
      <w:r>
        <w:t>Available abstract (not full text): BACKGROUND: Prevalences of sensitivity to contact allergens change over time as a result of variations in allergen exposure. OBJECTIVES: The aim of the study was to describe trends in sensitisation to allergens of the European baseline series in Turkey between 2013 and 2019. METHODS: The patch test results of 1309 patients with suspected allergic contact dermatitis (ACD) were analysed retrospectively, and the prevalence of contact allergies to European baseline series allergens was compared with previous data (for 1998-2005). RESULTS: A total of 534 (40.8%) patients exhibited one or more positive patch test reaction. The five most frequent allergens were nickel sulfate (19.6%), potassium dichromate (6.5%), cobalt chloride (6%), Myroxylon pereirae resin (5%), and p-phenylenediamine (PPD; 3.7%). Statistically significant increases in the prevalence of sensitisation to methylchloroisothiazolinone/methylisothiazolinone (MCI/MI; P &lt; .001), Myroxylon pereirae resin (P &lt; .001), PPD (P = .008), and fragrance mix I (P = .036) were observed in the 2013 to 2019 period compared with the 1998 to 2005 period. Conversely, positive reactions to neomycin sulfate (P = .029), clioquinol (P = .031), and primin (P = .001) decreased significantly. CONCLUSION: This study provides a comprehensive profile of ACD in Turkey. The remarkable increase in the MI and MCI/MI contact allergy observed underlines</w:t>
      </w:r>
    </w:p>
    <w:p>
      <w:r>
        <w:t>POSSIBLE 2020: The Role of Social Support in Machismo and Acceptance of Violence Among Adolescents in Europe: Lights4Violence Baseline Results — https://doi.org/10.1016/j.jadohealth.2020.09.007</w:t>
      </w:r>
    </w:p>
    <w:p>
      <w:r>
        <w:t>Shared claim-specific concepts: baseline, spain, portugal; EU scope visible. This is a provisional connection, not an outcome finding.</w:t>
      </w:r>
    </w:p>
    <w:p>
      <w:r>
        <w:t>Available abstract (not full text): Purpose To analyze the potential association between social support, experiences of violence, and sociodemographic characteristics of adolescents and the likelihood of acceptance of violence and machismo in different European countries. Methods Cross-sectional design. We recruited 1,555 participants ages 13–16 from secondary schools in Alicante (Spain), Rome (Italy), Iasi (Romania), Matosinhos (Portugal), Poznan (Poland), and Cardiff (UK). We used linear regression models to identify how social support from teachers and parents, experiences of violence—dating violence, bullying, cyberbullying, abuse in childhood—and sociodemographic characteristics were associated with violent thinking, specifically: machismo and acceptance of violence. The analysis was stratified by sex. Results Acceptance of violence was higher for those who had lower perceived social support from parents (β girls = −154, p &lt; .001; β boys = −.114, p = .019) for both sexes. Perpetration of bullying and/or cyberbullying was associated with higher scores for machismo and acceptance of violence for both sexes (β girls = .067, p = .035; β boys = .225, p &lt; .001; (β girls = .118, p &lt; .001; β boys = .210, p &lt; .001). Being the victim of dating violence, having suffered physical and/or sexual abuse in childhood, and lower perceived social support from teachers were associated with higher scores for both machismo and ac</w:t>
      </w:r>
    </w:p>
    <w:p>
      <w:r>
        <w:t>POSSIBLE 2020: Comparing interannual variability in three regional single-model initial-condition large ensembles (SMILEs) over Europe — https://doi.org/10.5194/esd-11-1013-2020</w:t>
      </w:r>
    </w:p>
    <w:p>
      <w:r>
        <w:t>Shared claim-specific concepts: comparing, periods, increases, france, climate; EU scope visible. This is a provisional connection, not an outcome finding.</w:t>
      </w:r>
    </w:p>
    <w:p>
      <w:r>
        <w:t xml:space="preserve">Available abstract (not full text): Abstract. Single model large ensembles are widely used model experiments to estimate internal climate variability. The underlying assumption is that the internal variability (here: inter-annual variability) of the chosen model is a good approximation of the observed natural (inter-annual) variability. In this study, we test this assumption based on three regional climate model large ensembles (16 members of an EC-EARTH-RACMO ensemble, 21 members of a CESM-CCLM ensemble, 50 members of a CanESM-CRCM ensemble) for four European domains (British Isles, France, Mid-Europe, Alps). Simulated inter-annual variability is evaluated against E-OBS and the inter-annunal variability and its future change are compared across the ensembles. To the knowledge of the authors, this is the first comparison of regional large ensembles over Europe. Analysis comprises seasonal temperature and precipitation, as well as indicators for dry periods and heat waves. Results show a large consistency of all three ensembles with E-OBS data for most indicators and regions, validating the abilities of these ensembles to represent natural variability on the annual scale. EC-EARTH-RACMO shows the highest inter-annual variability for winter temperature and precipitation, whereas CESM-CCLM shows the highest variability for summer temperature and precipitation, as well as for heatwaves and dry periods. Despite these </w:t>
      </w:r>
    </w:p>
    <w:p>
      <w:r>
        <w:t>POSSIBLE 2020: Machine learning for large-scale crop yield forecasting — https://doi.org/10.1016/j.agsy.2020.103016</w:t>
      </w:r>
    </w:p>
    <w:p>
      <w:r>
        <w:t>Shared claim-specific concepts: baseline, much, france; EU scope visible. This is a provisional connection, not an outcome finding.</w:t>
      </w:r>
    </w:p>
    <w:p>
      <w:r>
        <w:t>Available abstract (not full text): Many studies have applied machine learning to crop yield prediction with a focus on specific case studies. The data and methods they used may not be transferable to other crops and locations. On the other hand, operational large-scale systems, such as the European Commission's MARS Crop Yield Forecasting System (MCYFS), do not use machine learning. Machine learning is a promising method especially when large amounts of data are being collected and published. We combined agronomic principles of crop modeling with machine learning to build a machine learning baseline for large-scale crop yield forecasting. The baseline is a workflow emphasizing correctness, modularity and reusability. For correctness, we focused on designing explainable predictors or features (in relation to crop growth and development) and applying machine learning without information leakage. We created features using crop simulation outputs and weather, remote sensing and soil data from the MCYFS database. We emphasized a modular and reusable workflow to support different crops and countries with small configuration changes. The workflow can be used to run repeatable experiments (e.g. early season or end of season predictions) using standard input data to obtain reproducible results. The results serve as a starting point for further optimizations. In our case studies, we predicted yield at regional level for f</w:t>
      </w:r>
    </w:p>
    <w:p>
      <w:r>
        <w:t>POSSIBLE 2017: Migrating Huns and modified heads: Eigenshape analysis comparing intentionally modified crania from Hungary and Georgia in the Migration Period of Europe — https://doi.org/10.1371/journal.pone.0171064</w:t>
      </w:r>
    </w:p>
    <w:p>
      <w:r>
        <w:t>Shared claim-specific concepts: comparing, baseline, period; EU scope visible. This is a provisional connection, not an outcome finding.</w:t>
      </w:r>
    </w:p>
    <w:p>
      <w:r>
        <w:t>Available abstract (not full text): An intentionally modified head is a visually distinctive sign of group identity. In the Migration Period of Europe (4th- 7th century AD) the practice of intentional cranial modification was common among several nomadic groups, but was strongly associated with the Huns from the Carpathian Basin in Hungary, where modified crania are abundant in archaeological sites. The frequency of modified crania increased substantially in the Mtskheta region of Georgia in this time period, but there are no records that Huns settled here. We compare the Migration Period modified skulls from Georgia with those from Hungary to test the hypothesis that the Huns were responsible for cranial modification in Georgia. We use extended eigenshape analysis to quantify cranial outlines, enabling a discriminant analysis to assess group separation and identify morphological differences. Twenty-one intentionally modified skulls from Georgia are compared with sixteen from Hungary, using nineteen unmodified crania from a modern population as a comparative baseline. Results indicate that modified crania can be differentiated from modern unmodified crania with 100% accuracy. The Hungarian and Georgian crania show some overlap in shape, but can be classified with 81% accuracy. Shape gradations along the main eigenvectors indicate that the Hungarian crania show little variation in cranial shape, in accordance with</w:t>
      </w:r>
    </w:p>
    <w:p>
      <w:r>
        <w:t>POSSIBLE 2016: Time trends of contact allergy to the European baseline series in Lithuania — https://doi.org/10.1111/cod.12726</w:t>
      </w:r>
    </w:p>
    <w:p>
      <w:r>
        <w:t>Shared claim-specific concepts: baseline, period, increases; EU scope visible. This is a provisional connection, not an outcome finding.</w:t>
      </w:r>
    </w:p>
    <w:p>
      <w:r>
        <w:t xml:space="preserve">Available abstract (not full text): BACKGROUND: Monitoring trends of positive patch test reactions is useful for epidemiological surveillance and contact allergy prevention, and has not previously been reported in Lithuania. OBJECTIVES: To examine and compare changes in the prevalence of contact allergy to European baseline series allergens in adults with suspected contact dermatitis during a 9-year period. METHODS: In this retrospective study, patch test results of 297 consecutive patients, tested with the European baseline series in 2014-2015, were analysed and compared with the data published earlier in Lithuania. RESULTS: The most common allergens were nickel sulfate (30.6%), methylisothiazolinone (MI) (13.5%), methylchloroisothiazolinone (MCI)/MI (7.4%), potassium dichromate (6.1%), cobalt chloride (6.1%), Myroxylon pereirae resin (5.4%), p-phenylenediamine (5.4%), fragrance mix I (4.7%), formaldehyde (4.4%), and methyldibromo glutaronitrile (3.7%). Increases in the prevalence of sensitization to MCI/MI (2.3% in 2006-2008 and 7.4% in 2014-2015; p &lt; 0.0001) and nickel sulfate (16.4% in 2006-2008 and 30.6% in 2014-2015; p &lt; 0.0001) and decreases in the prevalence of sensitization to paraben mix (3.2% in 2006-2008 and 0.3% in 2014-2015; p = 0.006) were observed. Prevalences for the other allergens remained stable or showed a decreasing trend (Myroxylon pereirae resin; p = 0.06). CONCLUSION: This study provides </w:t>
      </w:r>
    </w:p>
    <w:p>
      <w:r>
        <w:t>POSSIBLE 2015: Influenza surveillance in E urope: comparing intensity levels calculated using the moving epidemic method — https://doi.org/10.1111/irv.12330</w:t>
      </w:r>
    </w:p>
    <w:p>
      <w:r>
        <w:t>Shared claim-specific concepts: comparing, baseline, period, belgium, spain; EU scope visible. This is a provisional connection, not an outcome finding.</w:t>
      </w:r>
    </w:p>
    <w:p>
      <w:r>
        <w:t>Available abstract (not full text): OBJECTIVES: Although influenza-like illnesses (ILI) and acute respiratory illnesses (ARI) surveillance are well established in Europe, the comparability of intensity among countries and seasons remains an unresolved challenge. The objective is to compare the intensity of ILI and ARI in some European countries. DESIGN AND SETTING: Weekly ILI and ARI incidence rates and proportion of primary care consultations were modeled in 28 countries for the 1996/1997-2013/2014 seasons using the moving epidemic method (MEM). We calculated the epidemic threshold and three intensity thresholds, which delimit five intensity levels: baseline, low, medium, high, and very high. The intensity of 2013/2014 season is described and compared by country. RESULTS: The lowest ILI epidemic thresholds appeared in Sweden and Estonia (below 10 cases per 100 000) and the highest in Belgium, Denmark, Hungary, Poland, Serbia, and Slovakia (above 100 per 100 000). The 2009/2010 season was the most intense, with 35% of the countries showing high or very high intensity levels. The European epidemic period in season 2013/2014 started in January 2014 in Spain, Poland, and Greece. The intensity was between low and medium and only Greece reached the high intensity level, in weeks 7 to 9/2014. Some countries remained at the baseline level throughout the entire surveillance period. CONCLUSIONS: Epidemic and intensity thr</w:t>
      </w:r>
    </w:p>
    <w:p>
      <w:r>
        <w:t>POSSIBLE 2014: The Importance of Baseline Surveys of Near-Surface Gas Geochemistry for CCS Monitoring, as Shown from Onshore Case Studies in Northern and Southern Europe — https://doi.org/10.2516/ogst/2014009</w:t>
      </w:r>
    </w:p>
    <w:p>
      <w:r>
        <w:t>Shared claim-specific concepts: baseline, much, larger, climate; EU scope visible. This is a provisional connection, not an outcome finding.</w:t>
      </w:r>
    </w:p>
    <w:p>
      <w:r>
        <w:t>Available abstract (not full text): The monitoring of the integrity of onshore geological carbon capture and storage projects will require an approach that integrates various methods with different spatial and temporal resolutions. One method proven to be quite effective for site assessment, leakage monitoring, and leakage verification is near-surface gas geochemistry, which includes soil gas concentration and gas flux measurements. Anomalous concentrations or fluxes, relative to the natural background values, can indicate the potential occurrence of a leak. However the natural background can be quite variable, especially for CO2, due to biological production and accumulation in the soil that changes as a function of soil type, land use, geology, temperature, water content, and various other parameters. To better understand how these parameters influence natural, near-surface background values, and to examine the potential of different sampling strategies as a function of the survey goals, this paper reports results from two highly different case studies, one from northern Europe (Voulund, Denmark) and one from southern Europe (Sulcis, Sardinia, Italy). The small Voulund site, with its homogeneous soil, climate, and topography, was surveyed twice (in fall and in spring) within the EU-funded SiteChar project to examine the effects of different land use practices and seasons on baseline values. Forested land was fo</w:t>
      </w:r>
    </w:p>
    <w:p>
      <w:pPr>
        <w:pStyle w:val="Heading2"/>
      </w:pPr>
      <w:r>
        <w:t>Implications of sustainability constraints on UK bioenergy development: Assessing optimistic and precautionary approaches with UK MARKAL</w:t>
      </w:r>
    </w:p>
    <w:p>
      <w:r>
        <w:t>Original source (2012): https://doi.org/10.1016/j.enpol.2012.05.015</w:t>
      </w:r>
    </w:p>
    <w:p>
      <w:r>
        <w:t>Original wording (abstract; indexed_source_text_not_full_document_verified): The paper then examines the implications of these scenarios using the energy systems model MARKAL, finding that a precautionary approach adds to the cost of decarbonisation, but does not significantly alter the optimal technology mix.</w:t>
      </w:r>
    </w:p>
    <w:p>
      <w:r>
        <w:t>POSSIBLE 2025: Examining the Viable Systems Model (VSM) for Systems of Systems — https://doi.org/10.1109/sose66311.2025.11083819</w:t>
      </w:r>
    </w:p>
    <w:p>
      <w:r>
        <w:t>Shared claim-specific concepts: implications, systems; EU scope not established. This is a provisional connection, not an outcome finding.</w:t>
      </w:r>
    </w:p>
    <w:p>
      <w:r>
        <w:t>Available abstract (not full text): In cybernetics, the Viable Systems Model (VSM) is used to describe the control of complex autonomous and adaptable systems. VSM consists of five levels of sub-systems, from lower level operations towards higher level strategy, and it has been successfully applied to several areas of operational management as a tool for diagnostics. In this paper we analyze the suitability of VSM towards Systems of Systems (SoS) and whether it can be leveraged as a positive mechanism for the control of complex SoS. We summarize VSM and its usage in organizational management, and connect the main SoS topics towards VSM. We also extend the basic principles and ideas of VSM towards SoS, and discuss the implications and practical considerations. We evaluate the usefulness of VSM through a electrified construction site use case, and critically analyze its wider application in the SoS domain.</w:t>
      </w:r>
    </w:p>
    <w:p>
      <w:r>
        <w:t>POSSIBLE 2023: Examining research systems and models for local government: a systematic review — https://doi.org/10.1332/17442648y2023d000000002</w:t>
      </w:r>
    </w:p>
    <w:p>
      <w:r>
        <w:t>Shared claim-specific concepts: systems, approach, but, optimal; EU scope visible. This is a provisional connection, not an outcome finding.</w:t>
      </w:r>
    </w:p>
    <w:p>
      <w:r>
        <w:t>Available abstract (not full text): Background: Local authorities (LA) are key in improving population health, and LA public health decision makers need support from appropriately organised research capacity; however, few models of LA research systems are known to exist. Aims and objectives: To explore potential and existing models of LA-based research systems. Methods: This mapping review and time-constrained systematic review synthesises conceptual and empirical literature from 12 health and social science databases, grey literature and reference/citation tracking. Three reviewers screened titles, abstracts and full texts of retrieved records, and extracted key data from included papers. Evidence was synthesised based on characteristics of research systems and quality-assessed for relevance, rigour and richness. Findings: Nine models were examined in depth. From these, we developed a typology of research systems. Few models were specifically designed for LA research activity; as a Whole System approach, the Local Authority Champions of Research model offers a potential blueprint. Useful lessons may be learned from UK Collaborations for Leadership in Applied Health Research, Academic Collaborative Centres in the Netherlands, local Research and Development units in Sweden, and generic University-Community partnerships. Discussion and conclusions: An optimal research system requires the coexistence of multiple sys</w:t>
      </w:r>
    </w:p>
    <w:p>
      <w:r>
        <w:t>POSSIBLE 2022: Are Black Girls Exhibiting Puberty Earlier? Examining Implications of Race-Based Guidelines — https://doi.org/10.1542/peds.2021-055595</w:t>
      </w:r>
    </w:p>
    <w:p>
      <w:r>
        <w:t>Shared claim-specific concepts: implications, does, not; EU scope not established. This is a provisional connection, not an outcome finding.</w:t>
      </w:r>
    </w:p>
    <w:p>
      <w:r>
        <w:t>Available abstract (not full text): From 1977 to 2013, the average age of thelarche, the first sign of puberty in girls, decreased by nearly 3 months per decade.1 This trend, along with rising rates of precocious puberty in girls, has significant implications for girls’ physical and psychosocial development, especially because early puberty has been linked to future health risks.2,3In 1997, the Pediatric Research in Office Setting study introduced race into the discourse surrounding pubertal timing trends.4 In a study of approximately 17 000 girls, Black girls at every age had more advanced breast development compared with White girls. Breast development had begun at age 6 years for 6.4% of Black and 2.8% of White girls and, by 8 years, 37.8% of Black and 10.5% of White girls.4 Because of these findings, the Pediatric Endocrine Society Drugs and Therapeutic Committee recommended new race-based criteria for defining precocious puberty.5 Proposed recommendations stated that breast development should be considered precocious in Black girls younger than 6 years and White girls younger than 7 years.5 Although these guidelines were never formally recognized, race has become widely accepted as a factor in the pubertal timing of girls and has been included in recent American Academy of Pediatrics (AAP) clinical reports6 and Pediatric Endocrine Society guidelines.7 As a result, many patients, caregivers, medical students,</w:t>
      </w:r>
    </w:p>
    <w:p>
      <w:r>
        <w:t>POSSIBLE 2022: Re-examining post-acceptance model of information systems continuance: A revised theoretical model using MASEM approach — https://doi.org/10.1016/j.ijinfomgt.2022.102571</w:t>
      </w:r>
    </w:p>
    <w:p>
      <w:r>
        <w:t>Shared claim-specific concepts: systems, approach, technology; EU scope not established. This is a provisional connection, not an outcome finding.</w:t>
      </w:r>
    </w:p>
    <w:p>
      <w:r>
        <w:t>Available abstract (not full text): This study extends the post-acceptance model of information systems (IS) continuance, which is widely used to explain users’ satisfaction and IS continuance intentions. The extended model includes additional variables such as perceived ease of use (PEOU), attitude, trust, and enjoyment. The proposed model was tested using meta-analytic structural equation modeling (MASEM). The analysis included 1,056 observations on fifteen relationships from 214 independent studies with a combined sample of 84,343. The results confirm the significance of all the relationships proposed in the original model. Furthermore, the findings indicate that PEOU directly influences perceived usefulness, satisfaction, and attitude. Trust and enjoyment both have a positive impact on users’ satisfaction and IS continuance, wherein the effect of enjoyment was higher than trust. post-consumption satisfaction resulted in a favorable attitude toward technology, which further affected IS continuance. From a theoretical perspective, the current study acknowledges the shift in users’ attitude toward technology and emphasizes the hedonic value of IS usage as users report a higher degree of satisfaction toward responsive, easy to use, and enjoyable technologies. Marketers should focus on the enjoyment and gratifications derived from technology to increase potential IS usage.</w:t>
      </w:r>
    </w:p>
    <w:p>
      <w:r>
        <w:t>POSSIBLE 2022: #foodporn: examining Instagram food influencers through the systems model of creativity — https://doi.org/10.1080/22041451.2022.2137248</w:t>
      </w:r>
    </w:p>
    <w:p>
      <w:r>
        <w:t>Shared claim-specific concepts: examines, systems; EU scope not established. This is a provisional connection, not an outcome finding.</w:t>
      </w:r>
    </w:p>
    <w:p>
      <w:r>
        <w:t>Available abstract (not full text): Social media influencers (SMIs) are having a profound impact on how diners seek information about culinary establishments and are redefining how the marketing industry promotes restaurants and brands. Although research has confirmed the value of an SMI’s electronic word of mouth (eWOM) endorsement on brand recognition and purchase intention, there is limited understanding of the creative practice of these individuals. To address this gap, this research examines Instagram food influencers in Australia, using the systems model of creativity to frame the research. This research found that as an individual agent in a system, Instagram food influencers are impacted by their personal experiences, their immersion in cultural domains, their understanding of the field’s preferences and engagement with its social system when creating content. These findings indicate that the systems model of creativity is a sound framework to understand the creative practice of SMIs.</w:t>
      </w:r>
    </w:p>
    <w:p>
      <w:r>
        <w:t>POSSIBLE 2022: Examining virtual reality as a platform for developing mental models of industrial systems — https://doi.org/10.1111/jcal.12731</w:t>
      </w:r>
    </w:p>
    <w:p>
      <w:r>
        <w:t>Shared claim-specific concepts: examines, systems, not, significantly, technology; EU scope not established. This is a provisional connection, not an outcome finding.</w:t>
      </w:r>
    </w:p>
    <w:p>
      <w:r>
        <w:t>Available abstract (not full text): Abstract Industrial systems can be complex and not intuitive to perceive. Therefore, students in technology and engineering programs can benefit from developing mental models of industrial systems during their journey in college. However, more often than not, these students do not have access to industrial facilities; thus, developing mental models for systems is a challenge. This paper examines the merit of an Immersive Virtual Reality (IVR) framework application in creating proper mental models for industrial systems in technology and engineering students. Two IVR applications were developed. One IVR application afforded interaction with components of a prefabricated industrial cooling water system (CWVR). In the other application, students designed and built industrial systems with IVR (system designer VR [SDVR]). SDVR facilitated constructive‐generative engagement. A group of 33 students was divided into two; one group (the Design, experimental group) was tasked with building a system with SDVR and interacting with the cooling water system in CWVR. The other group was tasked with directly interacting with the CWVR without building a system with SDVR (the Interaction, comparison group). Students' mental models of the cooling water system in CWVR were evaluated following completing the interaction experience with CWVR. The results demonstrate that the causal model notion of t</w:t>
      </w:r>
    </w:p>
    <w:p>
      <w:r>
        <w:t>POSSIBLE 2021: A Model for Examining Challenges and Opportunities in Use of Cloud Computing for Health Information Systems — https://doi.org/10.3390/asi4010015</w:t>
      </w:r>
    </w:p>
    <w:p>
      <w:r>
        <w:t>Shared claim-specific concepts: systems, but, not, technology; EU scope not established. This is a provisional connection, not an outcome finding.</w:t>
      </w:r>
    </w:p>
    <w:p>
      <w:r>
        <w:t>Available abstract (not full text): Health Information Systems (HIS) are becoming crucial for health providers, not only for keeping Electronic Health Records (EHR) but also because of the features they provide that can be lifesaving, thanks to the advances in Information Technology (IT). These advancements have led to increasing demands for additional features to these systems to improve their intelligence, reliability, and availability. All these features may be provisioned through the use of cloud computing in HIS. This study arrives at three dimensions pertinent to adoption of cloud computing in HIS through extensive interviews with experts, professional expertise and knowledge of one of the authors working in this area, and review of academic and practitioner literature. These dimensions are financial performance and cost; IT operational excellence and DevOps; and security, governance, and compliance. Challenges and drivers in each of these dimensions are detailed and operationalized to arrive at a model for HIS adoption. This proposed model detailed in this study can be employed by executive management of health organizations, especially senior clinical management positions like Chief Technology Officers (CTOs), Chief Information Officers (CIOs), and IT managers to make an informed decision on adoption of cloud computing for HIS. Use of cloud computing to support operational and financial excellence of heal</w:t>
      </w:r>
    </w:p>
    <w:p>
      <w:r>
        <w:t>POSSIBLE 2020: Applying focused ethnographic methods: examining implications of intracultural diversity for nutrition interventions — https://doi.org/10.1093/nutrit/nuaa002</w:t>
      </w:r>
    </w:p>
    <w:p>
      <w:r>
        <w:t>Shared claim-specific concepts: then, examines, implications, approach, but; EU scope not established. This is a provisional connection, not an outcome finding.</w:t>
      </w:r>
    </w:p>
    <w:p>
      <w:r>
        <w:t>Available abstract (not full text): This paper examines the implications of intracultural difference for the design and implementation of nutrition interventions. It raises the question of whether small-sample, mixed-method implementation research, using a focused ethnographic approach, has sufficient power to detect meaningful differences in cultural beliefs, values, perceptions, and attitudes that are important for the design and implementation of nutrition interventions. It first presents the theoretical framework that was used to guide the research, followed by a description of the methodology of the Focused Ethnographic Study for Infant and Young Child Feeding. It then uses the findings from recent research in Ghana to address the central question. The findings document strong elements of shared cultural consensus, but intracultural differences of importance, in relation to the planning and content of behavior change communication.</w:t>
      </w:r>
    </w:p>
    <w:p>
      <w:r>
        <w:t>POSSIBLE 2018: Measuring learning gains and examining implications for student success in STEM — https://doi.org/10.1080/23752696.2018.1425096</w:t>
      </w:r>
    </w:p>
    <w:p>
      <w:r>
        <w:t>Shared claim-specific concepts: implications, technology, mix; EU scope not established. This is a provisional connection, not an outcome finding.</w:t>
      </w:r>
    </w:p>
    <w:p>
      <w:r>
        <w:t>Available abstract (not full text): This article focuses on learning gains in the area of higher education STEM (science, technology, engineering, and mathematics) through new approaches to the formative assessment feedback cycle. Learning gains were examined for stratified randomized comparison and two treatment groups of 943 students organized into 41 laboratory sections in first-year chemistry. Treatment groups received either (i) support for conceptual understanding through a larger percentage of conceptual questions in online homework or (ii) the same mix of conceptual questions with differentiated answer feedback. The comparison group received the usual online homework and feedback for the course. Results showed no statistically significant difference among groups at pretest, yet both treatment groups showed statistically significant gains in learning outcomes over the original comparison group. Additional findings included (i) students in the treatment condition showed a 43% reduction in STEM ‘at risk’ identification by mid-course and (ii) a gender effect was identified.</w:t>
      </w:r>
    </w:p>
    <w:p>
      <w:r>
        <w:t>POSSIBLE 2016: Commodification of natural resources and forest ecosystem services: examining implications for forest protection — https://doi.org/10.1017/s0376892916000436</w:t>
      </w:r>
    </w:p>
    <w:p>
      <w:r>
        <w:t>Shared claim-specific concepts: implications, approach; EU scope not established. This is a provisional connection, not an outcome finding.</w:t>
      </w:r>
    </w:p>
    <w:p>
      <w:r>
        <w:t>Available abstract (not full text): SUMMARY Through the commodification of nature, the framing of the environment as a ‘natural resource’ or ‘ecosystem service’ has become increasingly prominent in international environmental governance. The economic capture approach is promoted by international organizations such as the United Nations Environmental Program (UNEP) through Reducing Emissions from Deforestation and Forest Degradation (REDD), Payments for Ecosystem Services (PES) and The Economics of Ecosystems and Biodiversity (TEEB). This paper will inquire as to how forest protection is related to issues of social and ecological justice, exploring whether forest exploitation based on the top-down managerial model fosters an unequitable distribution of resources. Both top-down and community-based approaches to forest protection will be critically examined and a more inclusive ethical framework to forest protection will be offered. The findings of this examination indicate the need for a renewed focus on existing examples of good practice in addressing both social and ecological need, as well as the necessity to address the less comfortable problem of where compromise appears less possible. The conclusion argues for the need to consider ecological justice as an important aspect of more socially orientated environmental justice for forest protection.</w:t>
      </w:r>
    </w:p>
    <w:p>
      <w:r>
        <w:t>POSSIBLE 2014: RFID integrated systems in libraries: extending TAM model for empirically examining the use — https://doi.org/10.1108/jeim-10-2013-0079</w:t>
      </w:r>
    </w:p>
    <w:p>
      <w:r>
        <w:t>Shared claim-specific concepts: systems, approach, significantly, technology; EU scope not established. This is a provisional connection, not an outcome finding.</w:t>
      </w:r>
    </w:p>
    <w:p>
      <w:r>
        <w:t>Available abstract (not full text): Purpose – The available literature suggest that the research on radio frequency identification (RFID)-related issues is largely concentrated on technical, organizational and implementation aspects, and comparatively lesser attention has been invested in understanding the use aspect of such library management systems. The purpose of this paper is to gain an understanding into the factors that influence the use of RFID systems in the library context by empirically testing the relevant constructs from the extended technology acceptance model (TAM). Design/methodology/approach – A questionnaire-based survey approach was employed for collecting the relevant data from 197 respondents. The respondents were the active users of a RFID-based library system. Findings – Findings from this study suggested that perceived usefulness and system quality positively influence the user attitude, and user attitude and system quality significantly influence the use of the RFID services. The paper concludes with outlining the salient points, limitations, and future research directions. Originality/value – The paper evaluates the role of a set of innovation attributes on the acceptance of RFID integrated systems in libraries. Owing to the scant literature availability in empirical investigations on adoption of RFID systems in libraries, the findings from this paper add value to the existing literature</w:t>
      </w:r>
    </w:p>
    <w:p>
      <w:pPr>
        <w:pStyle w:val="Heading2"/>
      </w:pPr>
      <w:r>
        <w:t>Linking Local Food Systems and the Social Economy? Future Roles for Farmers' Markets in Alberta and British Columbia*</w:t>
      </w:r>
    </w:p>
    <w:p>
      <w:r>
        <w:t>Original source (2012): https://doi.org/10.1111/j.1549-0831.2011.00068.x</w:t>
      </w:r>
    </w:p>
    <w:p>
      <w:r>
        <w:t>Original wording (abstract; indexed_source_text_not_full_document_verified): We used the Delphi method of inquiry to solicit and synthesize perspectives on the future role of farmers' markets within local food systems and the social economy from farmers' market vendors, market managers, and policy and government representatives in each province. Results confirm the need for further investigation of the relationship between the social economy, infrastructure, and authenticity in the development of local food systems.</w:t>
      </w:r>
    </w:p>
    <w:p>
      <w:r>
        <w:t>POSSIBLE 2026: Developing a Body of Knowledge for Sustainability Engineering Using the Delphi Method: A Work in Progress — https://doi.org/10.18260/1-2--58714</w:t>
      </w:r>
    </w:p>
    <w:p>
      <w:r>
        <w:t>Shared claim-specific concepts: used, delphi, method, solicit, within, systems; EU scope not established. This is a provisional connection, not an outcome finding.</w:t>
      </w:r>
    </w:p>
    <w:p>
      <w:r>
        <w:t>Available abstract (not full text): Background: As sustainability becomes increasingly important in engineering education and practice, there is a need to formally define Sustainability Engineering as a distinct discipline. Engineering disciplines, such as Civil Engineering, Industrial Engineering, and Environmental Engineering, have established Bodies of Knowledge (BoKs) that delineate the professional and educational expectations of their respective fields. Sustainability Engineering, as a new and evolving field of study, has yet to develop a unified framework that can facilitate curricular coherence, guide the assessment of learning outcomes, and define professional competencies. Objectives: The goal of this work is to develop an initial version of a Sustainability Engineering Body of Knowledge (“SE-BoK”) that provides a unified framework to facilitate curricular coherence, guide the assessment of learning outcomes, and define professional competencies. Relevance: This work directly addresses Topic 2 in the Call for Papers, “Applications of Sustainability Pedagogy Frameworks”. An SE-BoK will provide a standard structure for education and practice to help align curricula across institutions, support the design of new academic offerings across all engineering disciplines, and promote consistent assessment of sustainability-related learning outcomes. The SE-BoK will initiate the process of establishing accreditat</w:t>
      </w:r>
    </w:p>
    <w:p>
      <w:r>
        <w:t>POSSIBLE 2025: Proposal for a critical appraisal tool for studies using the Delphi method (DCAT) — https://doi.org/10.1136/bmj-2025-084509</w:t>
      </w:r>
    </w:p>
    <w:p>
      <w:r>
        <w:t>Shared claim-specific concepts: used, delphi, method; EU scope not established. This is a provisional connection, not an outcome finding.</w:t>
      </w:r>
    </w:p>
    <w:p>
      <w:r>
        <w:t>Available abstract (not full text): The number of published studies using the Delphi method has increased considerably in recent years. The Delphi method is now used extensively to develop guidelines, methodological standards, and quality indicators. Delphi studies are implemented in various ways and can differ in their design, conduct, analysis, and reporting; however, no critical appraisal instrument currently exists for the Delphi method. This Special Paper presents a tool that has been developed by the authors, based on over 15 years of experience conducting Delphi studies and a comprehensive analysis of the of the literature on the Delphi method since its inception. Following the structure of established critical appraisal tools for other research methods, DCAT (Delphi critical appraisal tool) has been developed to evaluate Delphi studies. The DCAT checklist consists of 16 items (four core and 12 additional items) that can be applied to and used to inform an overall judgment about the quality of a Delphi study. DCAT aims to assist in identifying the extent to which a Delphi study provides a sufficiently reasonable representation of expert and stakeholder views to inform decision making.</w:t>
      </w:r>
    </w:p>
    <w:p>
      <w:r>
        <w:t>POSSIBLE 2024: Exploring the factors of employee turnover intentions in private education institutions in China: a Delphi study — https://doi.org/10.1080/23311975.2024.2413915</w:t>
      </w:r>
    </w:p>
    <w:p>
      <w:r>
        <w:t>Shared claim-specific concepts: delphi, method, solicit, synthesize, within; EU scope not established. This is a provisional connection, not an outcome finding.</w:t>
      </w:r>
    </w:p>
    <w:p>
      <w:r>
        <w:t xml:space="preserve">Available abstract (not full text): Retaining a devoted and skilled workforce has become of paramount importance in China’s dynamic and competitive education sector. The consequences of employee turnover bear weight, especially for institutions striving for global excellence, impacting both institutional continuity and the quality of education. This study explores the factors influencing employee turnover intention within Chinese academic institutions and prioritizes these factors based on their significance. A two-round Delphi method was employed to solicit and synthesize expert opinions through iterative rounds. Nineteen experts from private education institutions in Fuzhou, China, were selected using a combination of purposeful and snowball sampling. In the first round, experts listed the factors contributing to employee turnover intentions, which were then analyzed using thematic analysis. In the second round, the experts ranked these dimensions from most to least important. The study identifies five pivotal factors affecting turnover intentions, listed in order of importance: (1) compensation, benefits, and employee recognition; (2) career development and advancement opportunities; (3) professional growth, training, and job security; (4) leadership, management support, and organizational culture; and (5) work-life balance and work environment. This research proffers actionable recommendations to discern and </w:t>
      </w:r>
    </w:p>
    <w:p>
      <w:r>
        <w:t>POSSIBLE 2024: Development of an evidence‐based nursing practice program for preventing unplanned endotracheal extubations in the intensive care unit: A Delphi method study — https://doi.org/10.1111/jocn.17340</w:t>
      </w:r>
    </w:p>
    <w:p>
      <w:r>
        <w:t>Shared claim-specific concepts: delphi, method, inquiry, synthesize; EU scope not established. This is a provisional connection, not an outcome finding.</w:t>
      </w:r>
    </w:p>
    <w:p>
      <w:r>
        <w:t xml:space="preserve">Available abstract (not full text): AIMS: This study aims to develop an evidence-based nursing practice program to prevent unplanned endotracheal extubation (UEE) among adult patients in the intensive care unit (ICU). DESIGN: This study uses the Delphi method to develop an evidence-based nursing practice program. METHODS: A comprehensive review of 18 databases and evidence-based websites was conducted to gather, assess and synthesize evidence on preventing UEEs in adult patients. Using this synthesized evidence, a questionnaire was formulated for further investigation. Subsequently, input was solicited from experts through Delphi surveys to establish an evidence-based nursing practice protocol for preventing UEEs in adult ICU patients. Consistency in consultation results guided subsequent rounds of consultation. RESULTS: The developed program comprised 43 evidence items categorized into nine dimensions, including risk assessment for unplanned extubation, sedation, analgesia, delirium, balloon management, psychosocial care, early extubation, catheter immobilization and protective restraints. Two rounds of expert inquiry yielded recovery rates of 94.7% and 100% for the first and second questionnaires, respectively. Kendall W values ranged from .224 to .353 (p &lt; .001). CONCLUSION: This study developed an evidence-based nursing practice program to prevent UEE in adult ICU patients, employing evidence-based practices </w:t>
      </w:r>
    </w:p>
    <w:p>
      <w:r>
        <w:t>POSSIBLE 2024: International consensus on research priorities in hypospadias using a Delphi study approach — https://doi.org/10.1016/j.jpurol.2024.12.005</w:t>
      </w:r>
    </w:p>
    <w:p>
      <w:r>
        <w:t>Shared claim-specific concepts: delphi, method, perspectives; EU scope not established. This is a provisional connection, not an outcome finding.</w:t>
      </w:r>
    </w:p>
    <w:p>
      <w:r>
        <w:t>Available abstract (not full text): INTRODUCTION: Hypospadias is a common congenital anomaly of the male genitalia that poses significant management and treatment challenges. Gaining a comprehensive understanding of priority research questions in hypospadiology will be essential to reach agreement on the optimal approach to assessment, treatment, and outcome prediction for affected patients. METHODS: We employed a consensus-building Delphi method to identify and prioritize research questions in the hypospadias field. Additionally, we integrated questions sourced from the artificial intelligence platform ChatGPT to capture multiple perspectives. Engaging a diverse panel of experts including clinicians, researchers, and patient advocates from across the globe, the Delphi process aimed to distill collective expertise and insights through iterative rounds of structured questionnaires and feedback. RESULTS: The analysis identified key themes in hypospadias research, covering etiology, tissue engineering, pre-clinical models, device/technology evaluation, phenotyping, surgical techniques, surgical training and postoperative outcomes. These themes highlight crucial areas for future investigation to improve understanding of hypospadias, treatment options, and patient outcomes, thereby guiding both research and clinical practice. DISCUSSION: By harnessing the collective wisdom and perspectives of multiple stakeholders, th</w:t>
      </w:r>
    </w:p>
    <w:p>
      <w:r>
        <w:t>POSSIBLE 2023: RAND Methodological Guidance for Conducting and Critically Appraising Delphi Panels — https://doi.org/10.7249/tla3082-1</w:t>
      </w:r>
    </w:p>
    <w:p>
      <w:r>
        <w:t>Shared claim-specific concepts: used, delphi, method; EU scope not established. This is a provisional connection, not an outcome finding.</w:t>
      </w:r>
    </w:p>
    <w:p>
      <w:r>
        <w:t>Available abstract (not full text): The Delphi method is an iterative, anonymous, structured, expert elicitation and stakeholder engagement technique often used to generate a group consensus. This manual provides methodological guidance and practical advice for what to consider when designing, implementing, and reporting Delphi panel results. It also includes the Delphi Critical Appraisal Tool, a checklist that researchers can use to assess a Delphi study's quality.</w:t>
      </w:r>
    </w:p>
    <w:p>
      <w:r>
        <w:t>POSSIBLE 2023: Z-Delphi: A Z-Number-Based Delphi Technique for Technological Forecasting to Reduce Optimism/Pessimism Bias in Experts’ Convergent Opinions — https://doi.org/10.1007/s44196-023-00270-1</w:t>
      </w:r>
    </w:p>
    <w:p>
      <w:r>
        <w:t>Shared claim-specific concepts: used, delphi, method; EU scope not established. This is a provisional connection, not an outcome finding.</w:t>
      </w:r>
    </w:p>
    <w:p>
      <w:r>
        <w:t>Available abstract (not full text): Abstract The Delphi technique is an indispensable instrument for technology forecasting. The method is, however, limited by ambiguity aversion, uncertainty, and statistical optimism/pessimism bias. To address the aforementioned limitations, we have proposed a fuzzy Delphi technique based on Z-numbers in this paper, as Z-numbers offer an effective framework to simulate human thinking. We generated basic probability assignments (BPAs) from the experts’ responses, considered statistical dispersion using Grey Clustering, and then developed Z-numbers. The proposed method is flexible and can be applied to forecast technological aspects based on subjective judgments. We consulted with 11 experts to forecast water-saving technology for dairy plants. Entropy was used to compare the proposed method to other fuzzy Delphi approaches. Compared to other fuzzy Delphi methods, we discovered that the proposed approach registers the lowest uncertainty. The proposed study suggests that fuzzy Delphi with reduced uncertainty can be highly impactful in critical fields like sustainable production. In the end, we have discussed the future research directions of the proposed study.</w:t>
      </w:r>
    </w:p>
    <w:p>
      <w:r>
        <w:t>POSSIBLE 2022: A Conceptual Framework for Determining Quality Requirements for Mobile Learning Applications Using Delphi Method — https://doi.org/10.3390/electronics11050788</w:t>
      </w:r>
    </w:p>
    <w:p>
      <w:r>
        <w:t>Shared claim-specific concepts: used, delphi, method; EU scope not established. This is a provisional connection, not an outcome finding.</w:t>
      </w:r>
    </w:p>
    <w:p>
      <w:r>
        <w:t>Available abstract (not full text): The development of mobile learning apps might fail due to poor selection of the suitable technical requirements for mobile devices. This will affect the quality of mobile learning applications and, thus, will increase the development cost of mobile learning apps. Due to the above issues, we need to determine the most appropriate technical quality requirements for the development of mobile learning apps that meet user requirements. To achieve that, we propose a comprehensive framework to capture the most suitable technical quality requirements for mobile learning apps. A Delphi method was used to collect, evaluate, and analyze the data for this study. As a result of our Delphi study, we have identified nineteen technical quality requirements, divided into six quality dimensions, for the development of mobile learning applications. The proposed framework is expected to be a guideline for mobile apps designers and developers to successfully develop mobile learning apps.</w:t>
      </w:r>
    </w:p>
    <w:p>
      <w:r>
        <w:t>POSSIBLE 2022: Grand Challenges in global eye health: a global prioritisation process using Delphi method — https://doi.org/10.1016/s2666-7568(21)00302-0</w:t>
      </w:r>
    </w:p>
    <w:p>
      <w:r>
        <w:t>Shared claim-specific concepts: used, delphi, method, systems, each; EU scope visible. This is a provisional connection, not an outcome finding.</w:t>
      </w:r>
    </w:p>
    <w:p>
      <w:r>
        <w:t>Available abstract (not full text): BACKGROUND: We undertook a Grand Challenges in Global Eye Health prioritisation exercise to identify the key issues that must be addressed to improve eye health in the context of an ageing population, to eliminate persistent inequities in health-care access, and to mitigate widespread resource limitations. METHODS: Drawing on methods used in previous Grand Challenges studies, we used a multi-step recruitment strategy to assemble a diverse panel of individuals from a range of disciplines relevant to global eye health from all regions globally to participate in a three-round, online, Delphi-like, prioritisation process to nominate and rank challenges in global eye health. Through this process, we developed both global and regional priority lists. FINDINGS: Between Sept 1 and Dec 12, 2019, 470 individuals complete round 1 of the process, of whom 336 completed all three rounds (round 2 between Feb 26 and March 18, 2020, and round 3 between April 2 and April 25, 2020) 156 (46%) of 336 were women, 180 (54%) were men. The proportion of participants who worked in each region ranged from 104 (31%) in sub-Saharan Africa to 21 (6%) in central Europe, eastern Europe, and in central Asia. Of 85 unique challenges identified after round 1, 16 challenges were prioritised at the global level; six focused on detection and treatment of conditions (cataract, refractive error, glaucoma, diabetic re</w:t>
      </w:r>
    </w:p>
    <w:p>
      <w:r>
        <w:t>POSSIBLE 2022: Forecasting Food Innovations with a Delphi Study — https://doi.org/10.3390/foods11223723</w:t>
      </w:r>
    </w:p>
    <w:p>
      <w:r>
        <w:t>Shared claim-specific concepts: delphi, method, food; EU scope not established. This is a provisional connection, not an outcome finding.</w:t>
      </w:r>
    </w:p>
    <w:p>
      <w:r>
        <w:t>Available abstract (not full text): Food innovations can create novel nutritious food, improve agricultural sustainability, and increase the agri-food industry's market profits. Our study proposes a consensus definition of food innovations and forecasts food innovations that will be available to consumers in the next five years by using a Delphi study. Thirteen experts aged 35 to 85 from the US and the UK researching or working in agriculture and nutrition, public health, the agri-food industry, or food policy participated in three rounds of this Delphi study. The experts were chosen using the snowball sampling method. This study followed the implementation and data analysis guidelines popularized by the Rand Corporation. The consensus definition for food innovations (with 76.9% agreement) was that 'food innovations aid in the development, production, or transportation of new food products, processes, or technology to promote human health, food security, or environmental sustainability'. The specific food innovations, which had over 69% agreement, are ranked as (1) plant-based meat alternatives, (2) personalized nutrition, (3) natural foods, (4) new genetically modified organisms, (5) regenerative agriculture, (6) urban agriculture, (7) packing innovations, (8) alternative flours, (9) improving shelf life, (10) supply chain technologies, (11) improved soil health, and (12) technology for traceability. The food in</w:t>
      </w:r>
    </w:p>
    <w:p>
      <w:r>
        <w:t>POSSIBLE 2021: A Study on the Classification of Autonomous Functions of Unmanned Aircraft Using Delphi Method — https://doi.org/10.25052/kscm.2021.05.21.1.55</w:t>
      </w:r>
    </w:p>
    <w:p>
      <w:r>
        <w:t>Shared claim-specific concepts: delphi, method, systems, each; EU scope not established. This is a provisional connection, not an outcome finding.</w:t>
      </w:r>
    </w:p>
    <w:p>
      <w:r>
        <w:t>Available abstract (not full text): The United States defines the autonomous control level of unmanned aircraft in 10 stages depending on their operational needs or technical maturity, and the level of interoperability in terms of integrated operation of manned and unmanned aircraft in 5 stages. However, it was difficult to find a case in which the autonomous functions of unmanned aircraft were systematically organized from the perspective of perception, planning, and control, which are the mechanisms of activities of autonomous systems. This study aims to systematically classify the autonomous functions of unmanned aircraft according to the mechanisms of autonomous systems in conjunction with aircraft activities. We establish a corresponding layer for each activity by dividing the mechanisms of autonomous systems leading to perception-planning-control into large, medium and small categories in conjunction with the activities of unmanned aircraft. The methodology uses Delphi Method to reflect experts</w:t>
      </w:r>
    </w:p>
    <w:p>
      <w:r>
        <w:t>POSSIBLE 2021: Conceptual framework for task shifting and task sharing: an international Delphi study — https://doi.org/10.1186/s12960-021-00605-z</w:t>
      </w:r>
    </w:p>
    <w:p>
      <w:r>
        <w:t>Shared claim-specific concepts: used, delphi, within; EU scope not established. This is a provisional connection, not an outcome finding.</w:t>
      </w:r>
    </w:p>
    <w:p>
      <w:r>
        <w:t>Available abstract (not full text): BACKGROUND: Task shifting and sharing (TS/S) involves the redistribution of health tasks within workforces and communities. Conceptual frameworks lay out the key factors, constructs, and variables involved in a given phenomenon, as well as the relationships between those factors. Though TS/S is a leading strategy to address health worker shortages and improve access to services worldwide, a conceptual framework for this approach is lacking. METHODS: We used an online Delphi process to engage an international panel of scholars with experience in knowledge synthesis concerning TS/S and develop a conceptual framework for TS/S. We invited 55 prospective panelists to participate in a series of questionnaires exploring the purpose of TS/S and the characteristics of contexts amenable to TS/S programmes. Panelist responses were analysed and integrated through an iterative process to achieve consensus on the elements included in the conceptual framework. RESULTS: The panel achieved consensus concerning the included concepts after three Delphi rounds among 15 panelists. The COATS Framework (Concepts and Opportunities to Advance Task Shifting and Task Sharing) offers a refined definition of TS/S and a general purpose statement to guide TS/S programmes. COATS describes that opportunities for health system improvement arising from TS/S programmes depending on the implementation context, and</w:t>
      </w:r>
    </w:p>
    <w:p>
      <w:pPr>
        <w:pStyle w:val="Heading2"/>
      </w:pPr>
      <w:r>
        <w:t>New Emerging Issues and Wild Cards as Future Shakers and Shapers</w:t>
      </w:r>
    </w:p>
    <w:p>
      <w:r>
        <w:t>Original source (2012): https://doi.org/10.17323/1995-459x.2012.1.60.73</w:t>
      </w:r>
    </w:p>
    <w:p>
      <w:r>
        <w:t>Original wording (abstract; indexed_source_text_not_full_document_verified): The projects resulted in the evaluation of current methods for obtaining and processing scanning data and new conceptual thinking that may bridge the gap between scanning activities and policy-making.</w:t>
      </w:r>
    </w:p>
    <w:p>
      <w:r>
        <w:t>POSSIBLE 2026: Green E.Th.I.Cs: Project Evaluation Methodology and Results — https://openalex.org/W7136099548</w:t>
      </w:r>
    </w:p>
    <w:p>
      <w:r>
        <w:t>Shared claim-specific concepts: projects, evaluation, data, thinking, activities; EU scope visible. This is a provisional connection, not an outcome finding.</w:t>
      </w:r>
    </w:p>
    <w:p>
      <w:r>
        <w:t>Available abstract (not full text): Project evaluation constitutes one of the most important and decisive moments in the management cycle. More than a mere accountability exercise, it represents a fundamental opportunity to systematically understand whether the efforts and resources invested have produced the intended results. Its purpose goes beyond simple verification. Evaluation is necessary to pro- vide relevant information that can improve projects for their stakeholders, transforming data into learning and evidence into action. This e-book is dedicated to presenting the evaluation plan, the methodol- ogy used for data collection, and the results of the evaluation of the Green E.Th.I.Cs Project, an initiative that positions Social and Community Theatre as a central tool for raising awareness about climate change and promoting the European Green Deal. Developed by 18 partners across 12 countries, the project aimed to foster civic engagement, critical thinking, and citizen proactivity through the performing arts. It is based on the premise that evaluation is not a one-off or merely sum- mative act. Rather, it is a continuous, formative, systematic, and multidi- mensional process, aiming to determine effectiveness, efficiency, impacts, and sustainability in relation to previously defined objectives. This process involves collecting and analysing data on activities, outputs, and achieved effects, and seeks to pr</w:t>
      </w:r>
    </w:p>
    <w:p>
      <w:r>
        <w:t>POSSIBLE 2026: Results Interpretation, Reporting, and Dissemination in Project Monitoring and Evaluation — https://doi.org/10.5281/zenodo.18299543</w:t>
      </w:r>
    </w:p>
    <w:p>
      <w:r>
        <w:t>Shared claim-specific concepts: projects, evaluation, data; EU scope not established. This is a provisional connection, not an outcome finding.</w:t>
      </w:r>
    </w:p>
    <w:p>
      <w:r>
        <w:t>Available abstract (not full text): Monitoring and Evaluation (M&amp;E) plays a critical role in enhancing accountability, learning, and decision-making in development projects. However, the value of M&amp;E does not lie solely in data collection and analysis, but in the effective interpretation, reporting, and dissemination of results to relevant stakeholders. This paper examines the importance of communicating M&amp;E findings in ways that are ethical, inclusive, and action-oriented. It highlights how tailoring evaluation results to different audiences—such as donors, project implementers, and community beneficiaries—enhances the utilization and impact of evaluation findings. The paper also discusses the ethical responsibilities of M&amp;E practitioners, emphasizing transparency, accountability, confidentiality, and avoidance of bias in reporting. Furthermore, it explores the risks associated with poor dissemination practices and outlines approaches for measuring the effectiveness of dissemination strategies. The study concludes that effective and ethical reporting is not merely a technical requirement but a strategic and moral obligation that transforms evaluation findings into tools for learning, trust-building, and sustainable development. Particular emphasis is placed on closing the feedback loop with communities to ensure that evaluation serves as a participatory and empowering process rather than a one-sided exercise.</w:t>
      </w:r>
    </w:p>
    <w:p>
      <w:r>
        <w:t>POSSIBLE 2026: Comparative analysis of traditional project management methods and lean project methods — https://openalex.org/W7222913199</w:t>
      </w:r>
    </w:p>
    <w:p>
      <w:r>
        <w:t>Shared claim-specific concepts: projects, methods, between; EU scope not established. This is a provisional connection, not an outcome finding.</w:t>
      </w:r>
    </w:p>
    <w:p>
      <w:r>
        <w:t>Available abstract (not full text): Project management is a crucial aspect of business management, and companies may choose between traditional and Lean approaches based on their specific project needs. In general, traditional methods also frequently rely on a top-down hierarchical structure, while lean management encourages employee involvement and empowerment also Hybrid Project Management is an integrative approach that combines elements of traditional and lean methodologies to address the complexities of modern projects. The study aims to analyze Traditional, Lean, and Hybrid project management methodologies to determine how they influence project outcomes across different sectors. Specifically, it investigates whether project type is independent of the sector, how project outcomes differ between industrial and service sectors, how the three methodologies differ according to project attributes, and how organizational needs affect the selection of the most appropriate project management methodology. The research is based on a series of r cases taken from published studies. It analyzes them by applying a cross-sectoral approach to project characteristics (objective, duration, cost, resources, results, complexity, risk, innovation) and organizational needs. It also uses Fisher's exact test for assess the independence between the project management method and each attribute of the project. According to the result</w:t>
      </w:r>
    </w:p>
    <w:p>
      <w:r>
        <w:t>POSSIBLE 2024: EVALUATION OF THE RESULTS OF ESG PROJECT IMPLEMENTATION — https://doi.org/10.20998/2313-8890.2024.06.05</w:t>
      </w:r>
    </w:p>
    <w:p>
      <w:r>
        <w:t>Shared claim-specific concepts: projects, evaluation, obtaining; EU scope not established. This is a provisional connection, not an outcome finding.</w:t>
      </w:r>
    </w:p>
    <w:p>
      <w:r>
        <w:t>Available abstract (not full text): The article explores the issue of evaluating the outcomes of implementing ESG (Environmental, Social, and Governance) projects across various economic sectors. It analyzes the main problems organizations face when implementing ESG initiatives, including inadequate methodological approaches to performance evaluation and the diversity of standards. The primary aspects of ESG projects' impact on environmental, social, and economic development are characterized. A comprehensive methodology for assessing the results of ESG initiatives has been developed, considering key performance indicators (KPIs) across different areas of activity. Recommendations are proposed to improve the efficiency of ESG project implementation, contributing to the sustainable development of enterprises. The study delves into the various challenges that organizations encounter, such as high implementation costs, resistance to change within the organization, and the lack of necessary experience and expertise. Additionally, it addresses the uncertainty regarding the impact of ESG projects on companies' financial performance. By calculating a composite ESG index for agro-industrial enterprises in Ukraine, the research allows for comparing the effectiveness of ESG project implementation and identifying leaders and laggards in the field of sustainable development. The study also underscores the role of independent</w:t>
      </w:r>
    </w:p>
    <w:p>
      <w:r>
        <w:t>POSSIBLE 2023: The Impact of Project Management Tools on Project Results: Evaluation of a Survey Among Managers Leading International Development Projects for four selected Central and Eastern European Donors — https://doi.org/10.2478/revecp-2023-0010</w:t>
      </w:r>
    </w:p>
    <w:p>
      <w:r>
        <w:t>Shared claim-specific concepts: projects, evaluation, data; EU scope visible. This is a provisional connection, not an outcome finding.</w:t>
      </w:r>
    </w:p>
    <w:p>
      <w:r>
        <w:t>Available abstract (not full text): Abstract As the success rate of international development projects might be still below expectations, several studies have explored whether and how the use of project management (PM) tools might improve internal and external project performance. This article looks specifically at four selected Central and Eastern European countries and evaluates a newly collected data set. Based on a survey, the study examines the adoption of PM tools among project managers in the region. Furthermore, with the use of cluster analysis, it suggests that the tools are adopted progressively in four stages that differ culturally from other international studies. Last but not least, using structural equation modelling, the research indicates that among the surveyed project managers, the use of stage 1 tools might directly contribute to the improvement of internal project results and that these internal results might then have a positive impact also on the external project performance.</w:t>
      </w:r>
    </w:p>
    <w:p>
      <w:r>
        <w:t>POSSIBLE 2023: Evaluation of 30 urban land surface models in the Urban‐PLUMBER project: Phase 1 results — https://doi.org/10.1002/qj.4589</w:t>
      </w:r>
    </w:p>
    <w:p>
      <w:r>
        <w:t>Shared claim-specific concepts: evaluation, current, between; EU scope not established. This is a provisional connection, not an outcome finding.</w:t>
      </w:r>
    </w:p>
    <w:p>
      <w:r>
        <w:t xml:space="preserve">Available abstract (not full text): Abstract Accurately predicting weather and climate in cities is critical for safeguarding human health and strengthening urban resilience. Multimodel evaluations can lead to model improvements; however, there have been no major intercomparisons of urban‐focussed land surface models in over a decade. Here, in Phase 1 of the Urban‐PLUMBER project, we evaluate the ability of 30 land surface models to simulate surface energy fluxes critical to atmospheric meteorological and air quality simulations. We establish minimum and upper performance expectations for participating models using simple information‐limited models as benchmarks. Compared with the last major model intercomparison at the same site, we find broad improvement in the current cohort's predictions of short‐wave radiation, sensible and latent heat fluxes, but little or no improvement in long‐wave radiation and momentum fluxes. Models with a simple urban representation (e.g., ‘slab’ schemes) generally perform well, particularly when combined with sophisticated hydrological/vegetation models. Some mid‐complexity models (e.g., ‘canyon’ schemes) also perform well, indicating efforts to integrate vegetation and hydrology processes have paid dividends. The most complex models that resolve three‐dimensional interactions between buildings in general did not perform as well as other categories. However, these models also tended </w:t>
      </w:r>
    </w:p>
    <w:p>
      <w:r>
        <w:t>POSSIBLE 2022: EFFECTS OF UTILIZATION OF MONITORING AND EVALUATION RESULTS ON PROJECT PERFORMANCE — https://doi.org/10.46827/ejsss.v7i5.1294</w:t>
      </w:r>
    </w:p>
    <w:p>
      <w:r>
        <w:t>Shared claim-specific concepts: projects, evaluation, data, between; EU scope not established. This is a provisional connection, not an outcome finding.</w:t>
      </w:r>
    </w:p>
    <w:p>
      <w:r>
        <w:t xml:space="preserve">Available abstract (not full text): Globally, any organization's goal is to be effective, and efficient, attain its objectives and exceed in performance. The need to be successful and have a more remarkable performance has created the need for regular tracking of projects to ensure the project follows the right course for optimal performance. The role of NDMA in Kenya is very crucial in attaining the Kenya vision 2030, the big four agenda, and SDG 2 on ending hunger and achieving food security. Therefore, with this background, the research sought to substantiate the impact of utilization of monitoring, and evaluation results on the performance of drought resilience projects by the National Drought Management Authority (NDMA) in Mandera County. This study adopted systems theory and a descriptive research design. The study undertook a census survey where all the 60 members of the project under NDMA were studied. Data from primary and secondary sources were utilized and the researcher employed semi-structured questionnaires to collect data. Reliability and validity of research instruments and study results were attained by pilot testing the research instruments. SPSS statistical package using descriptive statistics was employed to analyze the collected data. Inferential statistics were applied to ascertain the relationship between independent and dependent variables. The findings show that utilization of monitoring </w:t>
      </w:r>
    </w:p>
    <w:p>
      <w:r>
        <w:t>POSSIBLE 2022: System dynamics approach of knowledge transfer from projects to the project-based organization — https://doi.org/10.1108/ijmpb-06-2021-0142</w:t>
      </w:r>
    </w:p>
    <w:p>
      <w:r>
        <w:t>Shared claim-specific concepts: projects, conceptual, gap, between; EU scope not established. This is a provisional connection, not an outcome finding.</w:t>
      </w:r>
    </w:p>
    <w:p>
      <w:r>
        <w:t xml:space="preserve">Available abstract (not full text): Purpose Although knowledge transfer in the context of projects and project-based organizations (PBOs) has gained increasing attention from academia and industry, it is not clear how knowledge transfers from projects to their parent PBOs. This research aims to explore the main factors influencing knowledge transfer from projects to their parent PBOs, and analyze how these factors integrate the transfer process as system components using the system dynamics (SD) method. Design/methodology/approach Based on the literature review, investigation and interview, this paper adopts the event analysis to obtain the influencing factors from historical cases and establishes a conceptual model of knowledge transfer from five dimensions, which simultaneously considers the knowledge sender, knowledge receiver and the relationship between the knowledge sender and receiver, knowledge features and transfer context. Then, the relationships between variables in the qualitative model were clarified, and a quantitative model including seven feedback loops was established using the SD model. Lastly, the system simulation and sensitivity analysis of the main parameters were realized in Vensim PLE software. Findings The simulation analysis results show that the model can simulate the knowledge transfer process from projects to the PBO to a certain extent. This research fully demonstrates the impact of </w:t>
      </w:r>
    </w:p>
    <w:p>
      <w:r>
        <w:t>POSSIBLE 2021: PROJECT ACTIVITIES OF STUDENTS AND CRITERIA FOR EVALUATING RESULTS — https://doi.org/10.33989/2075-146x.2020.26.227655</w:t>
      </w:r>
    </w:p>
    <w:p>
      <w:r>
        <w:t>Shared claim-specific concepts: projects, evaluation, thinking, between, activities; EU scope not established. This is a provisional connection, not an outcome finding.</w:t>
      </w:r>
    </w:p>
    <w:p>
      <w:r>
        <w:t>Available abstract (not full text): The article discusses the issues of organizing students' project work as some modern approach that allows integrating theoretical knowledge and practical skills required for working in modern conditions. Being one of the forms of organizing the educational process, the project activity contributes to improving the quality of education, democratization of the communication style between teachers and students. The purpose of the project activity is to create conditions for the formation of research skills of the students, the development of their creativity and logical thinking. In the presented work practical recommendations for the teachers who want to use projects in their courses are provided. A system of criteria according to which the student project will be evaluated has been developed. Criteria can be used as instructions that show what needs to be done to achieve the best results. The project evaluation is carried out not only at the stage of presentation and defense of the project, but also at the intermediate stages of its implementation.</w:t>
      </w:r>
    </w:p>
    <w:p>
      <w:r>
        <w:t>POSSIBLE 2021: Urban-PLUMBER model evaluation project: initial results — https://doi.org/10.5194/egusphere-egu21-15230</w:t>
      </w:r>
    </w:p>
    <w:p>
      <w:r>
        <w:t>Shared claim-specific concepts: projects, evaluation, data; EU scope not established. This is a provisional connection, not an outcome finding.</w:t>
      </w:r>
    </w:p>
    <w:p>
      <w:r>
        <w:t>Available abstract (not full text): We present initial results of the Urban-PLUMBER international model evaluation project. This project assesses the performance of land surface models used in meteorological simulations of urban areas. Phase 1 included 24 models of varying complexity, from simple slab models through to multi-layer urban canopy models. 54 model output variables are requested, including primary surface energy fluxes, anthropogenic heat and moisture fluxes, soil variables, albedo, canopy and building air temperatures. This rich dataset is used to both compare model outputs with observations and to understand factors contributing to model performance. The project involved a number of other innovations including: An online portal (modelevaluation.org) is used to distribute site data and accept submissions. Upon submission to the portal participants are provided with variable near-instant compliance checks and analyses allowing participants to make corrections if required. A ten-year ERA5-derived spin up which overcomes the typically short period of urban flux tower observations and allows the entire observed period to be used in analyses. Testing models alongside simple empirical benchmarks (e.g. out-of-sample linear regression of turbulent fluxes on shortwave radiation) to assess if input information is used effectively. We also discuss the initial stages of Phase 2 which involves testing models at m</w:t>
      </w:r>
    </w:p>
    <w:p>
      <w:r>
        <w:t>POSSIBLE 2020: Results of the Collaborative International Evaluated Library Organisation (CIELO) Project — https://doi.org/10.1051/epjconf/202023915003</w:t>
      </w:r>
    </w:p>
    <w:p>
      <w:r>
        <w:t>Shared claim-specific concepts: projects, evaluation, data, between, activities; EU scope visible. This is a provisional connection, not an outcome finding.</w:t>
      </w:r>
    </w:p>
    <w:p>
      <w:r>
        <w:t>Available abstract (not full text): Simulation of nuclear systems requires complete data that represents the relevant nuclear physics. This requires many types of experimental measurements, theoretical physics, semi-empirical models and software systems, as well as experts to integrate and guide the process. This discipline is collectively known as nuclear data, and separate programmes within various European countries, the USA, Japan, Russia, and other OECD Nuclear Energy Agency (NEA) member countries have been operating for many decades. The NEA Working Party on International Nuclear Data Evaluation Co-operation (WPEC) exists to improve the quality and completeness of nuclear data by bringing together representatives of the major nuclear data evaluation projects of NEA member countries and selected Invitees. The Sub- and Expert Groups of the WPEC typically focus on specific technical topics, while the Collaborative International Evaluated Library Organisation Pilot Project (CIELO) was established to generate complete evaluations for a selection of the most important isotopes for criticality in nuclear technologies: 235,238U, 239Pu, 56Fe, 16O and 1H. This project stimulated numerous activities, resulting in major contributions to the Special Issue of the Nuclear Data Sheets journal and the production of a suite of new nuclear data evaluations that have been incorporated in major nuclear data libraries ENDF and J</w:t>
      </w:r>
    </w:p>
    <w:p>
      <w:r>
        <w:t>POSSIBLE 2020: Optimization of Time and Cost for a Research Project by Project Crashing Method — https://doi.org/10.1088/1757-899x/998/1/012057</w:t>
      </w:r>
    </w:p>
    <w:p>
      <w:r>
        <w:t>Shared claim-specific concepts: current, between, activities; EU scope not established. This is a provisional connection, not an outcome finding.</w:t>
      </w:r>
    </w:p>
    <w:p>
      <w:r>
        <w:t>Available abstract (not full text): Abstract The aim of current study is to access trade off between time and cost for the duration of a research project. A linear programming model (LPP) was developed and used for the same purpose. Normal and Crashing Costs for the project activities were obtained from the principal investigator of the project and were used for conducting the analysis in the excel solver. Maximum and minimum duration for the project was obtained through critical path method and crashing method respectively. The result of the study indicated significant reduction in project duration with normal increase in project cost. A small increase in the project cost with reduction of nearly 45 days in the project interval was observed. Nearly 5% increase in cost of the project was noticed with reduction of 15% in total project duration.</w:t>
      </w:r>
    </w:p>
    <w:p>
      <w:pPr>
        <w:pStyle w:val="Heading2"/>
      </w:pPr>
      <w:r>
        <w:t>REMIND-D: A Hybrid Energy-Economy Model of Germany</w:t>
      </w:r>
    </w:p>
    <w:p>
      <w:r>
        <w:t>Original source (2012): https://doi.org/10.22004/ag.econ.121911</w:t>
      </w:r>
    </w:p>
    <w:p>
      <w:r>
        <w:t>Original wording (abstract; indexed_source_text_not_full_document_verified): The model provides a quantitative framework for analyzing long-term domestic CO2 emission reduction scenarios.</w:t>
      </w:r>
    </w:p>
    <w:p>
      <w:r>
        <w:t>POSSIBLE 2026: Forecasting human tick-borne encephalitis risk across Europe through quantitative models integrating environmental and exposure drivers — https://openalex.org/W7154437128</w:t>
      </w:r>
    </w:p>
    <w:p>
      <w:r>
        <w:t>Shared claim-specific concepts: provides, quantitative, framework; EU scope visible. This is a provisional connection, not an outcome finding.</w:t>
      </w:r>
    </w:p>
    <w:p>
      <w:r>
        <w:t>Available abstract (not full text): Tick-borne encephalitis (TBE) poses a growing public health challenge across Europe, driven by ecological, climatic and socio-demographic changes. We present a quantitative spatio-temporal predictive framework to forecast the annual probability of TBE across Europe at regional (NUTS3) and municipal administrative levels. The model leverages a boosted regression tree algorithm trained on standardized human TBE case data provided by the European Centre for Disease Prevention and Control and national public health institutions. Our modelling framework integrates drivers related to both the hazard of TBEV circulation in the environment and human exposure to tick bites, namely the habitat suitability of vertebrate hosts, precipitation, forest cover, autumnal cooling rate, forest road density, and population density. Results exhibit strong predictive performance for the years 2017-2025 (regional AUC ≈ 0.84; municipal AUC ≈ 0.82), demonstrating robust discrimination between regions with and without reported TBE cases. Predicted risk maps highlight high probability areas in central-eastern Europe, the Baltic states, and Nordic coastal regions, while temporal trend analysis reveals statistically significant increases in predicted TBE risk extending into north-western and south-western European areas. These results reflect the combined effects of environmental suitability and human activ</w:t>
      </w:r>
    </w:p>
    <w:p>
      <w:r>
        <w:t>POSSIBLE 2024: A quantitative investigation of immigrants integration and detention in Europe — https://doi.org/10.1007/s11135-024-01926-6</w:t>
      </w:r>
    </w:p>
    <w:p>
      <w:r>
        <w:t>Shared claim-specific concepts: provides, quantitative; EU scope visible. This is a provisional connection, not an outcome finding.</w:t>
      </w:r>
    </w:p>
    <w:p>
      <w:r>
        <w:t>Available abstract (not full text): Abstract In this paper, we question whether different attitudes of European countries’ policies toward migrant integration correspond to different propensities to hold foreigners in prison. As a first attempt to test the existence of such an association, we cluster 34 European countries for the year 2019, modelling the dimensions of the Migrant Integration Policy Index (MIPEX). Leveraging finite mixtures of multivariate Gaussian, we identify three groups of countries with a similar level of integration. Then, we estimate the relative proportion of foreigners held in prison among clusters, relying on UNODC and UNDESA data and exploiting Fisher’s noncentral hypergeometric (FNCH) model. We aim to introduce the FNCH model on clusters as a new quantitative tool to investigate demographic and social research issues. Results show that, in the less virtuous cluster in terms of migrants’ integration, foreigners are almost twice more exposed to detention than in the other clusters. Moreover, looking at the differences within clusters, we find that foreigners have a different propensity to be held in prison with respect to citizens. The proposed approach adds new valuable insights to the MIPEX and provides a novel perspective on an important and highly debated phenomenon, such as foreigners in prison, through the lenses of migrants’ integration. From a policymaking perspective, there emer</w:t>
      </w:r>
    </w:p>
    <w:p>
      <w:r>
        <w:t>POSSIBLE 2024: Zenith Tropospheric Delay Forecasting in the European Region Using the Informer–Long Short-Term Memory Networks Hybrid Prediction Model — https://doi.org/10.3390/atmos16010031</w:t>
      </w:r>
    </w:p>
    <w:p>
      <w:r>
        <w:t>Shared claim-specific concepts: analyzing, long-term; EU scope visible. This is a provisional connection, not an outcome finding.</w:t>
      </w:r>
    </w:p>
    <w:p>
      <w:r>
        <w:t>Available abstract (not full text): Zenith tropospheric delay (ZTD) is a significant atmospheric error that impacts the Global Navigation Satellite System (GNSS). Developing a high-precision, long-term forecasting model for ZTD can provide valuable insights into the overall trends of predicted ZTD, which is essential for improving GNSS positioning and analyzing changes in regional climate and water vapor. To address the challenges of incomplete information extraction and gradient explosion in a single neural network when forecasting ZTD long-term, this study introduces an Informer–LSTM Hybrid Prediction Model. This model employs a parallel ensemble learning strategy that combines the strengths of both the Informer and LSTM networks to extract features from ZTD data. The Informer model is effective at capturing the periodicity and long-term trends within the ZTD data, while the LSTM model excels at understanding short-term dependencies and dynamic changes. By merging the features extracted by both models, the prediction capabilities of each can complement one another, allowing for a more comprehensive analysis of the characteristics present in ZTD data. In our research, we utilized ERA5-derived ZTD data from 11 International GNSS Service (IGS) stations in Europe to interpolate the missing portions of GNSS-derived ZTD. We then employed this interpolated data from 2016 to 2020, along with an Informer–LSTM Hybrid Pre</w:t>
      </w:r>
    </w:p>
    <w:p>
      <w:r>
        <w:t>POSSIBLE 2022: Implementing a probabilistic fire modeling system at the pan-European level — https://doi.org/10.14195/978-989-26-2298-9_174</w:t>
      </w:r>
    </w:p>
    <w:p>
      <w:r>
        <w:t>Shared claim-specific concepts: quantitative, long-term; EU scope visible. This is a provisional connection, not an outcome finding.</w:t>
      </w:r>
    </w:p>
    <w:p>
      <w:r>
        <w:t>Available abstract (not full text): This research shows the potential use of cross-boundary fire modeling systems at the pan-European level. Despite the growing interest in building fire-resilient cultural landscapes, European Union (EU) level efforts have been reactive and focused on early detection, fire propagation monitoring, and perimeter mapping rather than predicting where the disaster can potentially occur to develop a comprehensive wildfire management strategy. We propose a modeling system that integrates wildfire occurrence models and observed fire-weather scenarios with a fire spread model to generate the probabilistic risk components, i.e., wildfire likelihood and hazard estimates. We selected four NUTS-2 level administrative division pilot sites from different fire-prone countries to implement the modeling system. The European-level pyromes were first delineated based on ecoregions and historical wildfire activity. We then generated human and lightning wildfire occurrence models to display the ignition points. Remote sensing products were used to derive fire spread modeling spatial input data such as surface fuels and canopy metrics. Global atmospheric products were used to calculate the fuel moisture content with physical models and determine the most frequent wind scenarios for each pyrome. We then used the Minimum Travel Time algorithm to model the fire footprints that correspond to 10,000 years o</w:t>
      </w:r>
    </w:p>
    <w:p>
      <w:r>
        <w:t>POSSIBLE 2020: Coupling prediction model for long‐term displacements of arch dams based on long short‐term memory network — https://doi.org/10.1002/stc.2548</w:t>
      </w:r>
    </w:p>
    <w:p>
      <w:r>
        <w:t>Shared claim-specific concepts: long-term, reduction; EU scope not established. This is a provisional connection, not an outcome finding.</w:t>
      </w:r>
    </w:p>
    <w:p>
      <w:r>
        <w:t>Available abstract (not full text): The long-term safety and health monitoring of large dams has attracted increasing attention. In this paper, coupling prediction models based on long short-term memory (LSTM) network are proposed for the long-term deformation of arch dams. Principal component analysis (PCA) and moving average (MA) method, adopted to make dimension reduction for the input variables, are respectively combined with the LSTM to achieve two coupling prediction models, that is, LSTM-PCA and LSTM-MA. Lijiaxia arch dam, which has been in operation over 20 years, is taken as an analysis example. Compared with the traditional hydrostatic-seasonal-time model, the hydrostatic-seasonal-time thermal model, and the multilayer perceptron model, the proposed models show more effectiveness concerning the predicted displacements of the arch dam. The accuracy of the predicted results from the coupling prediction models is better. Furthermore, the coupling prediction models could capture the long-term characteristics and provide better prediction with short monitoring data. Compared with the LSTM-PCA model, the LSTM-MA model is more suitable for engineering applications due to its convenience.</w:t>
      </w:r>
    </w:p>
    <w:p>
      <w:r>
        <w:t>POSSIBLE 2019: Quantitative sovereign default models and the European debt crisis — https://doi.org/10.1016/j.jinteco.2019.01.011</w:t>
      </w:r>
    </w:p>
    <w:p>
      <w:r>
        <w:t>Shared claim-specific concepts: quantitative, framework, domestic; EU scope visible. This is a provisional connection, not an outcome finding.</w:t>
      </w:r>
    </w:p>
    <w:p>
      <w:r>
        <w:t>Available abstract (not full text): A large literature has developed quantitative versions of the Eaton and Gersovitz (1981) model to analyze default episodes on external debt. In this paper, we study whether the same framework can be applied to the analysis of debt crises in which domestic public debt plays a prominent role. We consider a model where a government can issue debt to both domestic and foreign investors, and we derive conditions under which their sum is the relevant state variable for default incentives. We then apply our framework to the European debt crisis. We show that matching the cyclicality of public debt—rather than that of external debt—allows the model to better capture the empirical distribution of interest rate spreads and gives rise to more realistic crises dynamics.</w:t>
      </w:r>
    </w:p>
    <w:p>
      <w:r>
        <w:t>POSSIBLE 2018: Compact or spread? A quantitative spatial model of urban areas in Europe since 1990 — https://doi.org/10.1371/journal.pone.0192326</w:t>
      </w:r>
    </w:p>
    <w:p>
      <w:r>
        <w:t>Shared claim-specific concepts: provides, quantitative; EU scope visible. This is a provisional connection, not an outcome finding.</w:t>
      </w:r>
    </w:p>
    <w:p>
      <w:r>
        <w:t>Available abstract (not full text): Changes in urban residential density represent an important issue in terms of land consumption, the conservation of ecosystems, air quality and related human health problems, as well as the consequential challenges for urban and regional planning. It is the decline of residential densities, in particular, that has often been used as the very definition of sprawl, describing a phenomenon that has been extensively studied in the United States and in Western Europe. Whilst these studies provide valuable insights into urbanization processes, only a handful of them have reflected the uneven dynamics of simultaneous urban growth and shrinkage, using residential density changes as a key indicator to uncover the underlying dynamics. This paper introduces a contrasting analysis of recent developments in both de- and re-concentration, defined as decreasing or increasing residential densities, respectively. Using a large sample of European cities, it detects differences in density changes between successional population growth/decline. The paper shows that dedensification, found in some large cities globally, is not a universal phenomenon in growing urban areas; neither the increasing disproportion between a declining demand for and an increasing supply of residential areas nor actual concentration processes in cities were found. Thus, the paper provides a new, very detailed perspective o</w:t>
      </w:r>
    </w:p>
    <w:p>
      <w:r>
        <w:t>POSSIBLE 2018: Quantitative Sovereign Default Models and the European Debt Crisis — https://doi.org/10.3386/w24981</w:t>
      </w:r>
    </w:p>
    <w:p>
      <w:r>
        <w:t>Shared claim-specific concepts: quantitative, framework, domestic; EU scope visible. This is a provisional connection, not an outcome finding.</w:t>
      </w:r>
    </w:p>
    <w:p>
      <w:r>
        <w:t>Available abstract (not full text): A large literature has developed quantitative versions of the Eaton and Gersovitz (1981) model to analyze default episodes on external debt.In this paper, we study whether the same framework can be applied to the analysis of debt crises in which domestic public debt plays a prominent role.We consider a model where a government can issue debt to both domestic and foreign investors, and we derive conditions under which their sum is the relevant state variable for default incentives.We then apply our framework to the European debt crisis.We show that matching the cyclicality of public debt ---rather than that of external debt---allows the model to better capture the empirical distribution of interest rate spreads and gives rise to more realistic crises dynamics.</w:t>
      </w:r>
    </w:p>
    <w:p>
      <w:r>
        <w:t>POSSIBLE 2016: Reducing burden of disease from residential indoor air exposures in Europe (HEALTHVENT project) — https://doi.org/10.1186/s12940-016-0101-8</w:t>
      </w:r>
    </w:p>
    <w:p>
      <w:r>
        <w:t>Shared claim-specific concepts: quantitative, framework; EU scope visible. This is a provisional connection, not an outcome finding.</w:t>
      </w:r>
    </w:p>
    <w:p>
      <w:r>
        <w:t>Available abstract (not full text): BACKGROUND: The annual burden of disease caused indoor air pollution, including polluted outdoor air used to ventilate indoor spaces, is estimated to correspond to a loss of over 2 million healthy life years in the European Union (EU). Based on measurements of the European Environment Agency (EEA), approximately 90 % of EU citizens live in areas where the World Health Organization (WHO) guidelines for air quality of particulate matter sized &lt; 2.5 mm (PM2.5) are not met. Since sources of pollution reside in both indoor and outdoor air, selecting the most appropriate ventilation strategy is not a simple and straightforward task. METHODS: A framework for developing European health-based ventilation guidelines was created in 2010-2013 in the EU-funded HEALTHVENT project. As a part of the project, the potential efficiency of control policies to health effects caused by residential indoor exposures of fine particulate matter (PM2.5), outdoor bioaerosols, volatile organic compounds (VOC), carbon oxide (CO) radon and dampness was estimated. The analysis was based on scenario comparison, using an outdoor-indoor mass-balance model and varying the ventilation rates. Health effects were estimated with burden of diseases (BoD) calculations taking into account asthma, cardiovascular (CV) diseases, acute toxication, respiratory infections, lung cancer and chronic obstructive pulmonary disease</w:t>
      </w:r>
    </w:p>
    <w:p>
      <w:r>
        <w:t>POSSIBLE 2016: Congestion management in power systems - Long-term modeling framework and large-scale application — https://openalex.org/W3122947640</w:t>
      </w:r>
    </w:p>
    <w:p>
      <w:r>
        <w:t>Shared claim-specific concepts: framework, analyzing, long-term; EU scope visible. This is a provisional connection, not an outcome finding.</w:t>
      </w:r>
    </w:p>
    <w:p>
      <w:r>
        <w:t>Available abstract (not full text): In liberalized power systems, generation and transmission services are unbundled, but remain tightly inter-linked. Congestion management in the transmission network is of crucial importance for the eÔ¨Éciency of these inter-linkages. DiÔ¨Äerent regulatory designs have been suggested, analyzed and followed, such as uniform zonal pricing with redispatch or nodal pricing. However, the literature has either focused on the short-term eÔ¨Éciency of congestion management or speciÔ¨Åc issues of timing investments. In contrast, this paper presents a generalized and Ô¨Çexible economic modeling framework based on a decomposed inter-temporal equilibrium model including generation, transmission, as well as their inter-linkages. Short and long-term effects of diÔ¨Äerent congestion management designs can hence be analyzed. SpeciÔ¨Åcally, we are able to identify and isolate implicit frictions and sources of ineÔ¨Éciencies in the diÔ¨Äerent regulatory designs, and to provide a comparative analysis including a benchmark against a Ô¨Årst-best welfare-optimal result. To demonstrate the applicability of our framework, we calibrate and numerically solve our model for a detailed representation of the Central Western European (CWE) region, consisting of 70 nodes and 174 power lines. Analyzing six diÔ¨Äerent congestion management designs until 2030, we show that compared to the Ô¨Årst-best benchmark, i</w:t>
      </w:r>
    </w:p>
    <w:p>
      <w:r>
        <w:t>POSSIBLE 2013: Continental-scale assessment of provisioning soil functions in Europe — https://doi.org/10.1186/2192-1709-2-32</w:t>
      </w:r>
    </w:p>
    <w:p>
      <w:r>
        <w:t>Shared claim-specific concepts: quantitative, framework; EU scope visible. This is a provisional connection, not an outcome finding.</w:t>
      </w:r>
    </w:p>
    <w:p>
      <w:r>
        <w:t>Available abstract (not full text): A framework is developed to link major soil functions to ecosystem services assessment. Provisioning soil functions—with primary linkages to ecosystem services—are evaluated on a continental scale in Europe. We defined major provisioning soil functions combining the approaches proposed by the Millennium Ecosystem Assessment and the Thematic Strategy for Soil Protection of the European Union. Soil productivity was evaluated by three main land use types (cropland, grassland, forest) using a validated expert model called SoilProd. Models include soil, climate and topographic criteria. Raw material provision capacity of soils was assessed on the basis of (i) organic carbon content and (ii) availability of soil materials for construction. A coherent system of soil function-based ecosystem services was compiled, taking into account major soil functions. We also produced new data on soil-based provisioning ecosystem services, including productivity and raw material availability. The attempts to cover the main human activities requiring materials of soil origin and to map the locations where those materials are available on a continental scale provide new insight to this field of research. Soil-based ecosystem services can be assessed by the evaluation of soil functions which play a role in the production of these services. Quantitative analysis and comparison of the spatial distributi</w:t>
      </w:r>
    </w:p>
    <w:p>
      <w:pPr>
        <w:pStyle w:val="Heading2"/>
      </w:pPr>
      <w:r>
        <w:t>Scenarios of the organic food market in Europe</w:t>
      </w:r>
    </w:p>
    <w:p>
      <w:r>
        <w:t>Original source (2012): https://doi.org/10.1016/j.foodpol.2011.10.003</w:t>
      </w:r>
    </w:p>
    <w:p>
      <w:r>
        <w:t>Original wording (abstract; indexed_source_text_not_full_document_verified): Scenario analysis is a qualitative tool for strategic policy analysis that enables researchers and policymakers to support decision making, and a systemic analysis of the main determinants of a business or sector. Network analysis is used to identify the roles of driving forces in the different scenarios, and the results are discussed in comparison with the main findings from existing scenarios on the future development of the organic sector.</w:t>
      </w:r>
    </w:p>
    <w:p>
      <w:r>
        <w:t>POSSIBLE 2026: Strategic Development of Wheelchair Basketball in Europe and Türkiye: A Systematic Review and Comparative Framework for Sustainable Growth — https://doi.org/10.33438/ijdshs.1800363</w:t>
      </w:r>
    </w:p>
    <w:p>
      <w:r>
        <w:t>Shared claim-specific concepts: qualitative, tool, strategic, support; EU scope visible. This is a provisional connection, not an outcome finding.</w:t>
      </w:r>
    </w:p>
    <w:p>
      <w:r>
        <w:t>Available abstract (not full text): Purpose: This systematic review examines the strategic development of wheelchair basketball in Europe and Türkiye, focusing on athlete pathways, governance structures, and sustainability mechanisms. Methods: Following PRISMA 2020 guidelines, four databases (PubMed, Scopus, Web of Science, SPORTDiscus) were systematically searched. From 731 records, 16 peer-reviewed studies met the inclusion criteria. A qualitative thematic synthesis was conducted, and methodological quality was assessed using the Mixed Methods Appraisal Tool (MMAT). Results: European systems demonstrate structured talent identification, formalized coach education, diversified funding models, and integrated sports science support. Reverse integration and gender-inclusive policies were associated with higher participation and institutional sustainability. In Türkiye, grassroots growth is evident; however, limitations persist regarding infrastructure, performance monitoring, and long-term funding continuity. Conclusion: Sustainable wheelchair basketball development requires coherent governance, standardized performance monitoring, and institutional partnerships. Adopting adaptable European best practices while accounting for Türkiye’s socio-cultural context can strengthen competitive performance and inclusive participation.</w:t>
      </w:r>
    </w:p>
    <w:p>
      <w:r>
        <w:t>POSSIBLE 2026: VIRTUAL REALITY AS A STRATEGIC SPORT MARKETING TOOL IN PROFESSIONAL FOOTBALL: EVIDENCE FROM EUROPE AND GREECE — https://doi.org/10.46827/ejmms.v11i2.2215</w:t>
      </w:r>
    </w:p>
    <w:p>
      <w:r>
        <w:t>Shared claim-specific concepts: qualitative, tool, strategic, decision, used, different; EU scope visible. This is a provisional connection, not an outcome finding.</w:t>
      </w:r>
    </w:p>
    <w:p>
      <w:r>
        <w:t>Available abstract (not full text): This research article examines the strategic use of virtual reality (VR) as a sport marketing tool in professional football, with particular attention to the European and Greek contexts. The study investigates whether immersive VR applications can strengthen fan engagement, emotional attachment, perceived commercial value, sponsorship appeal and organizational marketing effectiveness. A mixed-methods design was employed. Quantitative evidence was collected through a structured questionnaire administered to a sport-related sample of 166 respondents, while qualitative evidence was gathered through semi-structured interviews with sport organization executives and marketing decision makers. The quantitative analysis used descriptive statistics, one-sample t-tests against the neutral point of five-point Likert scales, Pearson correlations and linear regression models. Interview data were examined thematically. The findings show that VR is perceived as a powerful mechanism for enhancing fans' emotional connection with football clubs, increasing participation in live and digital events, improving social-media engagement and creating new commercial assets for sponsors and clubs. The results further indicate that European football organizations are perceived as more advanced than Greek organizations in adopting and strategically integrating VR. Cost, lack of specialized personnel, techn</w:t>
      </w:r>
    </w:p>
    <w:p>
      <w:r>
        <w:t>POSSIBLE 2026: Economic Diplomacy as a Strategic Tool in Economic Warfare: A Qualitative Analysis of Global Resilience Strategies — https://doi.org/10.2478/picbe-2026-0004</w:t>
      </w:r>
    </w:p>
    <w:p>
      <w:r>
        <w:t>Shared claim-specific concepts: qualitative, tool, strategic, used, comparison; EU scope not established. This is a provisional connection, not an outcome finding.</w:t>
      </w:r>
    </w:p>
    <w:p>
      <w:r>
        <w:t>Available abstract (not full text): Abstract The current international environment is defined by conflicts that seem to escalate more and more dangerously. From the conflict between Russia and Ukraine to the aggression of the United States of America in Venezuela, the modern world seems to be leaning more and more towards military conflicts. However, the globalized world also faces a more subtle type of aggression, represented by economic or tariff warfare. Thus, studying economic diplomacy and its importance has become vital to understanding how to stop the world from turning into a sea of bloody wars. In the current scientific literature, economic diplomacy is often analyzed from a commercial perspective, but there is a significant gap regarding its role in military crisis management and geopolitical realignment. The research question is the following: to what extent can economic diplomacy mitigate the effects of tariff wars and ensure national resilience in emerging economies, taking as a model the political restructuring study of President Javier Milei′s Argentina? The research method will be qualitative, using a comparative analysis of diplomacy used in tariff wars and Milei′s Argentine shock therapy. The results show us that the measures described have a positive impact on economic stability in both cases, but involve irreparable damage to the morale and standard of living of the people. The contribution of</w:t>
      </w:r>
    </w:p>
    <w:p>
      <w:r>
        <w:t>POSSIBLE 2026: Strategic Narratives of Foreign Policy Identity: Russia vs European Union — https://doi.org/10.20542/0131-2227-2026-70-9-66-77</w:t>
      </w:r>
    </w:p>
    <w:p>
      <w:r>
        <w:t>Shared claim-specific concepts: qualitative, strategic, findings; EU scope visible. This is a provisional connection, not an outcome finding.</w:t>
      </w:r>
    </w:p>
    <w:p>
      <w:r>
        <w:t>Available abstract (not full text): The article examines the evolution of strategic narratives in EU–Russia relations from 2022 to 2025 amid geopolitical tensions, particularly post-Ukraine conflict. The article presents a qualitative analysis of the strategic narratives of the Russian Federation and the European Union as tools for shaping foreign policy identity and positioning actors as centers of power in a transforming system of international relations. Drawing on the constructivist concept of strategic narratives, the authors trace the dynamics of constructing foreign policy identities and positioning the European Union and Russia as global centers of power. Key findings highlight a divergence: the EU constructs Russia as an existential threat via “Russian threat, aggression, hybrid warfare”, fostering militarization and resilience of European identity. Conversely, Russian narratives portray the EU as betrayer of post-Cold War partnership, emphasizing multipolarity, balances, and Western decline. The analysis underscores how competing narratives shape collective identities, policy resilience, and perpetual crisis (“permacrisis”), influencing foreign policy and public diplomacy. The authors conclude with a warning of deepened antagonism without narrative convergence. Strategic narratives reinforce each actor’s foreign policy identity as a contender for the role of a global center of power and challenge the op</w:t>
      </w:r>
    </w:p>
    <w:p>
      <w:r>
        <w:t>POSSIBLE 2026: Artificial Intelligence Tools in Qualitative Research II — https://doi.org/10.59537/saupress.2577</w:t>
      </w:r>
    </w:p>
    <w:p>
      <w:r>
        <w:t>Shared claim-specific concepts: qualitative, researchers, identify; EU scope not established. This is a provisional connection, not an outcome finding.</w:t>
      </w:r>
    </w:p>
    <w:p>
      <w:r>
        <w:t>Available abstract (not full text): The volume brings together fourteen chapters authored by specialists whose work spans the intersection of artificial intelligence and qualitative methodology.The opening chapter addresses AI-assisted approaches to data collection, examining how tools built upon machine learning can enhance the depth and consistency of qualitative interviewing, focus group moderation, and observational protocols.The second chapter turns to the analysis stage, critically evaluating automatic and semi-automatic coding approaches alongside the irreplaceable role of researcher judgment.The third chapter confronts the ethical dimensions of AI use in qualitative research, with particular attention to data privacy, algorithmic transparency, and the risk of researcher bias.The fourth chapter examines how artificial intelligence has reshaped educational settings through learning analytics, personalized learning environments, student performance prediction, and classroom management tools.This treatment is essential for qualitative researchers whose fieldwork increasingly takes place within AI-mediated institutional contexts: understanding the AI systems that structure the environments under study is a prerequisite for methodologically credible inquiry, and no qualitative account of contemporary schooling can be complete without it.The fifth chapter investigates the methodological contributions of large la</w:t>
      </w:r>
    </w:p>
    <w:p>
      <w:r>
        <w:t>POSSIBLE 2025: Disinformation as a Tool of Hybrid Action: Security, Political and Strategic Challenges for the European Union — https://doi.org/10.36682/a_2025_1_2</w:t>
      </w:r>
    </w:p>
    <w:p>
      <w:r>
        <w:t>Shared claim-specific concepts: qualitative, tool, strategic, main; EU scope visible. This is a provisional connection, not an outcome finding.</w:t>
      </w:r>
    </w:p>
    <w:p>
      <w:r>
        <w:t>Available abstract (not full text): The article analyses disinformation as a key tool of hybrid warfare in the current deteriorating security situation and an environment marked by strategic uncertainty and instability, where the confrontation between democratic and authoritarian regimes is intensifying. In this context, disinformation has ceased to be merely a marginal phenomenon; instead, it has become a systematic tool for undermining democratic institutions, polarizing society, and eroding public trust. In this context, the European Union faces a growing need to safeguard the information space through coordinated measures at both domestic and international levels. The article draws on qualitative and comparative analyses of political strategies and documents, identifying the main weaknesses of current approaches and proposes strategic priorities, including the establishment of a legally binding framework, the strengthening of media literacy, the enhancement of technological capacities, and the promotion of global norm-setting. The article concludes by emphasizing that a successful response to disinformation requires not only technical solutions but, more importantly, educated, resilient, and critically minded citizens as the cornerstone of democratic society.</w:t>
      </w:r>
    </w:p>
    <w:p>
      <w:r>
        <w:t>POSSIBLE 2025: Advantages and pitfalls of green public procurement as a European strategic tool — https://openalex.org/W7116591833</w:t>
      </w:r>
    </w:p>
    <w:p>
      <w:r>
        <w:t>Shared claim-specific concepts: tool, strategic, support, sector; EU scope visible. This is a provisional connection, not an outcome finding.</w:t>
      </w:r>
    </w:p>
    <w:p>
      <w:r>
        <w:t>Available abstract (not full text): Public procurement, or the purchasing of goods and services by governments, is among the most powerful policy tools available to the public sector. Accounting for nearly 14 percent of European Union GDP, it shapes markets, signals priorities and can in principle create demand for transformative innovation. Green public procurement (GPP), which aims to include environmental considerations in the procurement process, has been identified as an important lever to deploy public spending in line with the EU's climate goals. In this paper, we examine GPP as a strategic tool to support the EU's decarbonisation, industrial and geopolitical objectives, and assess it in context of the EU's broader policy agenda. While we acknowledge the importance of GPP in the European decarbonisation process, we argue that its widespread use might also lead to policy tensions with the EU's other strategic objectives, such as fiscal stability and strategic autonomy. Throughout the paper, we illustrate how the interplay of these goals leads to trade-offs that are very complex to accommodate. While procurement can empower and add financial weight to European actions aimed at achieving strategic goals, including decarbonisation, it can only be effective if the EU's underlying strategic policy goals remain consistent with each other. Trying to fit procurement practices to multiple contrasting objectives migh</w:t>
      </w:r>
    </w:p>
    <w:p>
      <w:r>
        <w:t>POSSIBLE 2025: ENHANCING REGIONAL COMPETITIVENESS THROUGH STRATEGIC MANAGEMENT OF TOURISM CLUSTERS: EVIDENCE FROM EUROPEAN COUNTRIES — https://openalex.org/W7220001405</w:t>
      </w:r>
    </w:p>
    <w:p>
      <w:r>
        <w:t>Shared claim-specific concepts: qualitative, strategic, findings; EU scope visible. This is a provisional connection, not an outcome finding.</w:t>
      </w:r>
    </w:p>
    <w:p>
      <w:r>
        <w:t>Available abstract (not full text): In the context of globalization and increasing interregional competition, tourism has become a crucial driver of regional economic development. One of the most effective mechanisms for strengthening the competitiveness of tourist destinations is the formation and strategic management of tourism clusters. This article examines the role of tourism clusters in enhancing regional competitiveness, with particular emphasis on the experience of European countries. The study analyzes theoretical approaches to cluster development, identifies key strategic management tools, and evaluates best practices applied in Europe. Using a qualitative and comparative methodology, the research highlights how coordinated governance, innovation, public–private partnerships, and sustainable development strategies contribute to successful tourism clusters. The findings demonstrate that strategically managed tourism clusters significantly improve regional competitiveness by increasing productivity, attracting investment, fostering innovation, and ensuring sustainable territorial development. The article concludes with recommendations that may be adapted for other regions seeking to strengthen their tourism potential through cluster-based approaches.</w:t>
      </w:r>
    </w:p>
    <w:p>
      <w:r>
        <w:t>POSSIBLE 2024: Digital Tools in Strategic Global Sports Brand Management — https://doi.org/10.2478/jec-2024-0029</w:t>
      </w:r>
    </w:p>
    <w:p>
      <w:r>
        <w:t>Shared claim-specific concepts: qualitative, tool, strategic, findings; EU scope visible. This is a provisional connection, not an outcome finding.</w:t>
      </w:r>
    </w:p>
    <w:p>
      <w:r>
        <w:t>Available abstract (not full text): Abstract Research Purpose. The purpose of this research is to examine the strategic use of digital tools in global sports brand management, with a focus on how these tools, including the Strategic Colour-Coded System (SCCS), can enhance global fan engagement. Research Methodology. This study employs a mixed-methods approach, combining qualitative analyses of sports marketing strategies with quantitative data on fan engagement and market penetration. It specifically investigates the implementation and impact of the SCCS in translating and distributing content to international audiences, evaluating its effectiveness in the context of global sports. Findings. The findings will display how the SCCS can enhance the global management of sports brands, facilitating deeper engagement with diverse audiences and enabling sports entities to effectively penetrate new markets. The study highlights how to connect with spectators in Europe and Asia utilizing SCCS and digital platforms. Originality and Practical Implications. This study introduces the Strategic Colour-Coded System (SCCS) for sports brand management, a digital tool that enhances global audience engagement by facilitating cross-cultural fan interaction and strengthening connections in a global sports context. It offers valuable insights for sports federations, clubs and marketers aiming to expand internationally.</w:t>
      </w:r>
    </w:p>
    <w:p>
      <w:r>
        <w:t>POSSIBLE 2024: Rethinking Barriers and Enablers in Qualitative Health Research: Limitations, Alternatives, and Enhancements — https://doi.org/10.1177/10497323241230890</w:t>
      </w:r>
    </w:p>
    <w:p>
      <w:r>
        <w:t>Shared claim-specific concepts: qualitative, researchers, findings; EU scope not established. This is a provisional connection, not an outcome finding.</w:t>
      </w:r>
    </w:p>
    <w:p>
      <w:r>
        <w:t>Available abstract (not full text): Explorations of barriers and enablers (or barriers and facilitators) to a desired health practice, implementation process, or intervention outcome have become so prevalent that they seem to be a default in much health services and public health research. In this article, we argue that decisions to frame research questions or analyses using barriers and enablers (B&amp;Es) should not be default. Contrary to the strengths of qualitative research, the B&amp;Es approach often bypasses critical reflexivity and can lead to shallow research findings with poor understanding of the phenomena of interest. The B&amp;Es approach is untheorised, relying on assumptions of linear, unidirectional processes, universally desirable outcomes, and binary thinking which are at odds with the rich understanding of context and complexity needed to respond to the challenges faced by health services and public health. We encourage researchers to develop research questions using informed deliberation that considers a range of approaches and their implications for producing meaningful knowledge. Alternatives and enhancements to the B&amp;Es approach are explored, including using 'whole package' methodologies; theories, conceptual frameworks, and sensitising ideas; and participatory methods. We also consider ways of advancing existing research on B&amp;Es rather than doing 'more of the same': researchers can usefully investiga</w:t>
      </w:r>
    </w:p>
    <w:p>
      <w:r>
        <w:t>POSSIBLE 2024: Attitudes of European psychiatrists on psychedelics: a qualitative study — https://doi.org/10.3389/fpsyt.2024.1411234</w:t>
      </w:r>
    </w:p>
    <w:p>
      <w:r>
        <w:t>Shared claim-specific concepts: qualitative, main, findings; EU scope visible. This is a provisional connection, not an outcome finding.</w:t>
      </w:r>
    </w:p>
    <w:p>
      <w:r>
        <w:t>Available abstract (not full text): Introduction and aim: It is important to understand how mental health practitioners view recent findings on psychedelic-assisted psychotherapy (PAP) as there is potential this treatment may be incorporated into clinical practice. The aim of our study was to explore how psychiatrists who are not involved in psychedelic research and who are located in the European region perceive psychedelics and PAP. Methods: We conducted online semi-structured interviews with 12 psychiatry specialists and psychiatry trainees from 8 European countries. Data were analyzed using a general inductive approach informed by codebook thematic analysis. Results: Based on the interviews, we developed four main themes and 14 sub-themes, including (1) Psychedelics hold potential, (2) Psychedelics are dangerous, (3) Future of psychedelics is uncertain, and (4) Psychiatry is ambivalent toward psychedelics. Discussion: Our respondents-psychiatrists acknowledged the potential of PAP but remained cautious and did not yet perceive its evidence base as robust enough. Education on psychedelics is lacking in medical and psychiatric training and should be improved to facilitate the involvement of mental health experts in decision-making on PAP.</w:t>
      </w:r>
    </w:p>
    <w:p>
      <w:r>
        <w:t>POSSIBLE 2023: 4 Research Methods: Quantitative and Qualitative Approaches — https://doi.org/10.21832/9781800417151-006</w:t>
      </w:r>
    </w:p>
    <w:p>
      <w:r>
        <w:t>Shared claim-specific concepts: qualitative, identify, discussed; EU scope not established. This is a provisional connection, not an outcome finding.</w:t>
      </w:r>
    </w:p>
    <w:p>
      <w:r>
        <w:t xml:space="preserve">Available abstract (not full text): The improvement and expansion of higher education have been priorities of our national development in Kenya.Within a span of thirty five years since independence, we have witnessed the creation of five public universities.Several private universities have also been established.In our national universities, more professional programmes have been developed at both undergraduate and postgraduate levels and several departments now offer Ph.D programmes through research.As one of many African countries that have suffered from the effects of colonialism and marginalization, Kenya has made tremendous progress in the field of higher education that should be desired for the wider region, now defined by the Preferential Trade Area (PTA) and the Common Market of East and Southern Africa (COMESA).There has, however, been a constant lack of locally available textbooks for use at both the undergraduate and postgraduate levels.Many departments continue to use imported textbooks at a great price in foreign exchange.Worse still, the teaching staff have to relate material in these texts to our local situation and experiences.With the onset of the third millennium and the ever-growing quest for information, there is a desperate need for people to write books in various areas of specialization that are relevant to our needs.One of the objectives of any institution of higher learning is to conduct </w:t>
      </w:r>
    </w:p>
    <w:p>
      <w:pPr>
        <w:pStyle w:val="Heading2"/>
      </w:pPr>
      <w:r>
        <w:t>Suitability of European climate for the Asian tiger mosquito Aedes albopictus : recent trends and future scenarios</w:t>
      </w:r>
    </w:p>
    <w:p>
      <w:r>
        <w:t>Original source (2012): https://doi.org/10.1098/rsif.2012.0138</w:t>
      </w:r>
    </w:p>
    <w:p>
      <w:r>
        <w:t>Original wording (abstract; indexed_source_text_not_full_document_verified): Similar trends are likely in the future, with an increased risk simulated over northern Europe and slightly decreased risk over southern Europe. These distribution shifts are related to wetter and warmer conditions favouring the overwintering of A. albopictus in the north, and drier and warmer summers that might limit its southward expansion.</w:t>
      </w:r>
    </w:p>
    <w:p>
      <w:r>
        <w:t>POSSIBLE 2025: #148 Impact of targeted screening in high-risk individuals and guideline-directed medical therapy on CKD burden in Europe: projections from IMPACT CKD — https://doi.org/10.1093/ndt/gfaf116.047</w:t>
      </w:r>
    </w:p>
    <w:p>
      <w:r>
        <w:t>Shared claim-specific concepts: similar, trends, increased, simulated, over, slightly; EU scope visible. This is a provisional connection, not an outcome finding.</w:t>
      </w:r>
    </w:p>
    <w:p>
      <w:r>
        <w:t>Available abstract (not full text): Abstract Background and Aims Chronic kidney disease (CKD) is a significant and growing health issue in Europe that remains underdiagnosed and undertreated. This contributes to CKD progression, increased risks of cardiovascular (CV) events, death, and increased need for resource-intensive kidney replacement therapy (KRT; i.e., dialysis and transplantation). While early identification and intervention in high-risk populations, such as those with diabetes mellitus (DM) and hypertension (HTN), have shown cost-effectiveness, the broader impact of screening combined with guideline-directed medical therapy (GDMT) on CKD burden is underexplored. This study examined the impact of targeted screening and improved GDMT adherence on the holistic population level burden of CKD in Europe. Method A European aggregate population comprised of four country populations (Germany, Netherlands, Spain, United Kingdom [UK]) was simulated for 25-years (baseline: 2022; simulated years: 2023–2047) using the validated IMPACT CKD model to compare two scenarios: annual targeted CKD screening for patients with comorbidities (including DM, HTN, heart failure, history of myocardial infarction, and history of stroke), over the age of 45 years combined with 75% adherence to GDMT versus current practice (i.e., underdiagnosis and low treatment rates). Targeted screening involved estimated glomerular filtration rate</w:t>
      </w:r>
    </w:p>
    <w:p>
      <w:r>
        <w:t>POSSIBLE 2024: Trends in Air Pollution in Europe, 2000–2019 — https://doi.org/10.4209/aaqr.230237</w:t>
      </w:r>
    </w:p>
    <w:p>
      <w:r>
        <w:t>Shared claim-specific concepts: similar, trends, over, slightly, decreased; EU scope visible. This is a provisional connection, not an outcome finding.</w:t>
      </w:r>
    </w:p>
    <w:p>
      <w:r>
        <w:t>Available abstract (not full text): This paper encompasses an assessment of air pollution trends in rural environments in Europe over the 2000–2019 period, benefiting from extensive long-term observational data from the EMEP monitoring network and EMEP MSC-W model computations. The trends in pollutant concentrations align with the decreasing emission patterns observed throughout Europe. Annual average concentrations of sulfur dioxide, particulate sulfate, and sulfur wet deposition have shown consistent declines of 3-4% annually since 2000. Similarly, oxidized nitrogen species have markedly decreased across Europe, with an annual reduction of 1.5-2% in nitrogen dioxide concentrations, total nitrate in the air, and oxidized nitrogen deposition. Notably, emission reductions and model predictions appear to slightly surpass the observed declines in sulfur and oxidized nitrogen, indicating a potential overestimation of reported emission reductions. Ammonia emissions have decreased less compared to other pollutants since 2000. Significant reductions in particulate ammonium have however, been achieved due to the impact of reductions in SOx and NOx emissions. For ground level ozone, both the observed and modelled peak levels in summer show declining trends, although the observed decline is smaller than modelled. There have been substantial annual reductions of 1.8% and 2.4% in the concentrations of PM10 and PM2.5, respect</w:t>
      </w:r>
    </w:p>
    <w:p>
      <w:r>
        <w:t>POSSIBLE 2024: Estimating the potential risk of transmission of arboviruses in the Americas and Europe: a modelling study — https://doi.org/10.1016/s2542-5196(23)00252-8</w:t>
      </w:r>
    </w:p>
    <w:p>
      <w:r>
        <w:t>Shared claim-specific concepts: southern, distribution, albopictus; EU scope visible. This is a provisional connection, not an outcome finding.</w:t>
      </w:r>
    </w:p>
    <w:p>
      <w:r>
        <w:t>Available abstract (not full text): BACKGROUND: Estimates of the spatiotemporal distribution of different mosquito vector species and the associated risk of transmission of arboviruses are key to design adequate policies for preventing local outbreaks and reducing the number of human infections in endemic areas. In this study, we quantified the abundance of Aedes albopictus and Aedes aegypti and the local transmission potential for three arboviral infections at an unprecedented spatiotemporal resolution in areas where no entomological surveillance is available. METHODS: We developed a computational model to quantify the daily abundance of Aedes mosquitoes, leveraging temperature and precipitation records. The model was calibrated on mosquito surveillance data collected in 115 locations in Europe and the Americas between 2007 and 2018. Model estimates were used to quantify the reproduction number of dengue virus, Zika virus, and chikungunya in Europe and the Americas, at a high spatial resolution. FINDINGS: when compared with A albopictus. Our estimates highlighted that these arboviruses were endemic in tropical and subtropical countries, with the highest risks of transmission found in central America, Venezuela, Colombia, and central-east Brazil. A non-negligible potential risk of transmission was also estimated for Florida, Texas, and Arizona (USA). The broader ecological niche of A albopictus could contribute t</w:t>
      </w:r>
    </w:p>
    <w:p>
      <w:r>
        <w:t>POSSIBLE 2023: Youth Sport Participation Trends Across Europe: Implications for Policy and Practice — https://doi.org/10.1080/02701367.2022.2148623</w:t>
      </w:r>
    </w:p>
    <w:p>
      <w:r>
        <w:t>Shared claim-specific concepts: trends, likely, increased, over; EU scope visible. This is a provisional connection, not an outcome finding.</w:t>
      </w:r>
    </w:p>
    <w:p>
      <w:r>
        <w:t>Available abstract (not full text): Purpose: Despite the known health and wellbeing benefits of taking part in sport for children and adolescents, it is reported that sports participation declines during adolescence. The purpose of this study was to explore current organized youth sport participation rates across Europe for both males and females and update current understanding. Method: Sport participation registration data was collected for 18 sports from 27 countries. In total, participation data was collected from over 5 million young people from Under 8s (U8s) to Under 18s (U18s). Differences in the participation rates between age categories were investigated using a generalized linear mixed effects model. Results: Overall, males were four times more likely to participate in organised youth sport than females’ participants, with this trend apparent across all age categories and across most sports. There was a significant decrease across sports in participation rates for males during adolescence from U14-U16 and U16-U18. There was a significant decrease in participation rates for females from U14-U16 for most sports except but an increase in participation rates from U16-U18 for 12 out of 18 sports. Soccer (1262%), wrestling (391%) and boxing (209%) were the sports that had greater male sport participation rates. In contrast, dance sports (86%) and volleyball (63%) had more female participants than males. This</w:t>
      </w:r>
    </w:p>
    <w:p>
      <w:r>
        <w:t>POSSIBLE 2023: Modeled Multidecadal Trends of Lightning and (Very) Large Hail in Europe and North America (1950–2021) — https://doi.org/10.1175/jamc-d-22-0195.1</w:t>
      </w:r>
    </w:p>
    <w:p>
      <w:r>
        <w:t>Shared claim-specific concepts: trends, likely, simulated, northern, southern, north; EU scope visible. This is a provisional connection, not an outcome finding.</w:t>
      </w:r>
    </w:p>
    <w:p>
      <w:r>
        <w:t>Available abstract (not full text): Abstract We have developed additive logistic models for the occurrence of lightning, large hail (≥2 cm), and very large hail (≥5 cm) to investigate the evolution of these hazards in the past, in the future, and for forecasting applications. The models, trained with lightning observations, hail reports, and predictors from atmospheric reanalysis, assign an hourly probability to any location and time on a 0.25° × 0.25° × 1-hourly grid as a function of reanalysis-derived predictor parameters, selected following an ingredients-based approach. The resulting hail models outperform the significant hail parameter, and the simulated climatological spatial distributions and annual cycles of lightning and hail are consistent with observations from storm report databases, radar, and lightning detection data. As a corollary result, CAPE released above the −10°C isotherm was found to be a more universally skillful predictor for large hail than CAPE. In the period 1950–2021, the models applied to the ERA5 reanalysis indicate significant increases of lightning and hail across most of Europe, primarily due to rising low-level moisture. The strongest modeled hail increases occur in northern Italy with increasing rapidity after 2010. Here, very large hail has become 3 times more likely than it was in the 1950s. Across North America trends are comparatively small, apart from isolated significant i</w:t>
      </w:r>
    </w:p>
    <w:p>
      <w:r>
        <w:t>POSSIBLE 2023: The future ozone trends in changing climate simulated with SOCOLv4 — https://doi.org/10.5194/acp-23-4801-2023</w:t>
      </w:r>
    </w:p>
    <w:p>
      <w:r>
        <w:t>Shared claim-specific concepts: trends, likely, simulated, over; EU scope not established. This is a provisional connection, not an outcome finding.</w:t>
      </w:r>
    </w:p>
    <w:p>
      <w:r>
        <w:t>Available abstract (not full text): Abstract. This study evaluates the future evolution of atmospheric ozone between 2015 and 2099 simulated with the Earth System Model (ESM) SOCOLv4. Simulations have been performed based on two potential Shared Socioeconomic Pathways (SSP): the “middle-of-the-road” (SSP2-4.5) and “fossil-fueled” (SSP5-8.5) scenarios. In both scenarios, the model projects a decline in tropospheric ozone in the future that starts in the 2030s in SSP2-4.5 and after the 2060s in SSP5-8.5 due to a decrease in concentrations of ozone precursors like NOx and CO. The results also suggest a very likely ozone increase in the mesosphere, upper and middle stratosphere, as well as at high latitudes of the lower stratosphere. Under SSP5-8.5, the ozone increase in the stratosphere is higher because of stronger cooling (&gt; 1 °K/decade) induced by the greenhouse gases (GHG), which slows the catalytic ozone destruction cycles. In contrast, in the tropical lower stratosphere ozone concentrations decrease in both experiments and increase over the middle and high latitudes of both hemispheres due to the intensification of meridional transport, which is stronger in SSP5-8.5. No evidence was found of a decline in ozone levels in the lower stratosphere at mid-latitudes. In both future scenarios, the total column ozone is expected to be distinctly higher than present in mid-to-high latitudes and might be lower in the tro</w:t>
      </w:r>
    </w:p>
    <w:p>
      <w:r>
        <w:t>POSSIBLE 2021: Trends in singlehood in young adulthood in Europe — https://doi.org/10.1016/j.alcr.2021.100449</w:t>
      </w:r>
    </w:p>
    <w:p>
      <w:r>
        <w:t>Shared claim-specific concepts: trends, increased, over, shifts; EU scope visible. This is a provisional connection, not an outcome finding.</w:t>
      </w:r>
    </w:p>
    <w:p>
      <w:r>
        <w:t>Available abstract (not full text): Cultural and economic shifts such as increasing individualization and labor market uncertainty may have resulted in an increase in singlehood after leaving home. Using data from the European Social Survey, we compare cohorts born between 1930 and 1989 in 30 European countries. We show that there has been an increase in singlehood after leaving home, but primarily among women. Whereas the percentage of women who have lived in singlehood after leaving home increased with 11 percentage points from 41% to 52%, men experienced only a 3 percentage points' increase from 59% to 62%. This stronger trend among women could be the result of their increasing educational attainment and earning capacity. Event-history analyses show that the duration of singlehood has not changed over time. We call for more research on singlehood after leaving home as an event of interest during the transition to adulthood. As more than 50% of young adults nowadays live in singlehood after leaving home, singlehood is a key part of the transition to adulthood that deserves explicit attention.</w:t>
      </w:r>
    </w:p>
    <w:p>
      <w:r>
        <w:t>POSSIBLE 2021: Dealing with trend uncertainty in empirical estimates of European rainfall climate for insurance risk management — https://doi.org/10.1002/met.2008</w:t>
      </w:r>
    </w:p>
    <w:p>
      <w:r>
        <w:t>Shared claim-specific concepts: trends, related; EU scope visible. This is a provisional connection, not an outcome finding.</w:t>
      </w:r>
    </w:p>
    <w:p>
      <w:r>
        <w:t xml:space="preserve">Available abstract (not full text): Abstract The insurance industry uses mathematical models to estimate the risks due to future natural catastrophes. For climate‐related risks, historical climate data are a key ingredient used in making the models. Historical data for temperature and sea level often show clear and readily quantified climate change driven trends, and these trends would typically be accounted for when building risk models by adjusting earlier values to render the earlier data relevant to the future climate. For other climate variables, such as rainfall in many parts of the world, the questions of whether there are climate change driven trends in the historical data, and how to quantify them if there are, are less simple to answer. We investigate these questions in the context of European rainfall with a specific focus on how to deal with the uncertainty around trend estimates. We compare 10 empirical methodologies that one might use to model and predict trends, including traditional statistical testing and alternatives to statistical testing based on standard methods from model selection and model averaging. We emphasize prediction and risk assessment, rather than detection of trends, as our goal. Viewed in terms of this goal, the methods we consider each have qualitative and quantitative advantages and disadvantages. Understanding these advantages and disadvantages can help risk modellers make a </w:t>
      </w:r>
    </w:p>
    <w:p>
      <w:r>
        <w:t>POSSIBLE 2020: Twenty-seven-year time trends in dementia incidence in Europe and the United States — https://doi.org/10.1212/wnl.0000000000010022</w:t>
      </w:r>
    </w:p>
    <w:p>
      <w:r>
        <w:t>Shared claim-specific concepts: similar, trends, increased, over, north; EU scope visible. This is a provisional connection, not an outcome finding.</w:t>
      </w:r>
    </w:p>
    <w:p>
      <w:r>
        <w:t>Available abstract (not full text): OBJECTIVE: To determine changes in the incidence of dementia between 1988 and 2015. METHODS: This analysis was performed in aggregated data from individuals &gt;65 years of age in 7 population-based cohort studies in the United States and Europe from the Alzheimer Cohort Consortium. First, we calculated age- and sex-specific incidence rates for all-cause dementia, and then defined nonoverlapping 5-year epochs within each study to determine trends in incidence. Estimates of change per 10-year interval were pooled and results are presented combined and stratified by sex. RESULTS: Of 49,202 individuals, 4,253 (8.6%) developed dementia. The incidence rate of dementia increased with age, similarly for women and men, ranging from about 4 per 1,000 person-years in individuals aged 65-69 years to 65 per 1,000 person-years for those aged 85-89 years. The incidence rate of dementia declined by 13% per calendar decade (95% confidence interval [CI], 7%-19%), consistently across studies, and somewhat more pronouncedly in men than in women (24% [95% CI 14%-32%] vs 8% [0%-15%]). CONCLUSION: The incidence rate of dementia in Europe and North America has declined by 13% per decade over the past 25 years, consistently across studies. Incidence is similar for men and women, although declines were somewhat more profound in men. These observations call for sustained efforts to finding the causes for t</w:t>
      </w:r>
    </w:p>
    <w:p>
      <w:r>
        <w:t>POSSIBLE 2020: Flood trends in Europe: are changes in small and big floods different? — https://doi.org/10.5194/hess-24-1805-2020</w:t>
      </w:r>
    </w:p>
    <w:p>
      <w:r>
        <w:t>Shared claim-specific concepts: trends, over, southern, distribution, related; EU scope visible. This is a provisional connection, not an outcome finding.</w:t>
      </w:r>
    </w:p>
    <w:p>
      <w:r>
        <w:t xml:space="preserve">Available abstract (not full text): Abstract. Recent studies have revealed evidence of trends in the median or mean flood discharge in Europe over the last five decades, with clear and coherent regional patterns. The aim of this study is to assess whether trends also occurred for larger return periods accounting for the effect of catchment scale. We analyze 2370 flood records, selected from a newly-available pan-European flood database, with record length of at least 40 years over the period 1960–2010 and with contributing catchment area ranging from 5 to 100 000 km2. To estimate regional flood trends, we use a non-stationary regional flood frequency approach consisting of a regional Gumbel distribution, whose median and growth factor can vary in time with different strengths for different catchment sizes. A Bayesian Monte Carlo Markov Chain (MCMC) approach is used for parameter estimation. We quantify regional trends (and the related sample uncertainties), for floods of selected return periods and for selected catchment areas, across Europe and for three regions where coherent flood trends have been identified in previous studies. Results show that, in the Atlantic region, the trends in flood magnitude are generally positive. In small catchments (up to 100 km2), the 100-year flood increases more than the median flood, while the opposite is observed in medium and large catchments, where even some negative trends </w:t>
      </w:r>
    </w:p>
    <w:p>
      <w:r>
        <w:t>POSSIBLE 2020: Differing Trends in United States and European Severe Thunderstorm Environments in a Warming Climate — https://doi.org/10.1175/bams-d-20-0004.1</w:t>
      </w:r>
    </w:p>
    <w:p>
      <w:r>
        <w:t>Shared claim-specific concepts: trends, likely, over, southern, conditions, north; EU scope visible. This is a provisional connection, not an outcome finding.</w:t>
      </w:r>
    </w:p>
    <w:p>
      <w:r>
        <w:t>Available abstract (not full text): Abstract Long-term trends in the historical frequency of environments supportive of atmospheric convection are unclear, and only partially follow the expectations of a warming climate. This uncertainty is driven by the lack of unequivocal changes in the ingredients for severe thunderstorms (i.e., conditional instability, sufficient low-level moisture, initiation mechanism, and vertical wind shear). ERA5 hybrid-sigma data allow for superior characterization of thermodynamic parameters including convective inhibition, which is very sensitive to the number of levels in the lower troposphere. Using hourly data we demonstrate that long-term decreases in instability and stronger convective inhibition cause a decline in the frequency of thunderstorm environments over the southern United States, particularly during summer. Conversely, increasingly favorable conditions for tornadoes are observed during winter across the Southeast. Over Europe, a pronounced multidecadal increase in low-level moisture has provided positive trends in thunderstorm environments over the south, central, and north, with decreases over the east due to strengthening convective inhibition. Modest increases in vertical wind shear and storm-relative helicity have been observed over northwestern Europe and the Great Plains. Both continents exhibit negative trends in the fraction of environments with likely convectiv</w:t>
      </w:r>
    </w:p>
    <w:p>
      <w:r>
        <w:t>POSSIBLE 2020: Climate change impacts on trends and extremes in future heating and cooling demands over Europe — https://doi.org/10.1016/j.enbuild.2020.110397</w:t>
      </w:r>
    </w:p>
    <w:p>
      <w:r>
        <w:t>Shared claim-specific concepts: trends, increased, over, decreased, distribution; EU scope visible. This is a provisional connection, not an outcome finding.</w:t>
      </w:r>
    </w:p>
    <w:p>
      <w:r>
        <w:t>Available abstract (not full text): The paper analyses effects of changes in temperatures on heating and cooling demands in Europe until 2050. Specifically, the study addresses changes in trends (10-year mean) and extremes (10-year min/max). The analysis is based on two GHG emission climate scenarios (RCP2.6 and RCP4.5) and eight high-resolution regional climate models and results are provided as relative and absolute changes on grid and country scales. Population density is used as proxy for spatial distribution of demands. Projected future temperatures are proportional with RCP scenario and distance into the future and the highest relative changes occur towards north-eastern Europe and for high-altitude areas. The temperature changes lead to general decreased heating demands and corresponding increased cooling demands. In general, higher spreads are seen between demand change ratios for individual models when addressing extremes as opposed to trends: The general 2010–2050 change ratios for heating between countries are 0.85–95 for model means and average 0.69 for the extreme analysis. For cooling, corresponding ratios are 1.25–1.5 for model means and average 2.76 for model maxima. For absolute demand changes, some countries are projected to experience significant changes e.g. exceeding a doubling in cooling demands. The results are suggested as a basis for energy system analyses.</w:t>
      </w:r>
    </w:p>
    <w:p>
      <w:pPr>
        <w:pStyle w:val="Heading2"/>
      </w:pPr>
      <w:r>
        <w:t>Ten years of health workforce planning in the Netherlands: a tentative evaluation of GP planning as an example</w:t>
      </w:r>
    </w:p>
    <w:p>
      <w:r>
        <w:t>Original source (2012): https://doi.org/10.1186/1478-4491-10-21</w:t>
      </w:r>
    </w:p>
    <w:p>
      <w:r>
        <w:t>Original wording (abstract; indexed_source_text_not_full_document_verified): A comparison is made of the results of different scenarios for different years.</w:t>
      </w:r>
    </w:p>
    <w:p>
      <w:r>
        <w:t>POSSIBLE 2026: A comparison of methods for thermodynamic calculation of explosives used in Europe — https://doi.org/10.1201/9781003762010-4</w:t>
      </w:r>
    </w:p>
    <w:p>
      <w:r>
        <w:t>Shared claim-specific concepts: comparison, made, different; EU scope visible. This is a provisional connection, not an outcome finding.</w:t>
      </w:r>
    </w:p>
    <w:p>
      <w:r>
        <w:t>Available abstract (not full text): A comparison of calculation results for a number of benchmark compositions, carried out with codes and methods from different sources throughout Europe has been made, the outcome being that in some cases significant differences may be encountered, depending on the calculation method. This leads to the conclusion that, for thermodynamic data on explosives to be really meaningful, and for exchange and comparison purposes amongst different manufactures, a common calculation method must be chosen. This paper presents some of the work that is being performed with this aim, and gives some details of the different calculation methods and thermodynamic data used in some European countries, which will form the basis for setting up a common calculation procedure.</w:t>
      </w:r>
    </w:p>
    <w:p>
      <w:r>
        <w:t>POSSIBLE 2023: Science with the Einstein Telescope: a comparison of different designs — https://doi.org/10.1088/1475-7516/2023/07/068</w:t>
      </w:r>
    </w:p>
    <w:p>
      <w:r>
        <w:t>Shared claim-specific concepts: comparison, made, different; EU scope visible. This is a provisional connection, not an outcome finding.</w:t>
      </w:r>
    </w:p>
    <w:p>
      <w:r>
        <w:t>Available abstract (not full text): Abstract The Einstein Telescope (ET), the European project for a third-generation gravitational-wave detector, has a reference configuration based on a triangular shape consisting of three nested detectors with 10 km arms, where each detector has a 'xylophone' configuration made of an interferometer tuned toward high frequencies, and an interferometer tuned toward low frequencies and working at cryogenic temperature. Here, we examine the scientific perspectives under possible variations of this reference design. We perform a detailed evaluation of the science case for a single triangular geometry observatory, and we compare it with the results obtained for a network of two L-shaped detectors (either parallel or misaligned) located in Europe, considering different choices of arm-length for both the triangle and the 2L geometries. We also study how the science output changes in the absence of the low-frequency instrument, both for the triangle and the 2L configurations. We examine a broad class of simple 'metrics' that quantify the science output, related to compact binary coalescences, multi-messenger astronomy and stochastic backgrounds, and we then examine the impact of different detector designs on a more specific set of scientific objectives.</w:t>
      </w:r>
    </w:p>
    <w:p>
      <w:r>
        <w:t>POSSIBLE 2013: Composite Indicators as a Useful Tool for International Comparison: The Europe 2020 Example — https://doi.org/10.18267/j.pep.462</w:t>
      </w:r>
    </w:p>
    <w:p>
      <w:r>
        <w:t>Shared claim-specific concepts: comparison, made, different; EU scope visible. This is a provisional connection, not an outcome finding.</w:t>
      </w:r>
    </w:p>
    <w:p>
      <w:r>
        <w:t>Available abstract (not full text): Composite indicators as a tool for a ranking become more and more popular, because they illustrate a comprehensive view on a phenomenon that cannot be captured by only one single indicator. Indicators for Europe 2020 are set of indicators used for monitoring targets defined by the European Commission in the Strategy of Smart, Sustainable and Inclusive Growth. The main objective of this paper is the comparison of performance of the EU Member States using the composite indicator principles. Within constructing composite indicators several steps have to be made and corresponding methods have to be chosen. There is not only one correct method how to develop a composite indicator. Of course, the choice of the methods manipulates the results. Primarily, normalisation methods, weighting schemes and aggregation formulas are fundamental but very subjective. This paper deals with two types of normalisation (z-score and min-max) and four weighting and aggregation schemes (equal weighting with linear aggregation, principal components analysis, benefit of doubt method and multi-criteria analysis). European countries ranking is provided according to the seven different scenarios.</w:t>
      </w:r>
    </w:p>
    <w:p>
      <w:pPr>
        <w:pStyle w:val="Heading2"/>
      </w:pPr>
      <w:r>
        <w:t>The CIRCE Simulations: Regional Climate Change Projections with Realistic Representation of the Mediterranean Sea</w:t>
      </w:r>
    </w:p>
    <w:p>
      <w:r>
        <w:t>Original source (2012): https://doi.org/10.1175/bams-d-11-00136.1</w:t>
      </w:r>
    </w:p>
    <w:p>
      <w:r>
        <w:t>Original wording (abstract; indexed_source_text_not_full_document_verified): The models have been integrated from 1951 to 2050, using observed radiative forcings during the first half of the simulation period and the Intergovernmental Panel on Climate Change (IPCC) Special Report on Emissions Scenarios (SRES) A1B scenario during the second half. The projections show a substantial warming (about 1.5°–2°C) and a significant decrease of precipitation (about 5%) in the region for the scenario period.</w:t>
      </w:r>
    </w:p>
    <w:p>
      <w:r>
        <w:t>POSSIBLE 2025: Quantifying PM2.5 Pollution and its Mortality Impacts in Islamabad: An Integrated Approach with Observed and Remote Sensing Data Along with HYSPLIT and AirQ+ Models — https://doi.org/10.18502/jett.v13i2.18539</w:t>
      </w:r>
    </w:p>
    <w:p>
      <w:r>
        <w:t>Shared claim-specific concepts: integrated, observed; EU scope not established. This is a provisional connection, not an outcome finding.</w:t>
      </w:r>
    </w:p>
    <w:p>
      <w:r>
        <w:t>Available abstract (not full text): Particulate matter causes serious impacts on the atomsphere and human health. In recent time, it has become a crucial concern for the future of our health and environment. The study employed an integrated approach using observed and remote sensing data, HYSPLIT backward trajectory analysis, and AirQ+ models to quantify PM2.5 pollution and assess its mortality impacts in Islamabad in past three years (2020 to 2022). Our results showed that winters in all three years were significantly more polluted than summers. 22nd December 2021 emerged as the most polluted day with 198.96 mg/m3 PM2.5 concentration. Overall, the daily average (123.6 mg/m3) and the average annual mean (33.98 mg/m3) for 2020 to 2022 exceeded the standards promulgated by the National and US-EPA’s National Ambient Air Quality Standards (NAAQS). The potential source of the pollution was noticed from eastern side of Islamabad i.e., western India, with the help of the HYSPLIT backward trajectories. The study identified a significant correlation of PM2.5 with meteorological (temperature, dew point temperature, relative humidity, and wind speed) and chemical (SO2, NO2 and CO) factors. Moreover, at a concentration of 46.51µg/m3, the attributable proportion (AP) for all-cause mortality was 25%, while ischemic heart disease (IHD) mortality had an AP of 37%, and stroke mortality was 45%, all higher in winter than summer. T</w:t>
      </w:r>
    </w:p>
    <w:p>
      <w:r>
        <w:t>POSSIBLE 2025: Rolling force modeling based on neural network and mechanism model — https://doi.org/10.1007/s12206-025-0118-4</w:t>
      </w:r>
    </w:p>
    <w:p>
      <w:r>
        <w:t>Shared claim-specific concepts: integrated, during, first; EU scope not established. This is a provisional connection, not an outcome finding.</w:t>
      </w:r>
    </w:p>
    <w:p>
      <w:r>
        <w:t>Available abstract (not full text): In order to eliminate the predicted bias of the traditional Sims model, a new method, called the composite rectification method, is proposed. First, the deformation resistance model was built based on the generalized additive principle. This new model was adopted to replace the deformation resistance model in the Sims model. Through this factor replacement, the deformation resistance bias due to the traditional regression method was eliminated. Secondly, to solve the mathematical form imperfection caused by the introduction of assumptions during the derivation of the Sims model, a back propagation (BP) neural network model on the bias of the once-time corrected Sims model was built. Ultimately, the double correction of the Sims model was realized through the additive compensation method, and an integrated model of rolling force was ultimately obtained. The composite rectification method presented in this article can provide a new way of modeling complex systems with high precision.</w:t>
      </w:r>
    </w:p>
    <w:p>
      <w:r>
        <w:t>POSSIBLE 2024: Improving Students' Problem Solving Skills in Learning Problem Based Learning Integrated with Predict, Observe, Explain Model on Global Warming Material — https://doi.org/10.26877/jp2f.v15i4.928</w:t>
      </w:r>
    </w:p>
    <w:p>
      <w:r>
        <w:t>Shared claim-specific concepts: integrated, warming; EU scope not established. This is a provisional connection, not an outcome finding.</w:t>
      </w:r>
    </w:p>
    <w:p>
      <w:r>
        <w:t>Available abstract (not full text): In the following study, the aim is to analyze the improvement of students' problem solving skills in learning activities with problem-based learning models integrated with predict, observe, explain models, especially for global warming material. The study was conducted using quantitative methods with 33 participants of class X students at one of the SMAN Cimahi City which was determined based on convenience sampling technique. The data collected in the following study was conducted through a problem solving skills test instrument in the form of pretest and posttest questions. To analyze the data obtained, using N-Gain testing on the data from the pretest and posttest scores. The results showed that each aspect of problem solving skills experienced a moderate increase. In addition, the acquisition of hypothesis testing proves that there is a difference in the application of the PBL-POE model in improving students' problem solving skills.</w:t>
      </w:r>
    </w:p>
    <w:p>
      <w:r>
        <w:t>POSSIBLE 2023: Inter-hemispheric asymmetries in high-latitude electrodynamic forcing and the thermosphere during the October 8–9, 2012, geomagnetic storm: An integrated data–Model investigation — https://doi.org/10.3389/fspas.2023.1062265</w:t>
      </w:r>
    </w:p>
    <w:p>
      <w:r>
        <w:t>Shared claim-specific concepts: integrated, observed, during, first, simulation, period; EU scope not established. This is a provisional connection, not an outcome finding.</w:t>
      </w:r>
    </w:p>
    <w:p>
      <w:r>
        <w:t>Available abstract (not full text): Inter-hemispheric asymmetry (IHA) in Earth’s ionosphere–thermosphere (IT) system can be associated with high-latitude forcing that intensifies during storm time, e.g., ion convection, auroral electron precipitation, and energy deposition, but a comprehensive understanding of the pathways that generate IHA in the IT is lacking. Numerical simulations can help address this issue, but accurate specification of high-latitude forcing is needed. In this study, we utilize the Active Magnetosphere and Planetary Electrodynamics Response Experiment-revised fieldaligned currents (FACs) to specify the high-latitude electric potential in the Global Ionosphere and Thermosphere Model (GITM) during the October 8–9, 2012, storm. Our result illustrates the advantages of the FAC-driven technique in capturing high-latitude ion drift, ion convection equatorial boundary, and the storm-time neutral density response observed by satellite. First, it is found that the cross-polar-cap potential, hemispheric power, and ion convection distribution can be highly asymmetric between two hemispheres with a clear B y dependence in the convection equatorial boundary. Comparison with simulation based on mirror precipitation suggests that the convection distribution is more sensitive to FAC, while its intensity also depends on the ionospheric conductance-related precipitation. Second, the IHA in the neutral density</w:t>
      </w:r>
    </w:p>
    <w:p>
      <w:r>
        <w:t>POSSIBLE 2022: Translating observed household energy behavior to agent-based technology choices in an integrated modeling framework — https://doi.org/10.1016/j.isci.2022.103905</w:t>
      </w:r>
    </w:p>
    <w:p>
      <w:r>
        <w:t>Shared claim-specific concepts: integrated, observed; EU scope visible. This is a provisional connection, not an outcome finding.</w:t>
      </w:r>
    </w:p>
    <w:p>
      <w:r>
        <w:t>Available abstract (not full text): Decarbonizing the building sector depends on choices made at the household level, which are heterogeneous. Agent-based models are tools used to describe heterogeneous choices but require data-intensive calibration. This study analyzes a novel, cross-country European household-level survey, including sociodemographic characteristics, energy-saving habits, energy-saving investments, and metered household electricity consumption, to enhance the empirical grounding of an agent-based residential energy choice model. Applying cluster analysis to the data shows that energy consumption is not straightforwardly explained by sociodemographic classes, preferences, or attitudes, but some patterns emerge. Income consistently has the largest effect on demand, dwelling efficiency, and energy-saving investments, and the potential to improve a dwellings' energy use affects the efficiency investments made. Including the various sources of heterogeneity found to characterize the model agents affects the timing and speed of the transition. The results reinforce the need for grounding agent-based models in empirical data, to better understand energy transition dynamics.</w:t>
      </w:r>
    </w:p>
    <w:p>
      <w:r>
        <w:t>POSSIBLE 2021: Model Calibration for a Rigid Hexapod-Based End-Effector with Integrated Force Sensors — https://doi.org/10.3390/s21103537</w:t>
      </w:r>
    </w:p>
    <w:p>
      <w:r>
        <w:t>Shared claim-specific concepts: integrated, during, first; EU scope not established. This is a provisional connection, not an outcome finding.</w:t>
      </w:r>
    </w:p>
    <w:p>
      <w:r>
        <w:t>Available abstract (not full text): Integrated single-axis force sensors allow an accurate and cost-efficient force measurement in 6 degrees of freedom for hexapod structures and kinematics. Depending on the sensor placement, the measurement is affected by internal forces that need to be compensated for by a measurement model. Since the parameters of the model can change during machine usage, a fast and easy calibration procedure is requested. This work studies parameter identification procedures for force measurement models on the example of a rigid hexapod-based end-effector. First, measurement and identification models are presented and parameter sensitivities are analysed. Next, two excitation strategies are applied and discussed: identification from quasi-static poses and identification from accelerated continuous trajectories. Both poses and trajectories are optimized by different criteria and evaluated in comparison. Finally, the procedures are validated by experimental studies with reference payloads. In conclusion, both strategies allow accurate parameter identification within a fast procedure in an operational machine state.</w:t>
      </w:r>
    </w:p>
    <w:p>
      <w:r>
        <w:t>POSSIBLE 2020: Integrated In Silico Models for the Prediction of No-Observed-(Adverse)-Effect Levels and Lowest-Observed-(Adverse)-Effect Levels in Rats for Sub-chronic Repeated-Dose Toxicity — https://doi.org/10.1021/acs.chemrestox.0c00176</w:t>
      </w:r>
    </w:p>
    <w:p>
      <w:r>
        <w:t>Shared claim-specific concepts: integrated, first; EU scope not established. This is a provisional connection, not an outcome finding.</w:t>
      </w:r>
    </w:p>
    <w:p>
      <w:r>
        <w:t>Available abstract (not full text): Repeated-dose toxicity (RDT) is a critical endpoint for hazard characterization of chemicals and is assessed to derive safe levels of exposure for human health. Here we present the first attempt to model simultaneously no-observed-(adverse)-effect level (NO(A)EL) and lowest-observed-(adverse)-effect level (LO(A)EL). Classification and regression models were derived based on rat sub-chronic repeated dose toxicity data for 327 compounds from the Fraunhofer RepDose database. Multi-category classification models were built for both NO(A)EL and LO(A)EL though a consensus of statistics- and fragment-based algorithms, while regression models were based on quantitative relationships between the endpoints and SMILES-based attributes. NO(A)EL and LO(A)EL models were integrated, and predictions were compared to exclude inconsistent values. This strategy improved the performance of single models, leading to R 2 greater than 0.70, root-mean-square error (RMSE) lower than 0.60 (for regression models), and accuracy of 0.61–0.73 (for classification models) on the validation set, based on the endpoint and the threshold applied for selecting predictions. This study confirms the effectiveness of the modeling strategy presented here for assessing RDT of chemicals using in silico models.</w:t>
      </w:r>
    </w:p>
    <w:p>
      <w:r>
        <w:t>POSSIBLE 2019: Design of a Novel Piezoelectric Energy Harvester Based on Integrated Multistage Force Amplification Frame — https://doi.org/10.1109/tmech.2019.2906999</w:t>
      </w:r>
    </w:p>
    <w:p>
      <w:r>
        <w:t>Shared claim-specific concepts: integrated, during, show; EU scope not established. This is a provisional connection, not an outcome finding.</w:t>
      </w:r>
    </w:p>
    <w:p>
      <w:r>
        <w:t>Available abstract (not full text): This paper proposes a novel integrated multistage energy harvester to scavenge the mechanical energy from human footstep during walking. The device involves a four-stage force amplification using wedge mechanism, leverage mechanism, half-bridge mechanism, and bridge-type force amplifier. It is devised to magnify the input force exerted on a piezoelectric stack so as to enhance the power output. By fully exploiting the characteristics of the force amplification frame, the harvester also provides the function of position protection, which enables the bearing of large load and thereby protecting the piezoelectric stack. By this, the maximum displacement input is restricted to a certain range to ensure the walking comfort. A static analytical model of the energy harvester is established through the force analysis based on the stiffness matrix method. The main architectural parameters of the device are optimized by adopting a multiobjective genetic algorithm with ANSYS software. Moreover, a prototype is fabricated for experimental investigation. Experimental results show that the harvester exhibits a large force amplification ratio of 17.9 and high-peak power output of 50.8 mW across a matched resistor.</w:t>
      </w:r>
    </w:p>
    <w:p>
      <w:r>
        <w:t>POSSIBLE 2018: Communicating Integrated Flood Inundation Information to Emergency Managers/First Responders, Public Sector Decision-Makers, Information Outlets, Communities, Citizens, and Researchers to Increase the Value of Observed Data and Model Forecasts for Flooding Events — https://openalex.org/W2787617875</w:t>
      </w:r>
    </w:p>
    <w:p>
      <w:r>
        <w:t>Shared claim-specific concepts: integrated, observed, first; EU scope not established. This is a provisional connection, not an outcome finding.</w:t>
      </w:r>
    </w:p>
    <w:p>
      <w:r>
        <w:t>Available abstract (not full text): Unavailable</w:t>
      </w:r>
    </w:p>
    <w:p>
      <w:r>
        <w:t>POSSIBLE 2018: The integrated motivational–volitional model of suicidal behaviour — https://doi.org/10.1098/rstb.2017.0268</w:t>
      </w:r>
    </w:p>
    <w:p>
      <w:r>
        <w:t>Shared claim-specific concepts: integrated, about; EU scope not established. This is a provisional connection, not an outcome finding.</w:t>
      </w:r>
    </w:p>
    <w:p>
      <w:r>
        <w:t>Available abstract (not full text): Suicide is a major public health concern accounting for 800 000 deaths globally each year. Although there have been many advances in understanding suicide risk in recent decades, our ability to predict suicide is no better now than it was 50 years ago. There are many potential explanations for this lack of progress, but the absence, until recently, of comprehensive theoretical models that predict the emergence of suicidal ideation distinct from the transition between suicidal ideation and suicide attempts/suicide is key to this lack of progress. The current article presents the integrated motivational-volitional (IMV) model of suicidal behaviour, one such theoretical model. We propose that defeat and entrapment drive the emergence of suicidal ideation and that a group of factors, entitled volitional moderators (VMs), govern the transition from suicidal ideation to suicidal behaviour. According to the IMV model, VMs include access to the means of suicide, exposure to suicidal behaviour, capability for suicide (fearlessness about death and increased physical pain tolerance), planning, impulsivity, mental imagery and past suicidal behaviour. In this article, we describe the theoretical origins of the IMV model, the key premises underpinning the model, empirical tests of the model and future research directions.This article is part of the theme issue 'Evolutionary thanatology: impa</w:t>
      </w:r>
    </w:p>
    <w:p>
      <w:r>
        <w:t>POSSIBLE 2018: An integrated phenology modelling framework in r — https://doi.org/10.1111/2041-210x.12970</w:t>
      </w:r>
    </w:p>
    <w:p>
      <w:r>
        <w:t>Shared claim-specific concepts: integrated, first, climate, show; EU scope visible. This is a provisional connection, not an outcome finding.</w:t>
      </w:r>
    </w:p>
    <w:p>
      <w:r>
        <w:t>Available abstract (not full text): Abstract Phenology is a first‐order control on productivity and mediates the biophysical environment by altering albedo, surface roughness length and evapotranspiration. Accurate and transparent modelling of vegetation phenology is therefore key in understanding feedbacks between the biosphere and the climate system. Here, we present the phenor r package and modelling framework. The framework leverages measurements of vegetation phenology from four common phenology observation datasets, the PhenoCam network, the USA National Phenology Network (USA‐NPN), the Pan European Phenology Project (PEP725), MODIS phenology (MCD12Q2) combined with (global) retrospective and projected climate data. We show an example analysis, using the phenor modelling framework, which quickly and easily compares 20 included spring phenology models for three plant functional types. An analysis of model skill using the root mean squared (RMSE) error shows little or no difference regardless of model structure, corroborating previous studies. We argue that addressing this issue will require novel model development combined with easy data assimilation as facilitated by our framework. In conclusion, we hope the phenor phenology modelling framework in the r language and environment for statistical computing will facilitate reproducibility and community driven phenology model development, in order to increase th</w:t>
      </w:r>
    </w:p>
    <w:p>
      <w:r>
        <w:t>POSSIBLE 2018: An Integrated Cytoskeletal Model of Neurite Outgrowth — https://doi.org/10.3389/fncel.2018.00447</w:t>
      </w:r>
    </w:p>
    <w:p>
      <w:r>
        <w:t>Shared claim-specific concepts: integrated, during; EU scope not established. This is a provisional connection, not an outcome finding.</w:t>
      </w:r>
    </w:p>
    <w:p>
      <w:r>
        <w:t>Available abstract (not full text): Understanding neurite outgrowth is important because it underlies the wiring of the nervous system during development and regeneration following trauma and disease. Despite a significant body of research, the underlying cytoskeletal and mechanical mechanisms of growth and guidance are still not fully understood. Here, we bring together quantitative data to develop an integrated mechanical model of axonal elongation. The strength of this approach is that by focusing on forces rather than individual processes in a quantitative framework, the relative contributions of different processes to neurite growth can be impartially considered. We begin this review by discussing the structural organization of neurons focusing on the actin and microtubule (MT) cytoskeletons. Then, recent studies on the biophysics of growth cones and axons are covered to develop a more integrated model of neurite growth. With this foundation, some of the “controversial” findings in this field are discussed. A central idea that develops is that neurons appear to be active fluids, which generate strong contractile forces in the growth cone and weaker contractile forces along the axon. As a result of subcellular gradients in forces and material properties, actin flows rapidly rearwards in the growth cone periphery and MTs flow forward in bulk along the axon. From this a picture emerges that a growth cone is muc</w:t>
      </w:r>
    </w:p>
    <w:p>
      <w:pPr>
        <w:pStyle w:val="Heading2"/>
      </w:pPr>
      <w:r>
        <w:t>The Great Future Debate and the Struggle for the World</w:t>
      </w:r>
    </w:p>
    <w:p>
      <w:r>
        <w:t>Original source (2012): https://doi.org/10.1093/ahr/117.5.1411</w:t>
      </w:r>
    </w:p>
    <w:p>
      <w:r>
        <w:t>Original wording (abstract; indexed_source_text_not_full_document_verified): Futurists had radically different understandings not only of what the future was and the way it could be studied, but also of the ways in which prediction could be used to control or protest certain futures. She is the holder of an ERC Starting Investigator Grant for the project Futurepol: A Political History of the Future—Knowledge Production and Future Governance, 1945–2010, and is currently working on a book on the global history of the future.</w:t>
      </w:r>
    </w:p>
    <w:p>
      <w:r>
        <w:t>POSSIBLE 2025: THE ANTI-THEATER OF FUTURISTS AND DADAISTS AS A REFUTATION OF ARISTOTLE’S CONCEPT OF MIMETIC THEATER — https://doi.org/10.30970/vas.26.2025.206-216</w:t>
      </w:r>
    </w:p>
    <w:p>
      <w:r>
        <w:t>Shared claim-specific concepts: futurists, not, only, way, but, also; EU scope not established. This is a provisional connection, not an outcome finding.</w:t>
      </w:r>
    </w:p>
    <w:p>
      <w:r>
        <w:t xml:space="preserve">Available abstract (not full text): The aim of this article is to analyze the concept of mimesis in theatrical art as articulated by Aristotle. For centuries, this notion has served as a crucial means of reflecting reality, understanding the essence of the world, and promoting the moral education of society. Additionally, the article seeks to clarify the reasons behind the radical rejection of this model by the Futurists and Dadaists. By tracing the historical evolution of mimesis, the study will reveal how the fundamental principles of classical theory specifically narrative construction, character development, and the attainment of catharsis were transformed by the innovative movements of the 20th century. The research methodology includes analytical, comparative, and descriptive methods to thoroughly examine the subject and provide robust justification for the conclusions. The analytical method aids in the logical exposition of historical material, while comparative analysis helps identify the key differences between Aristotle's classical principles and the radical innovations introduced by Futurists and Dadaists. Furthermore, the descriptive method facilitates a comprehensive representation of the materials under investigation. This study emphasizes that, according to the classical tradition, mimesis was viewed as a means of imitating and interpreting the essence of reality, thus making theatre an instrument </w:t>
      </w:r>
    </w:p>
    <w:p>
      <w:r>
        <w:t>POSSIBLE 2023: Rhetorical Strategies and Gender in Marinetti's Futurist Manifesto — https://doi.org/10.5406/23256672.100.5.13</w:t>
      </w:r>
    </w:p>
    <w:p>
      <w:r>
        <w:t>Shared claim-specific concepts: different, only, but, also, ways, control; EU scope not established. This is a provisional connection, not an outcome finding.</w:t>
      </w:r>
    </w:p>
    <w:p>
      <w:r>
        <w:t>Available abstract (not full text): Though the importance of Filippo Tommaso Marinetti's contributions to avant-garde aesthetics has been a subject of controversy since the very beginnings of the Futurist movement, critics generally acknowledge the innovation of what Marinetti himself called “l'arte di far manifesti.” Most recently, in a remarkable study on the “language of rupture” of the avant-garde movements prior to World War I, Marjorie Perloff locates the originality of the Futurist manifesto in its hybrid, multifaceted nature. As Perloff notes, the genealogy of the Futurist manifesto can be traced back to the agonistic mode of discourse of the nineteenth-century political manifesto, and to the programmatic statements of aesthetic renovation, modernity, nationalism, and heroism articulated in the manifestos of other turn-of-the-century movements. But the Italian Futurist manifestos differ from their precursors because of “their brash refusal to remain in the expository or critical corner, their understanding that the group pronouncement, sufficiently aestheticized, can, in the eyes of the mass audience, all but take the place of the promised art work.”1 Indeed, Marinetti's famous first manifesto, “Fondazione e Manifesto del Futurismo,” which marks the founding of the movement in 1909, also marks the creation of a new genre straddling poetic and theoretical discourse—a collective statement directed at a mass</w:t>
      </w:r>
    </w:p>
    <w:p>
      <w:r>
        <w:t>POSSIBLE 2023: The Digital Divide and Futurist Imaginings of Zelle‐ous Resistors — https://doi.org/10.17645/si.v11i3.6867</w:t>
      </w:r>
    </w:p>
    <w:p>
      <w:r>
        <w:t>Shared claim-specific concepts: understandings, not, but, ways; EU scope not established. This is a provisional connection, not an outcome finding.</w:t>
      </w:r>
    </w:p>
    <w:p>
      <w:r>
        <w:t>Available abstract (not full text): The “digital divide” is widely acknowledged as exacerbating inequality by leaving some people on one side or the other of a knowledge divide without access to appropriate tools for the future and all the opportunities that digital technology promises. Attempts to understand this gap tend to focus on issues of trust, levels of financial education, and digital skills, mainly seeking to understand why some individuals and groups—who are mostly assumed to have minimal financial know-how and digital skills—do not trust either online financial institutions or exclusively app‐based finance. Considering the large investment in fintech solutions driven by these industries, and the practical features designed in part to make the user’s life easier and user experience more intuitive and reassuring, it is worth noting that such queries are inclined to conclude that these untapped users cannot imagine a digital future due to their own lack of digital skills and lack of exposure to tech. This article suggests that, for a portion of this population, many of whom are digital natives, this is not the case. instead, they can invest in understanding and adapting to technology and do so. Yet they are uncomfortable with the “instantaneousness” of some transactions because this doesn’t allow them enough time to address a problem or have recourse for anything unforeseeable. Furthermore, their interes</w:t>
      </w:r>
    </w:p>
    <w:p>
      <w:r>
        <w:t>POSSIBLE 2022: FUTURISM: VLADIMIR MAYAKOVSKI'S URBANISM AND FUTURIST OUTLOOK — https://doi.org/10.21533/epiphany.v15i1.387</w:t>
      </w:r>
    </w:p>
    <w:p>
      <w:r>
        <w:t>Shared claim-specific concepts: futurists, also, used; EU scope not established. This is a provisional connection, not an outcome finding.</w:t>
      </w:r>
    </w:p>
    <w:p>
      <w:r>
        <w:t>Available abstract (not full text): This article analyzes the poetry of Russian poet Vladimir Mayakovski (1893-1930), renowned as a main figure of the Russian Futurist movement. The study first introduces the futurist movement in literature that took place at the beginning of the twentieth century and locates it within formalist theory. Then, it dwells upon the characteristics of futurist poetry since this was the genre the futurists were mostly concerned with. The study moves towards its main objective by examining two characteristic poems, Morning (1912) and A Skyscraper Dissected (1929), bearing in mind the theme of urbanism which is common in the futurist literary movement. This analysis attempts to prove that Mayakovski used the theme of urbanism to criticize modern city life, unlike other futurists who used this theme to glorify it. The study will also look at an important aspect of Mayakovski’s poem About This in which he imagines life in the future. To carry out this thematic study, a critically analytical and descriptive method is used.</w:t>
      </w:r>
    </w:p>
    <w:p>
      <w:r>
        <w:t>POSSIBLE 2022: The Real Pushkin: The Reinvention of Russia’s National Poet by the Futurists — https://openalex.org/W7132695165</w:t>
      </w:r>
    </w:p>
    <w:p>
      <w:r>
        <w:t>Shared claim-specific concepts: futurists, different, not, way, studied, but; EU scope not established. This is a provisional connection, not an outcome finding.</w:t>
      </w:r>
    </w:p>
    <w:p>
      <w:r>
        <w:t>Available abstract (not full text): James Rann'sThe Unlikely Futurist is in itself a cultural artifact of its time.Dedicated to the complicated and controversial relation of the Russian Futurists to Russia's most celebrated national poet Alexander Pushkin, Rann's book is generally about mechanisms of cultural cancellation, reevaluation, and (re)appropriation of the past.Today when more and more artists and other significant figures (contemporary ones and those belonging to former times) are often reassessed in light of emerging moral considerations and ethical norms, it is important to understand why one group of people may want to change dramatically their attitude to their ancestors.The case of the Russian Futurists is a perfect material for such a study, since the group is known for its scandalous behavior, their willingness to break away from the tradition, and their provocative statements about Russia's cultural past.For example, the manifesto "A Slap in the Face of Public Taste" famously proposed to "throw Pushkin, Dostoevsky, Tolstoy and so on and so forth from the steamship of Modernity" (p.9).But as is often the case, the slogans are never quite as complex as the mindsets of the people who produce them.Such a performative way of rejecting the past is simultaneously an affirmation of its significance.Using this interesting controversy as a departure point, Rann sets out to explore the ways in which the Ru</w:t>
      </w:r>
    </w:p>
    <w:p>
      <w:r>
        <w:t>POSSIBLE 2020: Becoming Futurists — https://doi.org/10.26481/dis.20200520tc</w:t>
      </w:r>
    </w:p>
    <w:p>
      <w:r>
        <w:t>Shared claim-specific concepts: futurists, not, way, ways; EU scope not established. This is a provisional connection, not an outcome finding.</w:t>
      </w:r>
    </w:p>
    <w:p>
      <w:r>
        <w:t>Available abstract (not full text): Writing a PhD thesis is a solitary practice, yet I didn't write alone.Becoming Futurists was made possible by a life-giving ecosystem of friends, family, colleagues and students.In these few pages, I am finally able to thank everyone who has contributed to my growth.First and foremost, I am deeply grateful for my academic guide Marjolein van Asselt.I see in Marjolein a bright scholar who is not afraid to speak her mind and dares to break with conventions.To me, Marjolein is a true example, especially in how science can and should be connected to the world.By leading me the way, Marjolein helped me to rise and spread my wings.My sincere gratitude goes out to supervisor Harro van Lente, from the moment I got acquainted with Harro's academic work, I was captured by his sense of language.Harro helped me to structure my thoughts, making dozens of impressive overviews based on our lengthy academic conversations and guided me in the wonderful and particular world of Science and Technology Studies.Harro's trust, his comforting smile and his ways with words helped me to pass the much-anticipated finish line.</w:t>
      </w:r>
    </w:p>
    <w:p>
      <w:r>
        <w:t>POSSIBLE 2020: Benedetta’s Futurist Novels — https://openalex.org/W3018827761</w:t>
      </w:r>
    </w:p>
    <w:p>
      <w:r>
        <w:t>Shared claim-specific concepts: futurists, not, but, also, she; EU scope not established. This is a provisional connection, not an outcome finding.</w:t>
      </w:r>
    </w:p>
    <w:p>
      <w:r>
        <w:t>Available abstract (not full text): Benedetta Cappa Marinetti does not simply write novels, she constructs them. Over the span of ten years, Benedetta pairs narrative first with images, then with performative elements, and lastly, with letters. She applies her abstract and conceptual style to observable and palpable works. In her first novel, Le forze umane (1926), Benedetta parallels handwritten words to hand- drawn images, or what she terms as “graphic syntheses.” From this autobiographical beginning, Benedetta immerses her audience into the timeline of her own life events. Surpassing a simple documentary or chronological account, Benedetta embeds her own states of mind in the narrative, a practice also explored by Futurist Giuseppe Steiner. In her next novel, Viaggio di Garar� (1931), Benedetta continues to incorporate visuals into her narrative, however, not to convey states of mind, but to immerse the reader into another realm: the theater. Viaggio di Garar� is a “cosmic novel for the theater,” allowing the work to be flexibly read as both a script and a novel. Her final novel, Astra e il sottomarino (1936) evokes an epistolary model, continuing her interest in the participatory elements of script and narrative. Benedetta’s much overlooked literary narrative includes a female perspective missing from many of her fellow Futurists’ novels.</w:t>
      </w:r>
    </w:p>
    <w:p>
      <w:r>
        <w:t>POSSIBLE 2020: Agriculture futurist: Don Ort — https://doi.org/10.1093/plphys/kiaa024</w:t>
      </w:r>
    </w:p>
    <w:p>
      <w:r>
        <w:t>Shared claim-specific concepts: different, not, but, also, ways, political; EU scope not established. This is a provisional connection, not an outcome finding.</w:t>
      </w:r>
    </w:p>
    <w:p>
      <w:r>
        <w:t>Available abstract (not full text): Scientists have an ability to prove the predictions wrong, especially when it comes to meeting increasing food demand. In 1798, Thomas Malthus, an English political economist, published “An essay on the principle of population” in which he concluded that “The power of population is so superior to the power of the earth to produce subsistence for man, that premature death must in some shape or other visit the human race.” (Malthus, 1798). Over the centuries, this message has been repeated. For example, Paul Ehrlich’s 1968 book, The Population Bomb famously began with the statement “The battle to feed all of humanity is over. In the 1970s hundreds of millions of people will starve to death…” (Ehrlich, 1968). Through the expansion of cultivated land, intensification of inputs, and the adoption of resource-responsive dwarf varieties, the “Green Revolution” in the 60s and 70s, saw average annual production gains of 3.2% (1961–1980) across developing countries (80% of the gains due to yield ha−1 increases; e.g., Evenson and Gollin, 2003); forestalling a food crisis. Between 1981 and 2000, as world population grew by another 1.6 billion people, modern varieties and precision technologies continued to increase yield potential as well as reduce the yield gap between actual and potential yield. But analyses of production trends suggest the returns of the Green Revolution may be diminishi</w:t>
      </w:r>
    </w:p>
    <w:p>
      <w:r>
        <w:t>POSSIBLE 2019: From Moscow to Simferopol: How the Russian Cubo-Futurists Accessed the Provinces — https://doi.org/10.1353/ths.2019.0003</w:t>
      </w:r>
    </w:p>
    <w:p>
      <w:r>
        <w:t>Shared claim-specific concepts: futurists, radically, different, but, also, project; EU scope not established. This is a provisional connection, not an outcome finding.</w:t>
      </w:r>
    </w:p>
    <w:p>
      <w:r>
        <w:t>Available abstract (not full text): From Moscow to SimferopolHow the Russian Cubo-Futurists Accessed the Provinces Ryan Tvedt (bio) With their famous 1912 manifesto, "A Slap in the Face of Public Taste," the Russian cubo-futurists challenged what they derisively called the "common sense" and "good taste" of their audience. No more would they politely defer to the classics; even names such as Pushkin and Tolstoy felt suffocating, and the time had come to throw these writers "overboard" from what they called the "ship of modernity."1 The following year, two signatories to this document made an ad hoc journey into the provinces, advocating for the principles laid out in their manifesto, in what became known as the futurist tour. For the next three months, leading artists of the cubo-futurist movement traveled provincial cities espousing their radically anti-bourgeois avant-garde aesthetic to audiences far removed from the cosmopolitan urban centers that had helped incubate their philosophical program. Their rejection of Russia's most distinguished artists and writers, often through insult and mockery, ensured that the group would meet with resistance. Already accustomed to provoking backlash from audiences and city authorities alike in Moscow, the futurists would also antagonize provincial authorities and audiences in Imperial Russia who, at times, refused the group access to performance venues or reacted negatively</w:t>
      </w:r>
    </w:p>
    <w:p>
      <w:r>
        <w:t>POSSIBLE 2017: The Anti-Neutral Suit: international legal futurists, 1914–2017 — https://doi.org/10.1093/lril/lrw023</w:t>
      </w:r>
    </w:p>
    <w:p>
      <w:r>
        <w:t>Shared claim-specific concepts: futurists, not, but; EU scope not established. This is a provisional connection, not an outcome finding.</w:t>
      </w:r>
    </w:p>
    <w:p>
      <w:r>
        <w:t>Available abstract (not full text): The WWI artefact examined here is the Anti-Neutral Suit, designed in 1914 by the Futurist artist Giacomo Balla. Juxtaposing the Suit's materiality against that of some present-day anti-neutral outfits, I suggest that international law's most important (individual, collective) subjects are not, in fact, definitively peaceable and egalitarian but rather violently expansionist.</w:t>
      </w:r>
    </w:p>
    <w:p>
      <w:r>
        <w:t>POSSIBLE 2016: Futurist Painting Sculpture (Plastic Dynamism) — https://openalex.org/W2753318073</w:t>
      </w:r>
    </w:p>
    <w:p>
      <w:r>
        <w:t>Shared claim-specific concepts: futurists, not, only, but, also, political; EU scope visible. This is a provisional connection, not an outcome finding.</w:t>
      </w:r>
    </w:p>
    <w:p>
      <w:r>
        <w:t>Available abstract (not full text): This fiery and influential book, available for the first time in English, presents an Italian Futurist's radical ideas about art and architecture 'Futurist Painting Sculpture (Plastic Dynamism)', a truly radical book by Umberto Boccioni (1882-1916), claimed a central position in artistic debates of the 1910s and 1920s, exerting a powerful influence on the Italian Futurist movement as well as on the entire European historical avant-garde, including Dada and Constructivism. Today, Boccioni is best known as an artist whose paintings and sculptures are prized for their revolutionary aesthetic by American and European museums. But 'Futurist Painting Sculpture' demonstrates that he was also the foremost avant-garde theorist of his time. In his distinctive, exhilarating prose style, Boccioni not only articulates his own ideas about the Italian movement's underpinnings and goals but also systematizes the principles expressed in the vast array of manifestos that the Futurists had already produced. Featuring photographs of fifty-one key works and a large selection of manifestos devoted to the visual arts, Boccioni's book established the canon of Italian Futurist art for many years to come. First published in Italian in 1914, 'Futurist Painting Sculpture' has never been available in English-until now. This edition includes a critical introduction by Maria Elena Versari. Drawing on the ext</w:t>
      </w:r>
    </w:p>
    <w:p>
      <w:pPr>
        <w:pStyle w:val="Heading2"/>
      </w:pPr>
      <w:r>
        <w:t>The future of direct payments system in the EU agriculture; European Commission scenarios</w:t>
      </w:r>
    </w:p>
    <w:p>
      <w:r>
        <w:t>Original source (2012): https://doi.org/10.22630/prs.2012.12.3.38</w:t>
      </w:r>
    </w:p>
    <w:p>
      <w:r>
        <w:t>Original wording (abstract; indexed_source_text_not_full_document_verified): Different scenarios of the current system adjustments, as proposed by the European Commission, are presented.</w:t>
      </w:r>
    </w:p>
    <w:p>
      <w:r>
        <w:t>POSSIBLE 2022: Judicial coherence in the current European patent system — https://doi.org/10.4337/9781800880078.00009</w:t>
      </w:r>
    </w:p>
    <w:p>
      <w:r>
        <w:t>Shared claim-specific concepts: different, current, system; EU scope visible. This is a provisional connection, not an outcome finding.</w:t>
      </w:r>
    </w:p>
    <w:p>
      <w:r>
        <w:t>Available abstract (not full text): Chapter 3 analyses the status of judicial coherence in the current European patent system through the lens of the conceptual framework. The first part of the chapter describes the structure of the European patent system with its diversified set of actors at the legislative, executive and judicial levels that are part of the European Union (EU) and European Patent Organisation (EPOrg) pillars. Moreover, the first part of Chapter 3 illustrates how harmonisation through international and EU legislation in the patent field has ultimately fostered a coherent interpretation of the law. In the second part of the chapter, the main actors of the patent system are described and some examples on different combinations of specialisation and centralisation in European national courts are shown. Then the main challenges to coherence are described by exploring relevant case law.</w:t>
      </w:r>
    </w:p>
    <w:p>
      <w:r>
        <w:t>POSSIBLE 2022: Disinformation regarding COVID-19 in light of the priorities of the European Commission and the legal regulations binding and currently drafted in Poland — https://doi.org/10.31743/recl.13539</w:t>
      </w:r>
    </w:p>
    <w:p>
      <w:r>
        <w:t>Shared claim-specific concepts: different, proposed, commission; EU scope visible. This is a provisional connection, not an outcome finding.</w:t>
      </w:r>
    </w:p>
    <w:p>
      <w:r>
        <w:t>Available abstract (not full text): Disinformation regarding the COVID-19 pandemic is a global phenomenon. It constitutes a threat to the values protected under the law, health in particular. The primary issue tackled in “Disinformation regarding COVID-19 in the light of priorities of the European Commission and the legal regulations binding and currently drafted in Poland” paper is an attempt at answering the following question: Is eliminating COVID-19 disinformation from public space possible in light of the priorities of the European Commission and the legal regulations already effective and currently being drafted in Poland? The analyses conducted under the paper lead to the conclusions that the provisions currently regulating freedom of expression theoretically constitute a basis for eliminating disinformation from public space but are, in practice, not very effective. This leads to the need for searching for other, more effective legal instruments in this field, both on the level of European Union law making and domestic legislation. Although we may speak of a consensus concerning assessment of the very phenomenon of disinformation the legislative and practical actions taken, both on the domestic level and the European Union level, enable us to indicate substantial and frequently disturbing differences regarding shifting the aspects emphasized by legislation. As compared to the proposed solutions drafted by</w:t>
      </w:r>
    </w:p>
    <w:p>
      <w:r>
        <w:t>POSSIBLE 2022: Evaluation of the Proposed European Commission Directive on Critical Entities Resilience and Its Potential to Consolidate the Resilience Terminology — https://doi.org/10.3850/978-981-18-5183-4_s21-02-213</w:t>
      </w:r>
    </w:p>
    <w:p>
      <w:r>
        <w:t>Shared claim-specific concepts: different, current, proposed, commission; EU scope visible. This is a provisional connection, not an outcome finding.</w:t>
      </w:r>
    </w:p>
    <w:p>
      <w:r>
        <w:t>Available abstract (not full text): The European Commission (EC) has proposed a new directive on critical entities resilience.The aim is to enhance the protection and to unify the approaches in different member states.The stated novelty of this directive lies in the thought that protecting the infrastructure is not sufficient.Therefore, it is necessary to reinforce the resilience of the critical infrastructure operators.This paper gives a brief overview on past legislative developments in critical infrastructure protection and attempts to evaluate the impact of the new EC proposal.We base the estimate on impact analyses past legislation.There are two key findings.EC legislation leaves the implementation to the member states, which gives them a certain freedom to interpret the text of EC directives.This has led to heterogeneous adaptation of the legislation within member states.This kind of heterogeneous impact will likely be also the result of the current proposal.Secondly, EC directives have had mandates for cooperation between member states.These have resulted in member states developing common vocabularies in the focus areas of directives.In the resilience engineering field, this may have a significant consolidating effect, as technological resilience is still a new concept associated with some ambiguity around its definition.Our paper discusses this matter and provides evidence that existing legislation had a</w:t>
      </w:r>
    </w:p>
    <w:p>
      <w:r>
        <w:t>POSSIBLE 2022: Evaluation of the Proposed European Commission Directive on Critical Entities Resilience and Its Potential to Consolidate the Resilience Terminology — https://doi.org/10.3850/978-981-18-5183-4_s21-02-213-cd</w:t>
      </w:r>
    </w:p>
    <w:p>
      <w:r>
        <w:t>Shared claim-specific concepts: different, current, proposed, commission; EU scope visible. This is a provisional connection, not an outcome finding.</w:t>
      </w:r>
    </w:p>
    <w:p>
      <w:r>
        <w:t>Available abstract (not full text): The European Commission (EC) has proposed a new directive on critical entities resilience. The aim is to enhance the protection and to unify the approaches in different member states. The stated novelty of this directive lies in the thought that protecting the infrastructure is not sufficient. Therefore, it is necessary to reinforce the resilience of the critical infrastructure operators. This paper gives a brief overview on past legislative developments in critical infrastructure protection and attempts to evaluate the impact of the new EC proposal. We base the estimate on impact analyses past legislation. There are two key findings. EC legislation leaves the implementation to the member states, which gives them a certain freedom to interpret the text of EC directives. This has led to heterogeneous adaptation of the legislation within member states. This kind of heterogeneous impact will likely be also the result of the current proposal. Secondly, EC directives have had mandates for cooperation between member states. These have resulted in member states developing common vocabularies in the focus areas of directives. In the resilience engineering field, this may have a significant consolidating effect, as technological resilience is still a new concept associated with some ambiguity around its definition. Our paper discusses this matter and provides evidence that existing legi</w:t>
      </w:r>
    </w:p>
    <w:p>
      <w:r>
        <w:t>POSSIBLE 2022: Assigning Obligations in AI Regulation: A Discussion of Two Frameworks Proposed By the European Commission — https://doi.org/10.1007/s44206-022-00009-z</w:t>
      </w:r>
    </w:p>
    <w:p>
      <w:r>
        <w:t>Shared claim-specific concepts: different, system, proposed, commission; EU scope visible. This is a provisional connection, not an outcome finding.</w:t>
      </w:r>
    </w:p>
    <w:p>
      <w:r>
        <w:t xml:space="preserve">Available abstract (not full text): Abstract The emergence and increasing prevalence of Artificial Intelligence (AI) systems in a growing number of application areas brings about opportunities but also risks for individuals and society as a whole. To minimize the risks associated with AI systems and to mitigate potential harm caused by them, recent policy papers and regulatory proposals discuss obliging developers, deployers, and operators of these systems to avoid certain types of use and features in their design. However, most AI systems are complex socio-technical systems in which control over the system is extensively distributed. In many cases, a multitude of different actors is involved in the purpose setting, data management and data preparation, model development, as well as deployment, use, and refinement of such systems. Therefore, determining sensible addressees for the respective obligations is all but trivial. This article discusses two frameworks for assigning obligations that have been proposed in the European Commission’s whitepaper On Artificial Intelligence—A European approach to excellence and trust and the proposal for the Artificial Intelligence Act respectively. The focus is on whether the frameworks adequately account for the complex constellations of actors that are present in many AI systems and how the various tasks in the process of developing, deploying, and using AI systems, in which </w:t>
      </w:r>
    </w:p>
    <w:p>
      <w:r>
        <w:t>POSSIBLE 2022: The European Commission and minority rights — https://doi.org/10.4337/9781800375932.00016</w:t>
      </w:r>
    </w:p>
    <w:p>
      <w:r>
        <w:t>Shared claim-specific concepts: current, commission, presented; EU scope visible. This is a provisional connection, not an outcome finding.</w:t>
      </w:r>
    </w:p>
    <w:p>
      <w:r>
        <w:t>Available abstract (not full text): With its extensive powers, the Commission could interpret 'expansively' the numerous legal references relating to minorities in EU Law and develop the EU's engagement with minority rights. The Commission could do this by (i) focusing on the full spectrum of minority rights where permitted, (ii) engaging in minority rights as broadly as legal powers allow and (iii) applying these consistently across case studies and states. This chapter argues that the Commission's current performance is not of adequate quality and quantity, when compared to the possibilities presented by the legal powers. This is particularly problematic since minority rights is a declared value of the EU in primary law. This unsatisfactory performance on the part of the Commission lends support to those who have long called into question the status of the EU as an organisation credibly founded upon the values of human rights and minority protection.</w:t>
      </w:r>
    </w:p>
    <w:p>
      <w:r>
        <w:t>POSSIBLE 2021: The EASL–Lancet Liver Commission: protecting the next generation of Europeans against liver disease complications and premature mortality — https://doi.org/10.1016/s0140-6736(21)01701-3</w:t>
      </w:r>
    </w:p>
    <w:p>
      <w:r>
        <w:t>Shared claim-specific concepts: current, proposed, commission; EU scope visible. This is a provisional connection, not an outcome finding.</w:t>
      </w:r>
    </w:p>
    <w:p>
      <w:r>
        <w:t xml:space="preserve">Available abstract (not full text): Liver diseases have become a major health threat across Europe, and the face of European hepatology is changing due to the cure of viral hepatitis C and the control of chronic viral hepatitis B, the increasingly widespread unhealthy use of alcohol, the epidemic of obesity, and undiagnosed or untreated liver disease in migrant populations.Consequently, Europe is facing a looming syndemic, in which socioeconomic and health inequities combine to adversely affect liver disease prevalence, outcomes, and opportunities to receive care.In addition, the COVID-19 pandemic has magnified pre-existing challenges to uniform implementation of policies and equity of access to care in Europe, arising from national borders and the cultural and historical heterogeneity of European societies.In following up on work from the Lancet Commission on liver disease in the UK and epidemiological studies led by the European Association for the Study of the Liver (EASL), our multidisciplinary Commission, comprising a wide range of public health, medical, and nursing specialty groups, along with patient representatives, set out to provide a snapshot of the European landscape on liver diseases and to propose a framework for the principal actions required to improve liver health in Europe.We believe that a joint European process of thinking, and construction of uniform policies and action, implementation, and </w:t>
      </w:r>
    </w:p>
    <w:p>
      <w:r>
        <w:t>POSSIBLE 2019: The ‘political’ roles of the European Commission — https://doi.org/10.1080/07036337.2019.1572135</w:t>
      </w:r>
    </w:p>
    <w:p>
      <w:r>
        <w:t>Shared claim-specific concepts: different, current, system, commission; EU scope visible. This is a provisional connection, not an outcome finding.</w:t>
      </w:r>
    </w:p>
    <w:p>
      <w:r>
        <w:t>Available abstract (not full text): The extent to which the European Commission exercises ‘political’ roles in European integration is very much up for debate. Some recent analyses of the Commission take it for granted that its political roles have been in decline, while others have suggested they have increased – especially under the current President of the Commission, Jean-Claude Juncker, who was appointed in 2014 by a much more politicised process than had been used previously and whose College has sought to present itself as being guided by a political mission and as offering political leadership to the EU. In this article, we aim to show that in the debate about the political roles of the Commission, ‘political’ has often been poorly defined and operationalised. By drawing on Public Administration scholarship, we offer a framework for analysing how and where in the EU system the Commission’s political roles might become manifest. We then assess empirically these roles in different functions the Commission undertakes.</w:t>
      </w:r>
    </w:p>
    <w:p>
      <w:r>
        <w:t>POSSIBLE 2018: Is a 100% renewable European power system feasible by 2050? — https://doi.org/10.1016/j.apenergy.2018.08.109</w:t>
      </w:r>
    </w:p>
    <w:p>
      <w:r>
        <w:t>Shared claim-specific concepts: different, current, system; EU scope visible. This is a provisional connection, not an outcome finding.</w:t>
      </w:r>
    </w:p>
    <w:p>
      <w:r>
        <w:t>Available abstract (not full text): In this study, we model seven scenarios for the European power system in 2050 based on 100% renewable energy sources, assuming different levels of future demand and technology availability, and compare them with a scenario which includes low-carbon non-renewable technologies. We find that a 100% renewable European power system could operate with the same level of system adequacy as today when relying on European resources alone, even in the most challenging weather year observed in the period from 1979 to 2015. However, based on our scenario results, realising such a system by 2050 would require: (i) a 90% increase in generation capacity to at least 1.9 TW (compared with 1 TW installed today), (ii) reliable cross-border transmission capacity at least 140 GW higher than current levels (60 GW), (iii) the well-managed integration of heat pumps and electric vehicles into the power system to reduce demand peaks and biogas requirements, (iv) the implementation of energy efficiency measures to avoid even larger increases in required biomass demand, generation and transmission capacity, (v) wind deployment levels of 7.5 GW y−1 (currently 10.6 GW y−1) to be maintained, while solar photovoltaic deployment to increase to at least 15 GW y−1 (currently 10.5 GW y−1), (vi) large-scale mobilisation of Europe’s biomass resources, with power sector biomass consumption reaching at least 8.5 EJ in</w:t>
      </w:r>
    </w:p>
    <w:p>
      <w:r>
        <w:t>POSSIBLE 2017: Gap assessment in current soil monitoring networks across Europe for measuring soil functions — https://doi.org/10.1088/1748-9326/aa9c5c</w:t>
      </w:r>
    </w:p>
    <w:p>
      <w:r>
        <w:t>Shared claim-specific concepts: different, current, system; EU scope visible. This is a provisional connection, not an outcome finding.</w:t>
      </w:r>
    </w:p>
    <w:p>
      <w:r>
        <w:t>Available abstract (not full text): Soil is the most important natural resource for life on Earth after water. Given its fundamental role in sustaining the human population, both the availability and quality of soil must be managed sustainably and protected. To ensure sustainable management we need to understand the intrinsic functional capacity of different soils across Europe and how it changes over time. Soil monitoring is needed to support evidence-based policies to incentivise sustainable soil management. To this aim, we assessed which soil attributes can be used as potential indicators of five soil functions; (1) primary production, (2) water purification and regulation, (3) carbon sequestration and climate regulation, (4) soil biodiversity and habitat provisioning and (5) recycling of nutrients. We compared this list of attributes to existing national (regional) and EU-wide soil monitoring networks. The overall picture highlighted a clearly unbalanced dataset, in which predominantly chemical soil parameters were included, and soil biological and physical attributes were severely under represented. Methods applied across countries for indicators also varied. At a European scale, the LUCAS-soil survey was evaluated and again confirmed a lack of important soil biological parameters, such as C mineralisation rate, microbial biomass and earthworm community, and soil physical measures such as bulk density. In su</w:t>
      </w:r>
    </w:p>
    <w:p>
      <w:r>
        <w:t>POSSIBLE 2017: Current state of the plastic waste recycling system in the European Union and in Germany — https://openalex.org/W2802287539</w:t>
      </w:r>
    </w:p>
    <w:p>
      <w:r>
        <w:t>Shared claim-specific concepts: different, current, system, presented; EU scope visible. This is a provisional connection, not an outcome finding.</w:t>
      </w:r>
    </w:p>
    <w:p>
      <w:r>
        <w:t>Available abstract (not full text): The paper presents the results of the analysis of the current state in waste management of plastic bottles in Germany. A data overview of the differences in recycling policies between different countries in the European Union is presented. The application of twelve different polymeric materials by five different application sectors in Europe shows the predominated usage areas of selected polymeric materials. A detailed insight into the German Dual System (DSD) for plastic recycling is presented, with the reference to the famous label the "Green Dot". The evolution of the recovery rates of packaging in Germany from 1991 to 2014 is presented for glass, aluminium, tinplate, polymers, paper and cardboard and liquid packaging board. It was observed that the plastic recycling rate has risen from ~ 15 % to almost 100 %, i.e. nowadays almost the whole plastic waste is either incinerated or recycled. Current data for PET-bottles return is determined as well, and detailed current information regarding the deposit system is presented. The actual applications and specific data showing the industry sectors that use the PET from recovered bottles are presented.</w:t>
      </w:r>
    </w:p>
    <w:p>
      <w:r>
        <w:t>POSSIBLE 2015: Current Trends in Urolithiasis Treatment in Various European Health Systems — https://doi.org/10.1159/000441041</w:t>
      </w:r>
    </w:p>
    <w:p>
      <w:r>
        <w:t>Shared claim-specific concepts: different, current, system; EU scope visible. This is a provisional connection, not an outcome finding.</w:t>
      </w:r>
    </w:p>
    <w:p>
      <w:r>
        <w:t>Available abstract (not full text): OBJECTIVE: In spite of readily available evidence-based guidelines on urolithiasis treatment, practical applications of treatments vary from country to country, or even within countries. The choice of treatment depends not only on the evidence, but often on general non-medical decision factors such as infrastructure, expertise, trends, patient demands, industry drive and reimbursement levels. In turn, many of these factors are interdependent and a result of the individual National Health System. METHOD: In an attempt to get a crude picture of trends and practices in stone treatment across Europe, a group of well-renowned international experts in the field were asked to reply to a set of standard questions relating to stone treatments, health systems and adherence to guidelines (level of evidence D = expert opinion). RESULTS: The above-mentioned interdependencies showed a varying picture in different countries. Overall, there is a trend away from lithotripsy and toward ureterorenoscopy. However, the choice of treatment is largely dependent on the affordability of infrastructure. Urologists may make choices based on the national reimbursement system, too. CONCLUSION: Without claiming to represent a scientifically sound study, this survey represents an interesting insight into a representative cross-section of European urological current practices and trends in urolithiasis treatm</w:t>
      </w:r>
    </w:p>
    <w:p>
      <w:pPr>
        <w:pStyle w:val="Heading2"/>
      </w:pPr>
      <w:r>
        <w:t>The use of probabilistic weather generator information for climate change adaptation in the UK water sector</w:t>
      </w:r>
    </w:p>
    <w:p>
      <w:r>
        <w:t>Original source (2012): https://doi.org/10.1002/met.1335</w:t>
      </w:r>
    </w:p>
    <w:p>
      <w:r>
        <w:t>Original wording (abstract; indexed_source_text_not_full_document_verified): With regards to the second assumption, it is suggested that modelling activity should identify the range of plausible futures to develop probabilities of risk, using those robust decision-making techniques which can gauge the performance of potential adaptation strategies.</w:t>
      </w:r>
    </w:p>
    <w:p>
      <w:r>
        <w:t>POSSIBLE 2025: Response to Comment on “Soluble Receptor for Advanced Glycation End Products and Incident Hypertension in REGARDS” — https://doi.org/10.1093/ajh/hpaf229</w:t>
      </w:r>
    </w:p>
    <w:p>
      <w:r>
        <w:t>Shared claim-specific concepts: regards, second, activity, potential; EU scope not established. This is a provisional connection, not an outcome finding.</w:t>
      </w:r>
    </w:p>
    <w:p>
      <w:r>
        <w:t>Available abstract (not full text): We thank Dr Shen and colleagues for their thoughtful comments on our recent article, “Soluble Receptor for Advanced Glycation End Products (sRAGE) and Incident Hypertension in REGARDS.”1 They raise 3 key concerns: (1) the treatment of missing dietary data and the role of diet as a potential confounder, (2) kidney function and its impact on sRAGE levels, and (3) statin use and its potential influence on sRAGE levels. Regarding missing dietary data, we used the Life’s Simple 7 dietary metric to quantify the quality of diet in the population as poor (0-1 healthy dietary components), intermediate (2-3 components), or ideal (4-5 components). Nationally, diet quality in the United States was previously estimated to be 76% for poor, 24% for intermediate, at &lt;0.5% for ideal.2 In REGARDS, the distribution among participants with available dietary is similar to national data (80.24%, 19.71%, and 0.05% for poor, intermediate, and ideal, respectively). Dietary data are considered missing not at random in REGARDS given differential completion of the Food Frequency Questionnaire based on sociodemographics. Therefore, conventional non-deterministic imputation methodologies (eg, multiple imputation) cannot be used.3 To assess whether assigning a “poor” score to missing diets over adjusted results, we performed two sensitivity analyses, which are shown in Table 1. The first assigned missing die</w:t>
      </w:r>
    </w:p>
    <w:p>
      <w:r>
        <w:t>POSSIBLE 2024: Interpretation of Second Law of Thermodynamics in Extended Procedures for the Exploitation of the Entropy Inequality: Korteweg Fluids and Strain-Gradient Elasticity as Examples — https://doi.org/10.3390/e26040293</w:t>
      </w:r>
    </w:p>
    <w:p>
      <w:r>
        <w:t>Shared claim-specific concepts: regards, second, assumption; EU scope not established. This is a provisional connection, not an outcome finding.</w:t>
      </w:r>
    </w:p>
    <w:p>
      <w:r>
        <w:t>Available abstract (not full text): In continuum physics the dissipation principle, first proposed by Coleman and Noll in 1963, regards second law of thermodynamics as a unilateral differential constraint on the constitutive equations. In 1996, Muschik and Ehrentraut provided a rigorous proof of such an approach under the assumption that, at an arbitrary instant, t0, in an arbitrary point, P0, of a continuous system, the entropy production is zero if, and only if, P0 is in thermodynamic equilibrium. In 2022, Cimmelli and Rogolino incorporated such an assumption in a more general formulation of the second law of thermodynamics. In this paper, we prove that the same conclusions hold if both the fundamental balance laws and their gradients are substituted into the entropy inequality. Such a methodology is applied to analyze the strain-gradient elasticity.</w:t>
      </w:r>
    </w:p>
    <w:p>
      <w:r>
        <w:t>POSSIBLE 2022: The Role of the Second Law of Thermodynamics in Continuum Physics: A Muschik and Ehrentraut Theorem Revisited — https://doi.org/10.3390/sym14040763</w:t>
      </w:r>
    </w:p>
    <w:p>
      <w:r>
        <w:t>Shared claim-specific concepts: regards, second, assumption, those; EU scope not established. This is a provisional connection, not an outcome finding.</w:t>
      </w:r>
    </w:p>
    <w:p>
      <w:r>
        <w:t>Available abstract (not full text): In continuum physics, constitutive equations model the material properties of physical systems. In those equations, material symmetry is taken into account by applying suitable representation theorems for symmetric and/or isotropic functions. Such mathematical representations must be in accordance with the second law of thermodynamics, which imposes that, in any thermodynamic process, the entropy production must be nonnegative. This requirement is fulfilled by assigning the constitutive equations in a form that guaranties that second law of thermodynamics is satisfied along arbitrary processes. Such an approach, in practice regards the second law of thermodynamics as a restriction on the constitutive equations, which must guarantee that any solution of the balance laws also satisfy the entropy inequality. This is a useful operative assumption, but not a consequence of general physical laws. Indeed, a different point of view, which regards the second law of thermodynamics as a restriction on the thermodynamic processes, i.e., on the solutions of the system of balance laws, is possible. This is tantamount to assuming that there are solutions of the balance laws that satisfy the entropy inequality, and solutions that do not satisfy it. In order to decide what is the correct approach, Muschik and Ehrentraut in 1996, postulated an amendment to the second law, which makes explicit th</w:t>
      </w:r>
    </w:p>
    <w:p>
      <w:r>
        <w:t>POSSIBLE 2022: The Role of Second Law of Thermodynamics in Continuum Physics: A Muschik and Ehrentraut Theorem Revisited — https://doi.org/10.48550/arxiv.2202.01162</w:t>
      </w:r>
    </w:p>
    <w:p>
      <w:r>
        <w:t>Shared claim-specific concepts: regards, second, assumption; EU scope not established. This is a provisional connection, not an outcome finding.</w:t>
      </w:r>
    </w:p>
    <w:p>
      <w:r>
        <w:t xml:space="preserve">Available abstract (not full text): Second law of thermodynamics imposes that in any thermodynamic process the entropy production must be nonnegative. In continuum physics such a requirement is fulfilled by postulating the constitutive equations which represent the material properties of the bodies in such a way that second law of thermodynamics is satisfied in arbitrary processes. Such an approach, first assumed in some pioneering papers by Coleman and Noll \cite{ColNol} and Coleman and Mizel \cite{ColMiz}, in practice regards second law of thermodynamics as a restriction on the constitutive equations, which must guarantee that any solution of the balance laws satisfies also the entropy inequality. As observed by Muschik and Ehrentraut \cite{MusEhr}, this is a useful operative assumption, but not a consequence of general physical laws. Indeed, a different point of view, which regards second law of thermodynamics as a restriction on the thermodynamic processes, i.e., on the solutions of the system of balance laws, is possible. This is tantamount to assume that there are solutions of the balance laws which satisfy the entropy inequality, and solutions which do not satisfy it. In order to decide what is the correct approach, Muschik and Erhentraut postulated an amendment to the second law, which makes explicit the evident but rather hidden assumption that in any point of the body the entropy production is zero if, </w:t>
      </w:r>
    </w:p>
    <w:p>
      <w:r>
        <w:t>POSSIBLE 2022: A review of quantitative structure-activity relationship modelling approaches to predict the toxicity of mixtures — https://doi.org/10.1016/j.comtox.2022.100251</w:t>
      </w:r>
    </w:p>
    <w:p>
      <w:r>
        <w:t>Shared claim-specific concepts: regards, modelling, techniques, potential; EU scope not established. This is a provisional connection, not an outcome finding.</w:t>
      </w:r>
    </w:p>
    <w:p>
      <w:r>
        <w:t>Available abstract (not full text): Exposure to chemicals generally occurs in the form of mixtures. However, the great majority of the toxicity data, upon which chemical safety decisions are based, relate only to single compounds. It is currently unfeasible to test a fully representative proportion of mixtures for potential harmful effects and, as such, in silico modelling provides a practical solution to inform safety assessment. Traditional methodologies for deriving estimations of mixture effects, exemplified by principles such as concentration addition (CA) and independent action (IA), are limited as regards the scope of chemical combinations to which they can reliably be applied. Development of appropriate quantitative structure-activity relationships (QSARs) has been put forward as a solution to the shortcomings present within these techniques – allowing for the potential formulation of versatile predictive tools capable of capturing the activities of a full contingent of possible mixtures. This review addresses the current state-of-the-art as regards application of QSAR towards mixture toxicity, discussing the challenges inherent in the task, whilst considering the strengths and limitations of existing approaches. Forty studies are examined within – through reference to several characteristic elements including the nature of the chemicals and endpoints modelled, the form of descriptors adopted, and the pri</w:t>
      </w:r>
    </w:p>
    <w:p>
      <w:r>
        <w:t>POSSIBLE 2021: Relative risk aversion models: How plausible are their assumptions? — https://doi.org/10.1177/1043463121994087</w:t>
      </w:r>
    </w:p>
    <w:p>
      <w:r>
        <w:t>Shared claim-specific concepts: regards, second, assumption, plausible; EU scope visible. This is a provisional connection, not an outcome finding.</w:t>
      </w:r>
    </w:p>
    <w:p>
      <w:r>
        <w:t xml:space="preserve">Available abstract (not full text): This work examines the validity of the two main assumptions of relative risk-aversion models of educational inequality. We compare the Breen-Goldthorpe (BG) and the Breen-Yaish (BY) models in terms of their assumptions about status maintenance motives and beliefs about the occupational risks associated with educational decisions. Concerning the first assumption, our contribution is threefold. First, we criticise the assumption of the BG model that families aim only at avoiding downward mobility and are insensitive to the prospects of upward mobility. We argue that the loss-aversion assumption proposed by BY is a more realistic formulation of status-maintenance motives. Second, we propose and implement a novel empirical approach to assess the validity of the loss-aversion assumption. Third, we present empirical results based on a sample of families of lower secondary school leavers indicating that families are sensitive to the prospects of both upward and downward mobility, and that the loss-aversion hypothesis of BY is empirically supported. As regards the risky choice assumption, we argue that families may not believe that more ambitious educational options entail occupational risks relative to less ambitious ones. We present empirical evidence indicating that, in France, the academic path is not perceived as a risky option. We conclude that, if the restrictive assumptions of </w:t>
      </w:r>
    </w:p>
    <w:p>
      <w:r>
        <w:t>POSSIBLE 2021: Disorganization of Oscillatory Activity in Animal Models of Schizophrenia — https://doi.org/10.3389/fncir.2021.741767</w:t>
      </w:r>
    </w:p>
    <w:p>
      <w:r>
        <w:t>Shared claim-specific concepts: activity, potential; EU scope not established. This is a provisional connection, not an outcome finding.</w:t>
      </w:r>
    </w:p>
    <w:p>
      <w:r>
        <w:t xml:space="preserve">Available abstract (not full text): Schizophrenia is a chronic, debilitating disorder with diverse symptomatology, including disorganized cognition and behavior. Despite considerable research effort, we have only a limited understanding of the underlying brain dysfunction. In this article, we review the potential role of oscillatory circuits in the disorder with a particular focus on the hippocampus, a region that encodes sequential information across time and space, as well as the frontal cortex. Several mechanistic explanations of schizophrenia propose that a loss of oscillatory synchrony between and within these brain regions may underlie some of the symptoms of the disorder. We describe how these oscillations are affected in several animal models of schizophrenia, including models of genetic risk, maternal immune activation (MIA) models, and models of NMDA receptor hypofunction. We then critically discuss the evidence for disorganized oscillatory activity in these models, with a focus on gamma, sharp wave ripple, and theta activity, including the role of cross-frequency coupling as a synchronizing mechanism. Finally, we focus on phase precession, which is an oscillatory phenomenon whereby individual hippocampal place cells systematically advance their firing phase against the background theta oscillation. Phase precession is important because it allows sequential experience to be compressed into a single 120 </w:t>
      </w:r>
    </w:p>
    <w:p>
      <w:r>
        <w:t>POSSIBLE 2021: Comparing Human Activity Recognition Models Based on Complexity and Resource Usage — https://doi.org/10.3390/app11188473</w:t>
      </w:r>
    </w:p>
    <w:p>
      <w:r>
        <w:t>Shared claim-specific concepts: regards, activity, techniques, performance; EU scope not established. This is a provisional connection, not an outcome finding.</w:t>
      </w:r>
    </w:p>
    <w:p>
      <w:r>
        <w:t xml:space="preserve">Available abstract (not full text): Human Activity Recognition (HAR) is a field with many contrasting application domains, from medical applications to ambient assisted living and sports applications. With ever-changing use cases and devices also comes a need for newer and better HAR approaches. Machine learning has long been one of the predominant techniques to recognize activities from extracted features. With the advent of deep learning techniques that push state of the art results in many different domains like natural language processing or computer vision, researchers have also started to build deep neural nets for HAR. With this increase in complexity, there also comes a necessity to compare the newer approaches to the previous state of the art algorithms. Not everything that is new is also better. Therefore, this paper aims to compare typical machine learning models like a Random Forest (RF) or a Support Vector Machine (SVM) to two commonly used deep neural net architectures, Convolutional Neural Nets (CNNs) and Recurrent Neural Nets (RNNs). Not only in regards to performance but also in regards to the complexity of the models. We measure complexity as the memory consumption, the mean prediction time and the number of trainable parameters of the models. To achieve comparable results, the models are all tested on the same publicly available dataset, the UCI HAR Smartphone dataset. With this combination of </w:t>
      </w:r>
    </w:p>
    <w:p>
      <w:r>
        <w:t>POSSIBLE 2020: Ethical Challenges in European Parliamentary Debates with Regards to Audiovisual Sexual Risks on the Internet — https://doi.org/10.17576/jkmjc-2020-3602-17</w:t>
      </w:r>
    </w:p>
    <w:p>
      <w:r>
        <w:t>Shared claim-specific concepts: regards, assumption; EU scope visible. This is a provisional connection, not an outcome finding.</w:t>
      </w:r>
    </w:p>
    <w:p>
      <w:r>
        <w:t>Available abstract (not full text): Within European political debate on audio-visual sexual risks for children on the Internet, liberal positions on freedom of expression (Article 19, Universal Declaration of Human Rights , 10 Dec. 1948) are balanced by protectionist approaches highlighting the need for child protection ( Convention on the Rights of the Child , 1989). Moreover, other political issues are raised with regards to ethical concerns, such as cultural diversity or censorship. Ethical considerations vary among European media systems due to different historical, cultural and political backgrounds. The hypothesis is that these ethical arguments reflect the historical and cultural diversity of the European scenario. Based on this assumption, the piece of research retrieved ethical reflections focused on audio-visual sexual risks on the Internet and the European media policy regarding child protection. A field study has been carried out through the online archive of European Parliament’s plenary. The corpus collected 45 European Parliamentary debates held between 2001 and 2016. Firstly, content analysis has been applied with ATLAS.ti; secondly, a hierarchical descendant classification has been carried out with the Alceste method (IRaMuTeQ). As a result, the defence of protectionist values, such as consumer and child protection, is justified by violence prevention. Moreover, ethical issues are related to prod</w:t>
      </w:r>
    </w:p>
    <w:p>
      <w:r>
        <w:t>POSSIBLE 2020: A linguistically-informed way of introducing Japanese verbs to second language learners — https://doi.org/10.1515/jjl-2019-2017</w:t>
      </w:r>
    </w:p>
    <w:p>
      <w:r>
        <w:t>Shared claim-specific concepts: regards, second, assumption; EU scope not established. This is a provisional connection, not an outcome finding.</w:t>
      </w:r>
    </w:p>
    <w:p>
      <w:r>
        <w:t>Available abstract (not full text): Abstract This paper describes how the Japanese speakers’ knowledge is organized in regards to verbs, and proposes a linguistically-informed way of introducing it to second language learners. It is maintained by a number of researchers that each verb is stored with the information of its argument structure in the speaker’s mental lexicon. That is, a given verb is stored with the information of how many arguments it takes and what types of arguments they are. In this paper, capitalizing on this assumption, we will maintain that the knowledge of the native speakers of Japanese is organized in such a way that if a verb gives rise to n-number of different meanings, there are n-number of lexical entries, and each such entry is independently stored with the information concerning the meaning of the verb, the verb arguments and their accompanying particles. After the description of the organization of Japanese speakers’ knowledge in regards to verbs, as an effective way of introducing this to Japanese language learners, the paper proposes the format of an innovative approach to Japanese verbs reference book. This proposed format capitalizes on full sentence definitions in the sense of the Collins Cobuild Dictionary.</w:t>
      </w:r>
    </w:p>
    <w:p>
      <w:r>
        <w:t>POSSIBLE 2020: Life’s Simple 7 and Incident Hypertension: The REGARDS Study — https://doi.org/10.1161/jaha.120.016482</w:t>
      </w:r>
    </w:p>
    <w:p>
      <w:r>
        <w:t>Shared claim-specific concepts: regards, second, activity; EU scope not established. This is a provisional connection, not an outcome finding.</w:t>
      </w:r>
    </w:p>
    <w:p>
      <w:r>
        <w:t xml:space="preserve">Available abstract (not full text): Background The Life's Simple 7 (LS7) metric incorporates health behaviors (body mass index, diet, smoking, physical activity) and health factors (blood pressure, cholesterol, glucose) to estimate an individual's level of cardiovascular health. The association between cardiovascular health and incident hypertension is unresolved. Hypertension's threshold was recently lowered and it is unclear if better cardiovascular health is associated with lower risk of incident hypertension with the updated threshold or in a multirace cohort. We sought to assess the association between better LS7 score and risk of incident hypertension among Black and White adults using a 130/80 mm Hg hypertension threshold. Methods and Results We determined the association between LS7 metric and incident hypertension in the REGARDS (Reasons for Geographic and Racial Disparities in Stroke) study, including participants free of baseline hypertension (2003-2007) who completed a second visit between 2013 and 2016. Hypertension was defined as systolic/diastolic blood pressure ≥130/80 mm Hg or antihypertensive medication use. Each LS7 component was assigned 0 (poor), 1 (intermediate), or 2 (ideal) points. We generated a 14-point score by summing points. Among 2930 normotensive participants (20% Black, 80% White), the median (25th-75th percentiles) LS7 total score was 9 (8-10) points. Over a median follow-up of 9 </w:t>
      </w:r>
    </w:p>
    <w:p>
      <w:r>
        <w:t>POSSIBLE 2019: Modelling Associative-Semantic Content as Regards the Logic-of-Semantics Dimension of the Adolescents’ Speech — https://doi.org/10.31470/2309-1797-2019-26-1-324-341</w:t>
      </w:r>
    </w:p>
    <w:p>
      <w:r>
        <w:t>Shared claim-specific concepts: regards, modelling, activity, potential, strategies; EU scope not established. This is a provisional connection, not an outcome finding.</w:t>
      </w:r>
    </w:p>
    <w:p>
      <w:r>
        <w:t>Available abstract (not full text): Objective. The article deals with the analysis of the trends in the logic of the semantic organization of the speech and mental activity of adolescents as regards the dimension of the available semantic environment and that of the speech competences of an individual. It is stated that information about the world is systematized by human consciousness in the form of an associative-verbal field, whose producing and modelling is one of the ways of representing the speech competence of an individual shaping his/her destiny. Materials &amp; Methods. In view of the above, an empirical research of the distinctive features of expanding semantic content of the adolescents' speech consciousness as regards the dimension of the logic-of-semantics organization of the mental and speech activity was performed using the diagnostic potential of a free associative experiment. A system of relevant ways of construction and associative expansion of meanings in the semantic field of the speech consciousness of adolescents was chosen as the subject of the research. Results. Drawing on the results of the frequency analysis of the use of typical associative patterns for organizing the semantic field of speech, it was stated that the most represented among adolescents is a semantic way of reasoning based on the identification signs of the general contour of the trigger word at the level of its meaning. It w</w:t>
      </w:r>
    </w:p>
    <w:p>
      <w:pPr>
        <w:pStyle w:val="Heading2"/>
      </w:pPr>
      <w:r>
        <w:t>Using scenarios to assess the future supply of NHS nursing staff in England</w:t>
      </w:r>
    </w:p>
    <w:p>
      <w:r>
        <w:t>Original source (2012): https://doi.org/10.1186/1478-4491-10-16</w:t>
      </w:r>
    </w:p>
    <w:p>
      <w:r>
        <w:t>Original wording (abstract; indexed_source_text_not_full_document_verified): It is important that different scenarios are considered that may be regarded as possible futures, based on a realistic assessment of the available workforce data, policies and broader labour market and funding outlook. Based on available workforce data, the paper reviews different possible scenarios for the supply of NHS nurses over a ten year period, assessing the impact of different numbers of new staff being trained and of varying retirement patterns from the ageing profession.The government in England has more policy levers available than is the case in many other countries.</w:t>
      </w:r>
    </w:p>
    <w:p>
      <w:r>
        <w:t>POSSIBLE 2024: Of Important — https://doi.org/10.67224/ioasdjbms.2024.v01i02.001</w:t>
      </w:r>
    </w:p>
    <w:p>
      <w:r>
        <w:t>Shared claim-specific concepts: important, different, considered; EU scope not established. This is a provisional connection, not an outcome finding.</w:t>
      </w:r>
    </w:p>
    <w:p>
      <w:r>
        <w:t>Available abstract (not full text):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r>
        <w:t>POSSIBLE 2024: Of Important — https://doi.org/10.5281/zenodo.19677536</w:t>
      </w:r>
    </w:p>
    <w:p>
      <w:r>
        <w:t>Shared claim-specific concepts: important, different, considered; EU scope not established. This is a provisional connection, not an outcome finding.</w:t>
      </w:r>
    </w:p>
    <w:p>
      <w:r>
        <w:t>Available abstract (not full text): Sequence is very important. It is not culture free. Different societies follow different sequences. A sequence what is accepted in a society may not be accepted at all to another society. In an orthodox society, marriage, love and issue are accepted as sequence. Disobedience or breaking of this chronology is totally forbidden and is considered as a punishable offence. In another society there is no such hard and fast rule to obey that very sequence. The lovers of this liberal society may give birth to children without marry and sometimes without love even. Sometimes they love. Sometimes they love not. They love if they like. They love not if they like not. Thus, their mood and motive are gloriously so uncertain. In fact, live together is not illegal. It is immoral. To them live together is only important.</w:t>
      </w:r>
    </w:p>
    <w:p>
      <w:r>
        <w:t>POSSIBLE 2024: LIBS diagnostics of Be-based samples with different gas impurities — https://doi.org/10.1063/5.0205561</w:t>
      </w:r>
    </w:p>
    <w:p>
      <w:r>
        <w:t>Shared claim-specific concepts: important, different, possible, data; EU scope visible. This is a provisional connection, not an outcome finding.</w:t>
      </w:r>
    </w:p>
    <w:p>
      <w:r>
        <w:t>Available abstract (not full text): Controlling plasma fuel retained in the plasma facing components of the first wall of a fusion reactor is one of the most important challenges influencing safe operation of the International Thermonuclear Experimental Reactor in the first place. This issue is proposed to be addressed by the laser-induced breakdown spectroscopy (LIBS) diagnostics, which is particularly powerful in studying the near-surface deposits and analyzing their composition. The main goal of the present study is determining the depth profiles of different elements in beryllium-based materials and the possible co-deposited layers that are formed on the walls of the Joint European Torus (JET) fusion device. Depth profiles estimated by LIBS are compared with those measured by secondary ion mass spectrometry, furthermore, the differences are discussed. In particular, the evolution of spectral lines of Be, as well as the main gaseous elements, such as Ne, N, O, and D, incorporated into the samples were extracted at different depths in the layers. LIBS diagnostics allowed making a fairly accurate analysis of the detected spectral lines of the elements on the samples. The effect of variations of the ablation rate and uncertainty that it introduces in LIBS measurements was also discussed. This investigation will have a significant impact on the development of pre-processing algorithms for machine learning models i</w:t>
      </w:r>
    </w:p>
    <w:p>
      <w:r>
        <w:t>POSSIBLE 2023: Ground Based-cloud Classification Based on Comparing Different Classification Models — https://doi.org/10.54254/2755-2721/2/20220541</w:t>
      </w:r>
    </w:p>
    <w:p>
      <w:r>
        <w:t>Shared claim-specific concepts: important, different, possible, based; EU scope not established. This is a provisional connection, not an outcome finding.</w:t>
      </w:r>
    </w:p>
    <w:p>
      <w:r>
        <w:t>Available abstract (not full text): Clouds are one of the most common things in our daily life, and different types of clouds will foreshadow different weather conditions. Therefore, accurately identifying and classifying them are important for human forecasting the local weather. However, artificially classifying clouds could possibly cause a minor error. With the helping of machine learning classification model could avoid this situation as much as possible. In this study, our goal is to get sufficiently high accuracy of based-cloud classification. We used LBP as a preprocessing approach, and used KSVM, MLP, Custom Vision, and Resnet to compare each result. The dataset contains around 15 thousand cloud images in 5 types in the same format and pixels. With the implementation of four classification models, experiments showed that ResNet34 came out a great result with a test accuracy 94%. Therefore, this study demonstrates ResNet34 is a good image classification model in based-cloud classification field.</w:t>
      </w:r>
    </w:p>
    <w:p>
      <w:r>
        <w:t>POSSIBLE 2023: Visual and thermal camouflage on different terrestrial environments based on electrochromism — https://doi.org/10.1515/nanoph-2023-0244</w:t>
      </w:r>
    </w:p>
    <w:p>
      <w:r>
        <w:t>Shared claim-specific concepts: important, different, possible, based; EU scope not established. This is a provisional connection, not an outcome finding.</w:t>
      </w:r>
    </w:p>
    <w:p>
      <w:r>
        <w:t>Available abstract (not full text): Hiding terrestrial objects from aerial monitoring has long been an important objective in national security and public safety. However, the diversity of terrestrial environments raises great challenges to traditional camouflages optimized for a single spectral band or single type of background environment, rendering them vulnerable in other bands or backgrounds. Herein, we experimentally demonstrate simultaneous visual and thermal camouflage that can adapt to two different environments based on a thermally emissive electrochromic layer. We first explore diverse possible theoretical solutions for dual-band dual-environmental camouflage by solving analytic constraints for camouflage and steady-state thermal conditions and select the most viable approach. Based on the theoretical analysis, we design active camouflage thin-film material systems that can approximate two different target visible and infrared signatures of backgrounds under proper bias voltage. Our potentially flexible camouflage surfaces can also conceal heat sources such as human body as well with tailored designs. These results provide new directions in multi-band stealth designs.</w:t>
      </w:r>
    </w:p>
    <w:p>
      <w:r>
        <w:t>POSSIBLE 2021: EEG-Based Auditory Attention Detection and Its Possible Future Applications for Passive BCI — https://doi.org/10.3389/fcomp.2021.661178</w:t>
      </w:r>
    </w:p>
    <w:p>
      <w:r>
        <w:t>Shared claim-specific concepts: different, possible, based; EU scope not established. This is a provisional connection, not an outcome finding.</w:t>
      </w:r>
    </w:p>
    <w:p>
      <w:r>
        <w:t>Available abstract (not full text): The ability to discriminate and attend one specific sound source in a complex auditory environment is a fundamental skill for efficient communication. Indeed, it allows us to follow a family conversation or discuss with a friend in a bar. This ability is challenged in hearing-impaired individuals and more precisely in those with a cochlear implant (CI). Indeed, due to the limited spectral resolution of the implant, auditory perception remains quite poor in a noisy environment or in presence of simultaneous auditory sources. Recent methodological advances allow now to detect, on the basis of neural signals, which auditory stream within a set of multiple concurrent streams an individual is attending to. This approach, called EEG-based auditory attention detection (AAD), is based on fundamental research findings demonstrating that, in a multi speech scenario, cortical tracking of the envelope of the attended speech is enhanced compared to the unattended speech. Following these findings, other studies showed that it is possible to use EEG/MEG (Electroencephalography/Magnetoencephalography) to explore auditory attention during speech listening in a Cocktail-party-like scenario. Overall, these findings make it possible to conceive next-generation hearing aids combining customary technology and AAD. Importantly, AAD has also a great potential in the context of passive BCI, in the educ</w:t>
      </w:r>
    </w:p>
    <w:p>
      <w:r>
        <w:t>POSSIBLE 2020: Shoe feature recommendations for different running levels: A Delphi study — https://doi.org/10.1371/journal.pone.0236047</w:t>
      </w:r>
    </w:p>
    <w:p>
      <w:r>
        <w:t>Shared claim-specific concepts: important, different, considered, based; EU scope not established. This is a provisional connection, not an outcome finding.</w:t>
      </w:r>
    </w:p>
    <w:p>
      <w:r>
        <w:t>Available abstract (not full text): Providing runners with footwear that match their functional needs has the potential to improve footwear comfort, enhance running performance and reduce the risk of overuse injuries. It is currently not known how footwear experts make decisions about different shoe features and their properties for runners of different levels. We performed a Delphi study in order to understand: 1) definitions of different runner levels, 2) which footwear features are considered important and 3) how these features should be prescribed for runners of different levels. Experienced academics, journalists, coaches, bloggers and physicians that examine the effects of footwear on running were recruited to participate in three rounds of a Delphi study. Three runner level definitions were refined throughout this study based on expert feedback. Experts were also provided a list of 20 different footwear features. They were asked which features were important and what the properties of those features should be. Twenty-four experts, most with 10+ years of experience, completed all three rounds of this study. These experts came to a consensus for the characteristics of three different running levels. They indicated that 12 of the 20 footwear features initially proposed were important for footwear design. Of these 12 features, experts came to a consensus on how to apply five footwear feature properties for all</w:t>
      </w:r>
    </w:p>
    <w:p>
      <w:r>
        <w:t>POSSIBLE 2020: WHEN DIFFERENT ELECTIONS HAVE DIFFERENT SALIENCIES FOR VOTERS: MOST IMPORTANT AND CONSIDERATION (EVIDENCE FROM INDONESIAN VOTERS) — https://doi.org/10.18510/hssr.2020.8462</w:t>
      </w:r>
    </w:p>
    <w:p>
      <w:r>
        <w:t>Shared claim-specific concepts: important, different, considered, data; EU scope not established. This is a provisional connection, not an outcome finding.</w:t>
      </w:r>
    </w:p>
    <w:p>
      <w:r>
        <w:t xml:space="preserve">Available abstract (not full text): Purpose of the study: Generally, the purpose of this study is to explain the salience of each form of election for voters. To explain that, this study examines which election is perceived as the most important election for voters, and what matters are considered by voters in each election, especially in the most important election and money politics. Methodology: The data are drawn from a survey of 800 respondents in Central Java during the 2019 Indonesian elections. The survey asked two questions; which election they perceive as the most important election ("what is the most important election for you?"), and what matters they consider when voting for a candidate ("what is your consideration in each election?"). The dataset also includes variables related to money politics. Main Findings: Voters have different importances and considerations in various forms of elections. More voters see the executive election as the most important than the legislative election in every level of election. More voters consider the program in the legislative elections, while more voters consider the figure of candidates in the executive elections. But in more detail, there are various patterns. Applications of this study: Referring to the number of elections in Indonesia, this finding can help the government, electoral commission, or activists to develop better strategies for educating citizens. </w:t>
      </w:r>
    </w:p>
    <w:p>
      <w:r>
        <w:t>POSSIBLE 2020: Knowledge workers’ stated preferences for important characteristics of activity-based workspaces — https://doi.org/10.1080/09613218.2020.1726169</w:t>
      </w:r>
    </w:p>
    <w:p>
      <w:r>
        <w:t>Shared claim-specific concepts: important, different, possible; EU scope not established. This is a provisional connection, not an outcome finding.</w:t>
      </w:r>
    </w:p>
    <w:p>
      <w:r>
        <w:t>Available abstract (not full text): It is important for organizations to support employees with suitable workspaces during different activities. Increasingly the activity-based office is seen as the optimal solution, as it provides people with choice between different types of workspaces to perform specific activities. This study addresses the trade-offs knowledge workers make when choosing a workspace for performing three different categories of activities (individual concentration work, informal interactions, and formal interactions). A stated choice experiment was performed through a questionnaire among 251 Dutch knowledge workers in 14 organizations, measuring preferences for hypothetical workspaces described by their six most relevant aspects. Multinomial logit models were estimated to identify the workspace preferences during each activity. Additionally, Latent class models were estimated to find possible segments of workers with specific preferences that need to be supported differently by workplace managers. Findings showed that preferences for psychosocial design aspects (noise, workspace enclosure and control) were more important for workspace selection than indoor environmental quality aspects. They also show more differences between specific activities. Also, not everybody finds full enclosure important for individual concentrated work, and relatively older employees appear to be more critical about w</w:t>
      </w:r>
    </w:p>
    <w:p>
      <w:r>
        <w:t>POSSIBLE 2020: Possible Roles for Basal Levels of (p)ppGpp: Growth Efficiency Vs. Surviving Stress — https://doi.org/10.3389/fmicb.2020.592718</w:t>
      </w:r>
    </w:p>
    <w:p>
      <w:r>
        <w:t>Shared claim-specific concepts: important, different, possible, over; EU scope not established. This is a provisional connection, not an outcome finding.</w:t>
      </w:r>
    </w:p>
    <w:p>
      <w:r>
        <w:t>Available abstract (not full text): Two (p)ppGpp nucleotide analogs, sometimes abbreviated simply as ppGpp, are widespread in bacteria and plants. Their name alarmone reflects a view of their function as intracellular hormone-like protective alarms that can increase a hundred-fold when sensing any of an array of physical or nutritional dangers, such as abrupt starvation, that trigger lifesaving adjustments of global gene expression and physiology. The diversity of mechanisms for stress-specific adjustments of this sort is large and further compounded by almost infinite microbial diversity. The central question raised by this review is whether the small basal levels of (p)ppGpp functioning during balanced growth serve very different roles than alarmone-like functions. Recent discoveries that abrupt amino acid starvation of E. coli, accompanied by very high levels of ppGpp, occasion surprising instabilities of tRNA, rRNA and ribosomes raises new questions. Is this destabilization a mode of regulation linearly related to (p)ppGpp over the entire continuum of (p)ppGpp levels, including balanced growth? Are regulatory mechanisms exerted by basal (p)ppGpp levels fundamentally different than for high levels? There is evidence from studies of other organisms suggesting special regulatory features of basal levels compared to burst of (p)ppGpp. Those differences seem to be important even during bacterial infection, suggest</w:t>
      </w:r>
    </w:p>
    <w:p>
      <w:r>
        <w:t>POSSIBLE 2020: Performance Comparison of Gesture Recognition System Based on Different Classifiers — https://doi.org/10.1109/tcds.2020.2969297</w:t>
      </w:r>
    </w:p>
    <w:p>
      <w:r>
        <w:t>Shared claim-specific concepts: important, different, possible, based; EU scope not established. This is a provisional connection, not an outcome finding.</w:t>
      </w:r>
    </w:p>
    <w:p>
      <w:r>
        <w:t>Available abstract (not full text): The hand plays a very important role in our daily life, and the amputees suffer a lot from the loss of hands or upper limbs. Hence, assisting devices are desired urgently. Today, the prosthetic hands based on surface electromyography (sEMG) signals can recognize many hand gestures, but some problems still exist. To identify more gestures, some recognition systems require multiple electrodes, which are unable to be applied to the amputees with less residual muscles. Meanwhile, better computing performance is required as the number of electrodes increases, which is difficult to be applied to the real-time embedded systems. In this article, we aim to recognize six hand gestures by using sEMG sensors as little as possible. To realize this goal, we compare the accuracy and processing time of different feature extraction and classification methods offline, and the results indicate that the combination of time-domain features and backpropagation neural network has better performance. In total, nine subjects participated in the offline experiments, and the accuracy is up to 95.46% by employing two sEMG sensors to recognize six hand gestures.</w:t>
      </w:r>
    </w:p>
    <w:p>
      <w:r>
        <w:t>POSSIBLE 2019: Comparing different supervised machine learning algorithms for disease prediction — https://doi.org/10.1186/s12911-019-1004-8</w:t>
      </w:r>
    </w:p>
    <w:p>
      <w:r>
        <w:t>Shared claim-specific concepts: important, different, considered, data; EU scope not established. This is a provisional connection, not an outcome finding.</w:t>
      </w:r>
    </w:p>
    <w:p>
      <w:r>
        <w:t xml:space="preserve">Available abstract (not full text): BACKGROUND: Supervised machine learning algorithms have been a dominant method in the data mining field. Disease prediction using health data has recently shown a potential application area for these methods. This study ai7ms to identify the key trends among different types of supervised machine learning algorithms, and their performance and usage for disease risk prediction. METHODS: In this study, extensive research efforts were made to identify those studies that applied more than one supervised machine learning algorithm on single disease prediction. Two databases (i.e., Scopus and PubMed) were searched for different types of search items. Thus, we selected 48 articles in total for the comparison among variants supervised machine learning algorithms for disease prediction. RESULTS: We found that the Support Vector Machine (SVM) algorithm is applied most frequently (in 29 studies) followed by the Naïve Bayes algorithm (in 23 studies). However, the Random Forest (RF) algorithm showed superior accuracy comparatively. Of the 17 studies where it was applied, RF showed the highest accuracy in 9 of them, i.e., 53%. This was followed by SVM which topped in 41% of the studies it was considered. CONCLUSION: This study provides a wide overview of the relative performance of different variants of supervised machine learning algorithms for disease prediction. This important information </w:t>
      </w:r>
    </w:p>
    <w:p>
      <w:pPr>
        <w:pStyle w:val="Heading2"/>
      </w:pPr>
      <w:r>
        <w:t>What We Hope, What We Fear, What We Expect: Possible Scenarios for the Future of the Eurozone</w:t>
      </w:r>
    </w:p>
    <w:p>
      <w:r>
        <w:t>Original source (2012): https://doi.org/10.1007/s12290-012-0210-x</w:t>
      </w:r>
    </w:p>
    <w:p>
      <w:r>
        <w:t>Original wording (abstract; indexed_source_text_not_full_document_verified): Starting with the reforms of European economic governance hitherto agreed, this article develops three scenarios for the eurozone and explores their possible impact on the EU in general.</w:t>
      </w:r>
    </w:p>
    <w:p>
      <w:r>
        <w:t>POSSIBLE 2020: European Reform Movements and the Making of the International Congress, 1840–1860 — https://doi.org/10.1080/07075332.2020.1808506</w:t>
      </w:r>
    </w:p>
    <w:p>
      <w:r>
        <w:t>Shared claim-specific concepts: article, three, general; EU scope visible. This is a provisional connection, not an outcome finding.</w:t>
      </w:r>
    </w:p>
    <w:p>
      <w:r>
        <w:t>Available abstract (not full text): In historical research on internationalism and the international sphere, the rise of the international congress during the nineteenth century has long played a prominent role. This article investigates the making of the international congress as a phenomenon by comparing three early series of meetings – anti-slavery conventions, peace congresses and philanthropic congresses during the 1840 s and 1850 s – as communicative events. The analysis shows that their staging was influenced by the fact that these meetings were organised to mobilise reform movements, and that they relied on a public sphere where elite groups, gathered in the metropoles of Europe, could expect that their speeches would reach geographically dispersed audiences through print media. A general conclusion is that these meetings pioneered a new way of being international – called ‘representative internationality’ in the article – through how they were arranged as independent actors beyond local contexts that could both ‘speak for’ and ‘speak to’ different collectives.</w:t>
      </w:r>
    </w:p>
    <w:p>
      <w:r>
        <w:t>POSSIBLE 2019: Economic Reforms and the Burdens of Transition — https://doi.org/10.1017/9781108752466.005</w:t>
      </w:r>
    </w:p>
    <w:p>
      <w:r>
        <w:t>Shared claim-specific concepts: starting, reforms, eurozone; EU scope visible. This is a provisional connection, not an outcome finding.</w:t>
      </w:r>
    </w:p>
    <w:p>
      <w:r>
        <w:t>Available abstract (not full text): Starting from remarkable divergences and similarities of pathways into market liberalism, the chapter investigates progress and setbacks of economic reforms. The first section indicates key factors for divergences and similarities, the second section discusses the divergence of pathways of post-socialist capitalisms, the third, similarities, the fourth the results of economic reform paths until 2008, and the fifth the preliminary setback of the Eurozone crisis and its aftermath. As the title indicates, the necessary economic reforms in many countries of the region could be carried out only by measures that constituted a temporary burden for the population, such as unemployment, significant setback of household income, insecurities regarding pension provision, and labor migration. But the illusion of a better life, especially for the children, after a phase of hardship kept the ball rolling. In the first decade of the 2000s economic reforms showed positive results – not only in countries which became European Union member states but also in disadvantaged countries such as the West Balkan ones. The economic crisis caused by the Euro-American banking system in 2008 and after hit the countries of Central, Eastern, and Southeastern Europe comparatively hard. Paradoxically, the West Balkan states, chronic losers from transition, were harmed less – due to their low integration into th</w:t>
      </w:r>
    </w:p>
    <w:p>
      <w:r>
        <w:t>POSSIBLE 2018: Structural reforms in Europe: a comparative overview — https://doi.org/10.51952/9781447335870.ch002</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Structural reforms in Europe: a comparative overview — https://doi.org/10.1332/policypress/9781447335863.003.0002</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Structural reforms in Europe: a comparative overview — https://doi.org/10.56687/9781447335870-005</w:t>
      </w:r>
    </w:p>
    <w:p>
      <w:r>
        <w:t>Shared claim-specific concepts: starting, reforms; EU scope visible. This is a provisional connection, not an outcome finding.</w:t>
      </w:r>
    </w:p>
    <w:p>
      <w:r>
        <w:t>Available abstract (not full text): This chapter provides an overview of structural reforms (SRs) - measures to improve economic growth prospects and the ability of economies to adjust to economic shocks - introduced in Europe between 1999 and 2012 and, in particular, during the Great Recession (2008-12). Starting from two organising principles of contemporary welfare capitalism, namely investment and protection, the chapter proposes a new typology of SRs for a more detailed analysis of SRs trends in Europe. Through the analysis of reforms in five policy areas (labour market policies, pensions, education, innovation/R&amp;D, and public sector reforms) and across five country clusters pertaining to the different welfare/labour market regimes in Europe between 1999 and 2012 we address two key questions: Is there a common reform trend of a ‘race to the bottom’ in relation to social and employment rights? What has been the impact of the Great Recession: Do we see overall continuity or a shift between the pre- and post-crisis?</w:t>
      </w:r>
    </w:p>
    <w:p>
      <w:r>
        <w:t>POSSIBLE 2018: The Crisis of Functionalism and the Reform of European Economic Governance — https://doi.org/10.12797/politeja.12.2015.37.15</w:t>
      </w:r>
    </w:p>
    <w:p>
      <w:r>
        <w:t>Shared claim-specific concepts: reforms, governance, eurozone; EU scope visible. This is a provisional connection, not an outcome finding.</w:t>
      </w:r>
    </w:p>
    <w:p>
      <w:r>
        <w:t>Available abstract (not full text): This paper studies the impact of the sovereign debt crisis on the development of the process of European integration and the constitutional framework of the EU. The first section focuses on the causes of the sovereign debt crisis, analysing the structural deficits and weaknesses of the Economic and Monetary Union (EMU). The second section looks at the reforms, which have been progressively adopted by the Eurozone to overcome the crisis and prevent the collapse of the single currency. The third section reflects on the longstanding contradictions of the integration process, in terms of its legitimacy and effectiveness, which the crisis has definitely highlighted demanding an effective solution. In this regard, the paper argues that the sovereign debt crisis represents a turning point in the history of European unification, marking the limits of the functionalist approach of integration and demanding a re‑launch of the constitutional project in order to provide the monetary union with a veritable economic government.</w:t>
      </w:r>
    </w:p>
    <w:p>
      <w:r>
        <w:t>POSSIBLE 2018: Financial and Institutional Reforms for an Entrepreneurial Society — https://doi.org/10.1007/s11187-018-0001-0</w:t>
      </w:r>
    </w:p>
    <w:p>
      <w:r>
        <w:t>Shared claim-specific concepts: reforms, three; EU scope visible. This is a provisional connection, not an outcome finding.</w:t>
      </w:r>
    </w:p>
    <w:p>
      <w:r>
        <w:t>Available abstract (not full text): In this paper, we introduce the special issue on Financial and Institutional Reforms for an Entrepreneurial Society in Europe. There are many reasons for Europe to want to make the transition to a more Entrepreneurial Society. And for decades now, policy makers are trying to bring that transition about with variations on the “educate, deregulate and finance” approach to entrepreneurship. We argue that more fundamental reforms are required to improve the entrepreneurial ecosystem and bring about this transition. We then discuss the 12 contributions that pertain to five different facets of the entrepreneurial ecosystem. The first two papers address the most fundamental institutional foundations of the ecosystem. The next three papers discuss the (lack of) access to knowledge and incentives to start innovative entrepreneurial ventures. That is followed by three papers that focus on the institutions that (fail to) channel financial resources to such ventures and two papers that analyze the relevance of labor market institutions. The special issue concludes with two papers investigating how the interplay of institutions and productive entrepreneurship results in economic growth.</w:t>
      </w:r>
    </w:p>
    <w:p>
      <w:r>
        <w:t>POSSIBLE 2017: The reform of the European economic governance: critical aspects — https://openalex.org/W2786315619</w:t>
      </w:r>
    </w:p>
    <w:p>
      <w:r>
        <w:t>Shared claim-specific concepts: governance, agreed; EU scope visible. This is a provisional connection, not an outcome finding.</w:t>
      </w:r>
    </w:p>
    <w:p>
      <w:r>
        <w:t>Available abstract (not full text): This work has the ambition to show and analyse some of the critical aspects of the reform of the EU economic governance put in place in the wake of the sovereign debt crisis. The analysis starts from the very reasons which brought to the birth of EMU, from the failure of the international monetary system agreed in Bretton Woods to the Maastricht Treaty.</w:t>
      </w:r>
    </w:p>
    <w:p>
      <w:r>
        <w:t>POSSIBLE 2017: Reforming the European Union Emissions Trading System (EU ETS) — https://doi.org/10.14279/depositonce-5946</w:t>
      </w:r>
    </w:p>
    <w:p>
      <w:r>
        <w:t>Shared claim-specific concepts: governance, three; EU scope visible. This is a provisional connection, not an outcome finding.</w:t>
      </w:r>
    </w:p>
    <w:p>
      <w:r>
        <w:t>Available abstract (not full text): Given the need to reduce greenhouse gas emissions to decrease the risk of dangerous climate change, economists have often argued in favour of carbon pricing. Carbon pricing can essentially take two forms: an emissions trading system or a carbon tax. The European Union chose the former option and implemented the EU ETS in 2005, the first large scale carbon market. As a first mover in experimenting with such regulatory instruments, the EU ETS case offers qualitative and quantitative insights of foremost importance for emerging carbon markets worldwide. This thesis is divided into two parts. Part I provides ex-post learnings on the EU ETS price formation and policy design. Part II offers an ex-ante perspective by exploring the expansion of the European carbon market. Both parts pay particular attention to a central feature of the EU ETS: its political nature as a government created market. This institutional perspective on the EU ETS, which seeks to take into consideration the impact of politics and institutions on market functioning, is at the heart of this thesis. It brings a new lens to examine emissions trading as well as draws on the experience of other policy fields, notably monetary policy. Following the drop of permit prices in the EU ETS, intense discussions emerged on the need to and modality for reforming the market, which is the focus of Part I of this thesis. Yet, eva</w:t>
      </w:r>
    </w:p>
    <w:p>
      <w:r>
        <w:t>POSSIBLE 2016: THE REFORM OF NATIONAL SOCIAL-ECONOMIC SYSTEMS AND EUROPEAN REFORM — https://openalex.org/W4381135264</w:t>
      </w:r>
    </w:p>
    <w:p>
      <w:r>
        <w:t>Shared claim-specific concepts: starting, reforms; EU scope visible. This is a provisional connection, not an outcome finding.</w:t>
      </w:r>
    </w:p>
    <w:p>
      <w:r>
        <w:t>Available abstract (not full text): The paper proposes to analyze from a national and European perspective the reform possibilities of public policies which regard the social-economic sphere. We thus take into consideration the analysis of the public policies’ evolution regarding the health system, pensions system, demographic stimulation and the undertaking of key-structural reforms for economy and administration. Resources marked as necessary for a reform are burdened by new challenges emerged on the international agenda: a new economic crisis with starting point in China, managing evolutions on fuel markets, managing the refugees exodus situation which forces the European Union’s frontiers, etc. Establishing social-economic security at national level as well as in the European Union depends on the pragmatism of economic and social policies as well as on the courage to start a reform.</w:t>
      </w:r>
    </w:p>
    <w:p>
      <w:r>
        <w:t>POSSIBLE 2016: From National Enclaves to Supporting Offices: an Analysis of the 1999 Reform of European Commissioners’ Cabinets — https://doi.org/10.30950/jcer.v12i3.724</w:t>
      </w:r>
    </w:p>
    <w:p>
      <w:r>
        <w:t>Shared claim-specific concepts: reforms, article, three; EU scope visible. This is a provisional connection, not an outcome finding.</w:t>
      </w:r>
    </w:p>
    <w:p>
      <w:r>
        <w:t>Available abstract (not full text): This article analyses the transformation of European commissioners’ private offices (cabinets) from national enclaves to supporting offices. Structural changes were caused by a reform by then-Commission President Prodi in 1999. To analyse this reform, a typology based on management literature is developed. The reform is characterised as ‘big bang’: it was strategically planned by a leader, transformational and affected the entire cabinet system. The most important measures were that at least three nationalities and three Commission officials were required in cabinets. These and other measures anticipated changing demands towards cabinets caused by the 2004/7 enlargement and the Kinnock reforms. This article closes a gap in research on the Commission, in which cabinets are seldom analysed in their own right. It complements earlier evidence on change in cabinets by explaining why and how structural changes evoked a functional transformation. This contributes to the broader research agenda on change in the functioning of the Commission. Content analysis of primary sources (Prodi’s speeches and publications, expert interviews and a biographic database) and recent academic publications contribute to the analysis.</w:t>
      </w:r>
    </w:p>
    <w:p>
      <w:r>
        <w:t>POSSIBLE 2014: Reforming the European Union’s Common Fisheries Policy: Why was there a successful reform of the Common Fisheries Policy possible in 2013, after years of ineffective policy and unsuccessful attempts at reforms? — https://openalex.org/W1500832518</w:t>
      </w:r>
    </w:p>
    <w:p>
      <w:r>
        <w:t>Shared claim-specific concepts: reforms, agreed, possible; EU scope visible. This is a provisional connection, not an outcome finding.</w:t>
      </w:r>
    </w:p>
    <w:p>
      <w:r>
        <w:t>Available abstract (not full text): In January 2014 a reformed CFP came into force in the EU. The reformed policy tackled many of the policy field’s troubled areas and offered realistic solutions for elements of the policy which had been criticised for years by academics, stakeholders and even EU institutions. The purpose of this thesis is to explain how the reformed policy came about and in doing so it adopts a case study design which allows for an in-depth study of the policy field. The thesis’ material is primarily made up of official documents and secondary sources. In order to help clear up the complexities of the recent changes and understand the process involved, a theoretical framework was created that makes use of punctuated equilibrium theory, path dependency and the concept of policy windows. The paper’s findings suggest that the reforms which came into effect in 2014 are a part of a path dependent process that dates back to the 1990s. However, in order to place the CFP on this path, an event was required to rupture the equilibrium of the policy field. This destabilising event came about through international environmental negotiations at the UN. This would allow the European Commission to act as a policy entrepreneur and push for further reaching policy changes. However, for years the Council of Ministers withstood fundamental changes and a policy window was required to create the conditions where the</w:t>
      </w:r>
    </w:p>
    <w:p>
      <w:pPr>
        <w:pStyle w:val="Heading2"/>
      </w:pPr>
      <w:r>
        <w:t>Will climate change affect the electricity production sector? A European study</w:t>
      </w:r>
    </w:p>
    <w:p>
      <w:r>
        <w:t>Original source (2012): https://doi.org/10.2166/wcc.2012.066</w:t>
      </w:r>
    </w:p>
    <w:p>
      <w:r>
        <w:t>Original wording (abstract; indexed_source_text_not_full_document_verified): Depending on the scenario, water withdrawals in thermal electricity production would increase by 64% or decrease by 92% between 2005 and 2050. Hot spots identified in the Economy First scenario indicate increasing competition for freshwater resources for the thermal electricity production sector.</w:t>
      </w:r>
    </w:p>
    <w:p>
      <w:r>
        <w:t>POSSIBLE 2025: A data-driven framework for the temporal extrapolation of annual water withdrawals for hydrological modelling — https://doi.org/10.5194/egusphere-egu25-11405</w:t>
      </w:r>
    </w:p>
    <w:p>
      <w:r>
        <w:t>Shared claim-specific concepts: water, withdrawals, between, increasing, freshwater, resources; EU scope visible. This is a provisional connection, not an outcome finding.</w:t>
      </w:r>
    </w:p>
    <w:p>
      <w:r>
        <w:t>Available abstract (not full text): In the context of anthropogenic climate change and increasing pressure on water resources from human use, it is necessary to provide stakeholders with tools to quantify water availability under present and future conditions, and to guide public policy in water management. To this end, anthropogenic effects need to be integrated into hydrological modeling. One of the major challenges in modeling human-impacted hydrological systems is the quantification of water withdrawals at the appropriate temporal and spatial scales. Due to a general lack of direct observational data, these withdrawals must often be modeled. The strategy for data-based modeling of water withdrawals depends on the water use sector: irrigation is traditionally subject to a process-based approach, while public freshwater supply is often modelled using regression techniques. Recently, machine-learning techniques have been explored to model freshwater withdrawals and, in the irrigation sector, to identify drivers and, in rarer cases, to predict water withdrawals. In this study, we present a data-driven framework to quantify irrigation water with limited data. We illustrate our methodological development with an application over 74 non-nested catchments in France, where water withdrawals are documented based on declarations for a short historic period (since 2008) and at a coarse temporal resolution (annual volumes</w:t>
      </w:r>
    </w:p>
    <w:p>
      <w:r>
        <w:t>POSSIBLE 2024: Perspectives of Electricity Production from Biogas in the European Union — https://doi.org/10.3390/en17051169</w:t>
      </w:r>
    </w:p>
    <w:p>
      <w:r>
        <w:t>Shared claim-specific concepts: electricity, production, increase, decrease, first; EU scope visible. This is a provisional connection, not an outcome finding.</w:t>
      </w:r>
    </w:p>
    <w:p>
      <w:r>
        <w:t>Available abstract (not full text): Biogas is a renewable energy source (RES). The aim of this research was to analyze the perspectives of electricity production from biogas in the European Union. The main source of information was data from Eurostat. We analyzed electricity production from biogas in the European Union (EU). The scope of this research was data from 2012 to 2021. First, we presented biogas production by feedstock type across the world. Then, we presented changes in electricity production from biogas in the EU. We used different methods to evaluate the changes in biogas production. First, we used the ARiMA (Autoregressive Moving Average) model to evaluate the stationarity of the time series. Our electricity production from biogas data proved to be stationary. Second, we elaborated on the prognosis of future changes in electricity production from biogas. The largest producer of biogas is the EU, and it is produced from crops, animal manure, and municipal solid waste. Our research found that the largest production from biogas in 2021 took place in Germany, Italy, and France. These countries have the greatest potential for electricity production from biogas, and they have spent significant funds on facilities and technology. Such countries as Ireland, Greece, Spain, France, Croatia, Poland, Portugal, Romania, Finland, and Sweden increased their electricity production from biogas in 2021 compared to 20</w:t>
      </w:r>
    </w:p>
    <w:p>
      <w:r>
        <w:t>POSSIBLE 2024: Changes in Gross Nuclear Electricity Production in the European Union — https://doi.org/10.3390/en17143554</w:t>
      </w:r>
    </w:p>
    <w:p>
      <w:r>
        <w:t>Shared claim-specific concepts: electricity, production, increase, increasing; EU scope visible. This is a provisional connection, not an outcome finding.</w:t>
      </w:r>
    </w:p>
    <w:p>
      <w:r>
        <w:t xml:space="preserve">Available abstract (not full text): Economic development requires a constant supply of energy. The utilization of fossil fuels causes environmental pollution and greenhouse gas emissions. The effects of fossil fuel use have impacted global warming, which may affect the world. The problem of environmental degradation can be decreased by using renewable energy sources and nuclear energy. The role of nuclear energy is increasing. More than 10% of electric energy is now produced from nuclear energy worldwide. However, the share varies by country. For example, in France, it is 70%, in Slovakia, it is 55%, and in Ukraine, it is 53%. Many countries do not have nuclear energy at all. This study aims to investigate the development of gross nuclear electricity production both in the world and in the European Union (EU) in terms of stationarity and prognosis. To achieve the goal of this study, the authors utilized descriptive statistics. The time range included the period 1990–2022. This long time period enabled us to conduct the ADF (Augmented Dickey Fuller) test. According to our analysis, gross nuclear electricity production in the European Union (EU) was stationary. We also evaluated future prognosis using the ARIMA (Autoregressive Moving Average) model. We also used the Vector Autoregressive (VAR) model to evaluate changes within nuclear electricity production. Based on our research, we can conclude that the data were </w:t>
      </w:r>
    </w:p>
    <w:p>
      <w:r>
        <w:t>POSSIBLE 2023: Low flow sensitivity to water withdrawals in Central and Southwestern Europe under 2 K global warming — https://doi.org/10.1088/1748-9326/acec60</w:t>
      </w:r>
    </w:p>
    <w:p>
      <w:r>
        <w:t>Shared claim-specific concepts: water, withdrawals, decrease, freshwater; EU scope visible. This is a provisional connection, not an outcome finding.</w:t>
      </w:r>
    </w:p>
    <w:p>
      <w:r>
        <w:t>Available abstract (not full text): Abstract A sufficient freshwater supply is vital for humans, ecosystems, and economies, but anticipated climate and socio-economic change are expected to substantially alter water availability. Across Europe, about two-third of the abstracted freshwater comes from rivers and streams. Various hydrological studies address the resulting need for projections on changes in river discharge. However, those assessments rarely specifically account for the impact of various water withdrawal scenarios during low flow periods. We present here a novel, high-resolution hydrological modeling experiment using pseudo-global warming climate data to investigate the effects of changing water withdrawals under 2 K global warming. Especially in Western and Central Europe the projected impacts on low flows highly depend on the chosen water withdrawal assumption and can severely decrease under the worst case assumptions. Our results highlight the importance of accounting for future water withdrawals in low flow projections, showing that climate-focused impact assessments in near-natural catchments provide only one piece of the anticipated response and do not necessarily reflect changes in heavily managed river basins.</w:t>
      </w:r>
    </w:p>
    <w:p>
      <w:r>
        <w:t>POSSIBLE 2023: Simulated discharge statistics in Central and Southwestern Europe considering water use under 2K global warming — https://doi.org/10.5281/zenodo.8132867</w:t>
      </w:r>
    </w:p>
    <w:p>
      <w:r>
        <w:t>Shared claim-specific concepts: water, withdrawals, between, resources; EU scope visible. This is a provisional connection, not an outcome finding.</w:t>
      </w:r>
    </w:p>
    <w:p>
      <w:r>
        <w:t>Available abstract (not full text): We provide a novel, high-resolution hydrological modelling dataset using pseudo-global warming climate data as forcing to the Community Water Model (CWatM). CWatM is a state-of-the-art large-scale rainfall-runoff and channel routing water resources model that is process-based and used to quantify water supply, as well as human water withdrawals from different sectors (industry, domestic, agriculture) and multiple sources representing the effects of water infrastructure, including reservoirs, groundwater pumping and irrigation canals. CWatM is forced by a pseudo-global warming (PGW) experiment from 1981 to 2010. PGW simulations resemble historical weather patterns and events under globally warmer conditions (here, 2 K global warming) by perturbing historical, reanalysis-driven regional climate simulations. We performed simulations considering regular incremental adjustments of the historical water withdrawals (ranging between +/- 50% of historic water withdrawals) under PGW conditions. That range represents an ad hoc and simplified representation of multiple possible future water management scenarios across Southwestern and Central Europe. The approach allows us to investigate the effects of changing water withdrawals under 2 K global warming. Especially in Western and Central Europe, the projected impacts on low flows highly depend on the chosen water withdrawal assumption. The</w:t>
      </w:r>
    </w:p>
    <w:p>
      <w:r>
        <w:t>POSSIBLE 2023: Gone with the clouds: Estimating the electricity and water footprint of digital data services in Europe — https://doi.org/10.1016/j.enconman.2023.117225</w:t>
      </w:r>
    </w:p>
    <w:p>
      <w:r>
        <w:t>Shared claim-specific concepts: water, electricity, increase, increasing; EU scope visible. This is a provisional connection, not an outcome finding.</w:t>
      </w:r>
    </w:p>
    <w:p>
      <w:r>
        <w:t>Available abstract (not full text): Cloud and data services have experienced a constant increase in demand ever since their availability. Whether for computing of complex models, digital data storage, blockchain transactions or digital service hosting, digital data is having an increasingly important role in society. However, with the increasing presence of data centers, not only the availability and quality of cloud and data services increases, but also the demand for electricity and water by the digital services industry. This work aims to provide an estimation for the current and future water consumption of digital data services in Europe from 2022 to 2030. The projection considers European trends for population, data services consumption, technological development, data transmission and energy consumption among other factors. Publicly available data was combined with literature research to extrapolate the development of digital data usage in Europe until 2030. The results demonstrate that from 273.4 to 820.1 million cubic meters of water and from 56.3 to 169 Terawatt-hour of electricity will be consumed yearly in Europe in 2030 for internet usage.</w:t>
      </w:r>
    </w:p>
    <w:p>
      <w:r>
        <w:t>POSSIBLE 2023: The water, land, and carbon intensity of electricity production: The case of South Africa — https://doi.org/10.1016/j.jclepro.2023.136945</w:t>
      </w:r>
    </w:p>
    <w:p>
      <w:r>
        <w:t>Shared claim-specific concepts: water, electricity, production, increase, decrease, resources; EU scope not established. This is a provisional connection, not an outcome finding.</w:t>
      </w:r>
    </w:p>
    <w:p>
      <w:r>
        <w:t>Available abstract (not full text): Electricity production has a significant impact on the Water-Energy-Food nexus sectors as it requires substantial amounts of water and land, whilst also being a primary polluter of these resources. In addition, electricity production is a key contributor to global carbon emissions . With electricity production predicted to increase by over 50% by 2050, the impact of electricity production on water and land resources , as well as on carbon emissions , will need to be significantly reduced. This is particularly important in countries facing water, energy, and food scarcity and insecurity, such as South Africa . This paper therefore investigates the impact of electricity production on the Water-Energy-Food nexus sectors and on carbon emissions in South Africa. To do this, we conduct a lifecycle assessment of the water and land required for electricity production, as well as its carbon emissions in South Africa, by electricity source, and under key scenarios. The results from the Integrated Resource Plan 2030 scenario show that despite a 34% increase in electricity production targeted from 2018 to 2030 in South Africa, the water and land requirements, and the carbon emissions of electricity production would decrease by 29%, 9%, and 5.5%, respectively. Compared to the Business-as-Usual 2030 scenario, it was shown that the water and land requirements and carbon emissions of electrici</w:t>
      </w:r>
    </w:p>
    <w:p>
      <w:r>
        <w:t>POSSIBLE 2023: Optimizing biomass pathways to bioenergy and biochar application in electricity generation, biodiesel production, and biohydrogen production — https://doi.org/10.1007/s10311-023-01613-2</w:t>
      </w:r>
    </w:p>
    <w:p>
      <w:r>
        <w:t>Shared claim-specific concepts: electricity, production, increase; EU scope not established. This is a provisional connection, not an outcome finding.</w:t>
      </w:r>
    </w:p>
    <w:p>
      <w:r>
        <w:t>Available abstract (not full text): Abstract The current energy crisis, depletion of fossil fuels, and global climate change have made it imperative to find alternative sources of energy that are both economically sustainable and environmentally friendly. Here we review various pathways for converting biomass into bioenergy and biochar and their applications in producing electricity, biodiesel, and biohydrogen. Biomass can be converted into biofuels using different methods, including biochemical and thermochemical conversion methods. Determining which approach is best relies on the type of biomass involved, the desired final product, and whether or not it is economically sustainable. Biochemical conversion methods are currently the most widely used for producing biofuels from biomass, accounting for approximately 80% of all biofuels produced worldwide. Ethanol and biodiesel are the most prevalent biofuels produced via biochemical conversion processes. Thermochemical conversion is less used than biochemical conversion, accounting for approximately 20% of biofuels produced worldwide. Bio-oil and syngas, commonly manufactured from wood chips, agricultural waste, and municipal solid waste, are the major biofuels produced by thermochemical conversion. Biofuels produced from biomass have the potential to displace up to 27% of the world's transportation fuel by 2050, which could result in a reduction in greenhouse gas e</w:t>
      </w:r>
    </w:p>
    <w:p>
      <w:r>
        <w:t>POSSIBLE 2022: 21st Century water withdrawal decoupling: A pathway to a more water-wise world? — https://doi.org/10.1016/j.wre.2022.100197</w:t>
      </w:r>
    </w:p>
    <w:p>
      <w:r>
        <w:t>Shared claim-specific concepts: water, withdrawals, increase, increasing, resources; EU scope not established. This is a provisional connection, not an outcome finding.</w:t>
      </w:r>
    </w:p>
    <w:p>
      <w:r>
        <w:t>Available abstract (not full text): Human demand for adequate water resources and supplies has been and will continue to be a fundamental issue in the 21st century due to rapid population growth, growing economies and globalization, and increasing water pollution, among others. Water withdrawals in regions which are already encountering scarcity will impose intensifying pressure on water resources locally and globally, threatening the achievement of long-term sustainable development targets. Decoupling has increasingly been recognized and incorporated in policy making as a way to reconcile limitless economic growth with environmental pressures. Filling evident literature gaps, the current state and projected future decoupling factors of water withdrawals in relation to GDP are assessed through decoupling and regression analyzes for 155 countries and 12 potential socioeconomic development pathway scenarios. Findings suggest that average levels of water withdrawal decoupling are moderate in 2025 but will increase throughout the century in all countries. By 2075, average water withdrawal decoupling becomes common and widespread, with high decoupling factors across the world. Yet, some countries and regions will continue to lag behind in this development. GDP growth is the most significant driver of water withdrawals. Climate and regional differences among countries are major influential factors on decoupling outcome</w:t>
      </w:r>
    </w:p>
    <w:p>
      <w:r>
        <w:t>POSSIBLE 2022: The delusive accuracy of global irrigation water withdrawal estimates — https://doi.org/10.1038/s41467-022-30731-8</w:t>
      </w:r>
    </w:p>
    <w:p>
      <w:r>
        <w:t>Shared claim-specific concepts: water, withdrawals, freshwater; EU scope not established. This is a provisional connection, not an outcome finding.</w:t>
      </w:r>
    </w:p>
    <w:p>
      <w:r>
        <w:t>Available abstract (not full text): Miscalculating the volumes of water withdrawn for irrigation, the largest consumer of freshwater in the world, jeopardizes sustainable water management. Hydrological models quantify water withdrawals, but their estimates are unduly precise. Model imperfections need to be appreciated to avoid policy misjudgements.</w:t>
      </w:r>
    </w:p>
    <w:p>
      <w:r>
        <w:t>POSSIBLE 2021: Irrigated areas drive irrigation water withdrawals — https://doi.org/10.1038/s41467-021-24508-8</w:t>
      </w:r>
    </w:p>
    <w:p>
      <w:r>
        <w:t>Shared claim-specific concepts: water, withdrawals, freshwater, resources; EU scope not established. This is a provisional connection, not an outcome finding.</w:t>
      </w:r>
    </w:p>
    <w:p>
      <w:r>
        <w:t>Available abstract (not full text): A sustainable management of global freshwater resources requires reliable estimates of the water demanded by irrigated agriculture. This has been attempted by the Food and Agriculture Organization (FAO) through country surveys and censuses, or through Global Models, which compute irrigation water withdrawals with sub-models on crop types and calendars, evapotranspiration, irrigation efficiencies, weather data and irrigated areas, among others. Here we demonstrate that these strategies err on the side of excess complexity, as the values reported by FAO and outputted by Global Models are largely conditioned by irrigated areas and their uncertainty. Modelling irrigation water withdrawals as a function of irrigated areas yields almost the same results in a much parsimonious way, while permitting the exploration of all model uncertainties. Our work offers a robust and more transparent approach to estimate one of the most important indicators guiding our policies on water security worldwide.</w:t>
      </w:r>
    </w:p>
    <w:p>
      <w:r>
        <w:t>POSSIBLE 2021: Global water scarcity including surface water quality and expansions of clean water technologies — https://doi.org/10.1088/1748-9326/abbfc3</w:t>
      </w:r>
    </w:p>
    <w:p>
      <w:r>
        <w:t>Shared claim-specific concepts: water, withdrawals, increase; EU scope not established. This is a provisional connection, not an outcome finding.</w:t>
      </w:r>
    </w:p>
    <w:p>
      <w:r>
        <w:t xml:space="preserve">Available abstract (not full text): Abstract Water scarcity threatens people in various regions, and has predominantly been studied from a water quantity perspective only. Here we show that global water scarcity is driven by both water quantity and water quality issues, and quantify expansions in clean water technologies (i.e. desalination and treated wastewater reuse) to ‘reduce the number of people suffering from water scarcity’ as urgently required by UN’s Sustainable Development Goal 6. Including water quality (i.e. water temperature, salinity, organic pollution and nutrients) contributes to an increase in percentage of world’s population currently suffering from severe water scarcity from an annual average of 30% (22%–35% monthly range; water quantity only) to 40% (31%–46%; both water quantity and quality). Water quality impacts are in particular high in severe water scarcity regions, such as in eastern China and India. In these regions, excessive sectoral water withdrawals do not only contribute to water scarcity from a water quantity perspective, but polluted return flows degrade water quality, exacerbating water scarcity. We show that expanding desalination (from 2.9 to 13.6 billion m 3 month −1 ) and treated wastewater uses (from 1.6 to 4.0 billion m 3 month −1 ) can strongly reduce water scarcity levels and the number of people affected, especially in Asia, although the side effects (e.g. brine, energy </w:t>
      </w:r>
    </w:p>
    <w:p>
      <w:pPr>
        <w:pStyle w:val="Heading2"/>
      </w:pPr>
      <w:r>
        <w:t>‘Energy landscapes’: Meeting energy demands and human aspirations</w:t>
      </w:r>
    </w:p>
    <w:p>
      <w:r>
        <w:t>Original source (2012): https://doi.org/10.1016/j.biombioe.2012.11.022</w:t>
      </w:r>
    </w:p>
    <w:p>
      <w:r>
        <w:t>Original wording (abstract; indexed_source_text_not_full_document_verified): A critical question considered in this article is whether a massive expansion in the use of biomass will allow us to construct future scenarios while repositioning the 'energy landscape' as an object of study.</w:t>
      </w:r>
    </w:p>
    <w:p>
      <w:r>
        <w:t>POSSIBLE 2024: The effects of critical questions on undergraduate students' argumentative writing — https://doi.org/10.58088/bfrb-jk48</w:t>
      </w:r>
    </w:p>
    <w:p>
      <w:r>
        <w:t>Shared claim-specific concepts: critical, whether, use; EU scope not established. This is a provisional connection, not an outcome finding.</w:t>
      </w:r>
    </w:p>
    <w:p>
      <w:r>
        <w:t>Available abstract (not full text): Despite the established importance of writing, many students have difficulty writing proficiently (Ann Rogers &amp; Graham, 2008; Graham &amp; Perin, 2007). This study was designed to assess whether the provision of argumentative writing goals focusing on revision affected the quality of college students’ first drafts and revised essays. In addition, I investigated whether participants’ keyboarding fluency was related to essay quality. Participants first completed a typing-speed test and wrote argumentative essays. Then, they were asked to revise and write another essay on a different topic after receiving either a general goal, a genre-specific elaborated goal, a goal that included critical questions about two argumentation strategies, or a goal that incorporated the elaborated goal and critical questions. College students’ keyboarding fluency was found to be positively correlated with the quality of their argumentative essays. Compared to students who were given a general goal, those who received the elaborated goal, critical questions, or the incorporation of the elaborated goal and critical questions wrote revised essays of higher quality. Additionally, students who received the elaborated goal and the incorporation of the elaborated goal and critical conditions wrote essays that included more rebuttals, alternative standpoints, and reasons for alternative standpoints. Argumentatio</w:t>
      </w:r>
    </w:p>
    <w:p>
      <w:r>
        <w:t>POSSIBLE 2024: Critical-Questions-of-Thought: Steering LLM reasoning with Argumentative Querying — https://doi.org/10.48550/arxiv.2412.15177</w:t>
      </w:r>
    </w:p>
    <w:p>
      <w:r>
        <w:t>Shared claim-specific concepts: critical, whether, use; EU scope not established. This is a provisional connection, not an outcome finding.</w:t>
      </w:r>
    </w:p>
    <w:p>
      <w:r>
        <w:t>Available abstract (not full text): Studies have underscored how, regardless of the recent breakthrough and swift advances in AI research, even state-of-the-art Large Language models (LLMs) continue to struggle when performing logical and mathematical reasoning. The results seem to suggest that LLMs still work as (highly advanced) data pattern identifiers, scoring poorly when attempting to generalise and solve reasoning problems the models have never previously seen or that are not close to samples presented in their training data. To address this compelling concern, this paper makes use of the notion of critical questions from the literature on argumentation theory, focusing in particular on Toulmin's model of argumentation. We show that employing these critical questions can improve the reasoning capabilities of LLMs. By probing the rationale behind the models' reasoning process, the LLM can assess whether some logical mistake is occurring and correct it before providing the final reply to the user prompt. The underlying idea is drawn from the gold standard of any valid argumentative procedure: the conclusion is valid if it is entailed by accepted premises. Or, to paraphrase such Aristotelian principle in a real-world approximation, characterised by incomplete information and presumptive logic, the conclusion is valid if not proved otherwise. This approach successfully steers the models' output through a reason</w:t>
      </w:r>
    </w:p>
    <w:p>
      <w:r>
        <w:t>POSSIBLE 2024: Wireless 6G Connectivity for Massive Number of Devices and Critical Services — https://doi.org/10.1109/jproc.2024.3484529</w:t>
      </w:r>
    </w:p>
    <w:p>
      <w:r>
        <w:t>Shared claim-specific concepts: critical, article, massive; EU scope not established. This is a provisional connection, not an outcome finding.</w:t>
      </w:r>
    </w:p>
    <w:p>
      <w:r>
        <w:t>Available abstract (not full text): Compared to the generations up to 4G, whose main focus was on broadband and coverage aspects, 5G has expanded the scope of wireless cellular systems toward embracing two new types of connectivity: massive machine-type communications (mMTCs) and ultrareliable low-latency communications (URLLCs). This article discusses the possible evolution of these two types of connectivity within the umbrella of 6G wireless systems. This article consists of three parts. The first part deals with the connectivity for a massive number of devices. While mMTC research in 5G predominantly focuses on the problem of uncoordinated access in the uplink for a large number of devices, the traffic patterns in 6G may become more symmetric, leading to closed-loop massive connectivity. One of the drivers for this type of traffic pattern is distributed/decentralized learning and inference. The second part of this article discusses the evolution of wireless connectivity for critical services. While latency and reliability are tightly coupled in 5G, 6G will support a variety of safety-critical control applications with different types of timing requirements, as evidenced by the emergence of metrics related to information freshness and information value. In addition, ensuring ultrahigh reliability for safety-critical control applications requires modeling and estimation of the tail statistics of the wireless cha</w:t>
      </w:r>
    </w:p>
    <w:p>
      <w:r>
        <w:t>POSSIBLE 2024: Moduli space of logarithmic states in critical massive gravities — https://doi.org/10.1140/epjc/s10052-024-12614-y</w:t>
      </w:r>
    </w:p>
    <w:p>
      <w:r>
        <w:t>Shared claim-specific concepts: critical, massive, allow; EU scope not established. This is a provisional connection, not an outcome finding.</w:t>
      </w:r>
    </w:p>
    <w:p>
      <w:r>
        <w:t>Available abstract (not full text): Abstract We take new algebraic and geometric perspectives on the combinatorial results recently obtained on the partition functions of critical massive gravities conjectured to be dual to Logarithmic CFTs through the AdS $$_3$$ 3 /LCFT $$_2$$ 2 correspondence. We show that the partition functions of logarithmic states can be expressed in terms of Schur polynomials. Subsequently, we show that the moduli space of the logarithmic states is the symmetric product $$S^n\left( {\mathbb {C}}^2 \right) $$ S n C 2 . As the quotient of an affine space by the symmetric group, this orbifold space is shown to be described by Hilbert series that have palindromic numerators. The palindromic properties of the Hilbert series indicate that the orbifolds are Calabi-Yau, and allow for a new interpretation of the logarithmic state spaces in critical massive gravities as Calabi-Yau singular spaces.</w:t>
      </w:r>
    </w:p>
    <w:p>
      <w:r>
        <w:t>POSSIBLE 2023: Bridging dialogic pedagogy and argumentation theory through critical questions — https://doi.org/10.5195/dpj.2023.548</w:t>
      </w:r>
    </w:p>
    <w:p>
      <w:r>
        <w:t>Shared claim-specific concepts: critical, considered, article, construct; EU scope not established. This is a provisional connection, not an outcome finding.</w:t>
      </w:r>
    </w:p>
    <w:p>
      <w:r>
        <w:t>Available abstract (not full text): This article explores the relationship between argumentation theory and dialogic pedagogy. Arguments made in everyday discourse tend to be enthymematic, i.e., containing implicit premises. Thus, dialogue is often necessary to uncover hidden assumptions. Furthermore, evaluating logical arguments involves dialectical and dialogic processes. We articulate the role of critical questions in this process and present the Critical Questions Model of Argument Assessment (CQMAA) as a (mostly) comprehensive framework for evaluating arguments. Students can be taught to ask and discuss these critical questions. Yet to facilitate and sustain discussion of these questions, teachers need additional tools drawn from dialogic pedagogy. We draw on Robin Alexander’s conceptual framework for this purpose as well as Michaels and O’Connor’s work on Academically Productive Talk. Alexander’s framework includes six pedagogical principles and eight repertoires of talk. We focus specifically on teacher and student talk moves and propose that critical questions should be considered an important subset of productive talk moves that can bring rigor and purpose to classroom argumentation. Other talk moves are also needed to help students construct arguments, listen and engage with one another, and help sustain discussion of the critical questions. The CQMAA provides both a theoretical and practical link betwe</w:t>
      </w:r>
    </w:p>
    <w:p>
      <w:r>
        <w:t>POSSIBLE 2023: ‘And yet’ … Critical questions, complicated conversations: curating a TYA curriculum — https://doi.org/10.1080/13569783.2023.2232734</w:t>
      </w:r>
    </w:p>
    <w:p>
      <w:r>
        <w:t>Shared claim-specific concepts: critical, considered, article; EU scope not established. This is a provisional connection, not an outcome finding.</w:t>
      </w:r>
    </w:p>
    <w:p>
      <w:r>
        <w:t>Available abstract (not full text): Can critical questions and complicated conversations addressing issues of representation, difference, and witnessing be positioned at the centre of a TYA curriculum? This article examines contemporary, issue-based and culturally specific TYA scripts. In addition, a collection of aesthetic representations are offered as dynamic prompts to help further provoke dialogue across difference, and to invite different forms of knowing and knowledge into our shared TYA spaces. These curated sources are considered alongside the wisdom of Elie Wiesel, Johnston’s ‘Slow Curation’, Lauzon’s ‘Cultural Intimacy’, and Rothberg’s ‘Multidirectional Memory’ concepts in the effort to welcome and sustain relationships across multiple and challenging contexts.</w:t>
      </w:r>
    </w:p>
    <w:p>
      <w:r>
        <w:t>POSSIBLE 2022: A Network of Argumentation Schemes and Critical Questions — https://doi.org/10.22329/il.v42i4.6877</w:t>
      </w:r>
    </w:p>
    <w:p>
      <w:r>
        <w:t>Shared claim-specific concepts: critical, use, construct; EU scope not established. This is a provisional connection, not an outcome finding.</w:t>
      </w:r>
    </w:p>
    <w:p>
      <w:r>
        <w:t>Available abstract (not full text): In this paper, we devise a network that consists of argumentation schemes and critical questions that participants in debates can use to easily construct arguments that attack or support former arguments. As a prototype, we build a potential network of argumentation schemes and critical questions with a practical reasoning scheme at its center. The usefulness of a NASCQ in constructing and reconstructing complex arguments and in formal argumentation is also explored along with argumentation more broadly.</w:t>
      </w:r>
    </w:p>
    <w:p>
      <w:r>
        <w:t>POSSIBLE 2020: Massive islands — https://doi.org/10.1007/jhep09(2020)121</w:t>
      </w:r>
    </w:p>
    <w:p>
      <w:r>
        <w:t>Shared claim-specific concepts: question, massive, use; EU scope not established. This is a provisional connection, not an outcome finding.</w:t>
      </w:r>
    </w:p>
    <w:p>
      <w:r>
        <w:t>Available abstract (not full text): A bstract We comment on the role of the graviton mass in recent calculations of the Page curve using holographic ideas. All reliable calculations of the Page curve in more than 2+1 spacetime dimensions have been performed in systems with massive gravitons. A crucial ingredient in these calculations is the formation of islands, regions that contribute to the entropy of degrees of freedom located elsewhere. While most often simply ignored, it is indeed true that mass of the graviton does not appear to significantly affect the calculations that appeared in the literature. We use the freedom to change the graviton mass to give an extremely simple model of analytically tractable island formation in general dimensions. We do however note that if one attempts to take the limit of zero graviton mass, any contribution from the islands disappears. This raises the question to what extent entanglement islands can play a role in standard massless gravity.</w:t>
      </w:r>
    </w:p>
    <w:p>
      <w:r>
        <w:t>POSSIBLE 2019: Facial recognition technology in schools: critical questions and concerns — https://doi.org/10.1080/17439884.2020.1686014</w:t>
      </w:r>
    </w:p>
    <w:p>
      <w:r>
        <w:t>Shared claim-specific concepts: critical, question, article, whether; EU scope not established. This is a provisional connection, not an outcome finding.</w:t>
      </w:r>
    </w:p>
    <w:p>
      <w:r>
        <w:t>Available abstract (not full text): Facial recognition technology is now being introduced across various aspects of public life. This includes the burgeoning integration of facial recognition and facial detection into compulsory schooling to address issues such as campus security, automated registration and student emotion detection. So far, these technologies have largely been seen as routine additions to school systems with already extensive cultures of monitoring and surveillance. While critical commentators are beginning to question the pedagogical limitations of facially driven learning, other this article contends that school-based facial recognition presents a number of other social challenges and concerns that merit specific attention. This includes the likelihood of facial recognition technology altering the nature of schools and schooling along divisive, authoritarian and oppressive lines. Against this background, the article considers whether or not a valid case can ever be made for allowing this form of technology in schools.</w:t>
      </w:r>
    </w:p>
    <w:p>
      <w:r>
        <w:t>POSSIBLE 2018: Some critical questions — https://doi.org/10.4324/9780429431333-4</w:t>
      </w:r>
    </w:p>
    <w:p>
      <w:r>
        <w:t>Shared claim-specific concepts: critical, question, considered, whether; EU scope not established. This is a provisional connection, not an outcome finding.</w:t>
      </w:r>
    </w:p>
    <w:p>
      <w:r>
        <w:t>Available abstract (not full text): This chapter is concerned with the main questions that should be asked about social work recording, including some already raised in the literature. N. S. Dumas has asked such a question in connection with the American Rehabilitation Service. He indicated that the answer depended on whether or not the following assumptions held good: that the critical deficiency under which most rehabilitation workers operate is the lack of relevant information and that better communication among rehabilitation personnel improve organizational performances. Ada Eliot Sheffield identified the topical and chronological organization of the narrative. Sheffield saw some advantages of chronological recording. Discussions of recording in methods of work other than social casework are by no means numerous, but it is clear that recording is considered of very great importance in groupwork, community work and residential work. George W. Goetschius offers one way of recording in community work, but suggests exhaustively that systems of recording will differ according to agency policy, and field-work circumstances.</w:t>
      </w:r>
    </w:p>
    <w:p>
      <w:r>
        <w:t>POSSIBLE 2017: On Critical Service Recovery After Massive Network Failures — https://doi.org/10.1109/tnet.2017.2688330</w:t>
      </w:r>
    </w:p>
    <w:p>
      <w:r>
        <w:t>Shared claim-specific concepts: critical, massive, use; EU scope not established. This is a provisional connection, not an outcome finding.</w:t>
      </w:r>
    </w:p>
    <w:p>
      <w:r>
        <w:t>Available abstract (not full text): This paper addresses the problem of efficiently restoring sufficient resources in a communications network to support the demand of mission critical services after a large-scale disruption. We give a formulation of the problem as a mixed integer linear programming and show that it is NP-hard. We propose a polynomial time heuristic, called iterative split and prune (ISP) that decomposes the original problem recursively into smaller problems, until it determines the set of network components to be restored. ISP's decisions are guided by the use of a new notion of demand-based centrality of nodes. We performed extensive simulations by varying the topologies, the demand intensity, the number of critical services, and the disruption model. Compared with several greedy approaches, ISP performs better in terms of total cost of repaired components, and does not result in any demand loss. It performs very close to the optimal when the demand is low with respect to the supply network capacities, thanks to the ability of the algorithm to maximize sharing of repaired resources.</w:t>
      </w:r>
    </w:p>
    <w:p>
      <w:r>
        <w:t>POSSIBLE 2017: Critical discussions on the Massive Open Online Course (MOOC) in India and China — https://openalex.org/W2780843825</w:t>
      </w:r>
    </w:p>
    <w:p>
      <w:r>
        <w:t>Shared claim-specific concepts: critical, article, massive; EU scope not established. This is a provisional connection, not an outcome finding.</w:t>
      </w:r>
    </w:p>
    <w:p>
      <w:r>
        <w:t>Available abstract (not full text): Massive Open Online Courses (MOOCs) have been a relatively recent entrant in the field of online learning, yet with their “massiveness” and “openness” were posited to have the potential to transform learning and development in developing countries by providing willing learners with ready access to knowledge and Higher Education (HE). Early research has shown that MOOCs have mostly been deepening, rather than broadening, access to education. Yet they have strengthened in numbers since their inception. The current article situates the discourse around MOOCs from the unique perspectives of India and China with three broad objectives of sharing MOOC development in these countries, conducting a high-level discussion of the potential value of MOOCs for their HE systems and critiquing current issues with MOOC development there. This discussion is timely, since MOOC discourse in the international literature has swung between trumpeting MOOCs as “disruptive” technologies to warning of the “MOOC delusion”. We find that the concept and practice of MOOC in India and China are emerging. From the supply side, there is a need to focus on sound design, quality and accessible delivery, multi-lingual facilitation and efficient regulation of MOOC-credits, besides development of critical literacies for MOOCs in learners to realize the potential and promise of the MOOC.</w:t>
      </w:r>
    </w:p>
    <w:p>
      <w:pPr>
        <w:pStyle w:val="Heading2"/>
      </w:pPr>
      <w:r>
        <w:t>Actual and potential development of consumer demand on the organic food market in Europe</w:t>
      </w:r>
    </w:p>
    <w:p>
      <w:r>
        <w:t>Original source (2011): https://doi.org/10.1016/j.njas.2011.01.005</w:t>
      </w:r>
    </w:p>
    <w:p>
      <w:r>
        <w:t>Original wording (abstract; indexed_source_text_not_full_document_verified): A likely scenario for future demand is that of continued stable expansion, dependent upon whether increasing input costs will favour organic production, whether the relative gap between organic and conventional food prices becomes smaller, whether organic products will be distributed more widely on national markets, and whether support for research and conversion of organic production systems on the part of public authorities is enhanced.</w:t>
      </w:r>
    </w:p>
    <w:p>
      <w:r>
        <w:t>POSSIBLE 2025: Continuing recovery of wolves in Europe — https://doi.org/10.1371/journal.pstr.0000158</w:t>
      </w:r>
    </w:p>
    <w:p>
      <w:r>
        <w:t>Shared claim-specific concepts: increasing, distributed; EU scope visible. This is a provisional connection, not an outcome finding.</w:t>
      </w:r>
    </w:p>
    <w:p>
      <w:r>
        <w:t>Available abstract (not full text): The recovery of wolves ( Canis lupus ) across Europe is a notable conservation success in a region with extensive human alteration of landscapes and high human population densities. We provide a comprehensive update on wolf populations in Europe, estimated at over 21,500 individuals by 2022, representing a 58% increase over the past decade. Despite the challenges of high human densities and significant land use for agriculture, industry, and urbanization, wolves have demonstrated remarkable adaptability and increasing population trends in most European countries. Improved monitoring techniques, although varying in quality and scope, have played a crucial role in tracking this recovery. Annually, wolves kill approximately 56,000 domestic animals in the EU, a risk unevenly distributed and differently handled across regions. Damage compensation costs 17 million EUR every year to European countries. Positive economic impacts from wolf presence, such as those related to reducing traffic accidents with wild ungulates or supporting wildlife tourism, remain under studied. Wolf recovery in Europe is supported by diverse policy and legal instruments such as LIFE programs, stakeholder platforms, as well as the EU Habitats Directive and the Bern Convention. Coexisting with newly established wolf populations in Europe entails managing impacts on human activities, including livestock depreda</w:t>
      </w:r>
    </w:p>
    <w:p>
      <w:r>
        <w:t>POSSIBLE 2022: Future area expansion outweighs increasing drought risk for soybean in Europe — https://doi.org/10.1111/gcb.16562</w:t>
      </w:r>
    </w:p>
    <w:p>
      <w:r>
        <w:t>Shared claim-specific concepts: expansion, dependent, increasing, production, gap; EU scope visible. This is a provisional connection, not an outcome finding.</w:t>
      </w:r>
    </w:p>
    <w:p>
      <w:r>
        <w:t>Available abstract (not full text): Abstract 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 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w:t>
      </w:r>
    </w:p>
    <w:p>
      <w:r>
        <w:t>POSSIBLE 2021: The role of demand response in the future renewable northern European energy system — https://doi.org/10.1016/j.energy.2021.121336</w:t>
      </w:r>
    </w:p>
    <w:p>
      <w:r>
        <w:t>Shared claim-specific concepts: increasing, between; EU scope visible. This is a provisional connection, not an outcome finding.</w:t>
      </w:r>
    </w:p>
    <w:p>
      <w:r>
        <w:t>Available abstract (not full text): Increasing demand response (DR) from households, industry and tertiary sector may provide substantial flexibility in renewable-based energy systems, but the deployment of DR is currently limited. This study examines the future economic potential DR in the renewable rich northern European region, and also analyses power markets impacts of large-scale DR deployment in the region. For the quantifications, the energy system model BALMOREL is used, modified to include a detailed temporal modelling of available DR potentials. Results show that among the DR options analysed, space heating and water heating provide the highest shares of loads shifted. The overall demand response potential is particularly high in Norway and Sweden, due to wide-spread electric space- and water heating. Low variable costs make these DR applications economically feasible for deployment, despite high supply-side flexibility provided by regulated hydro power. DR may contribute to peak shaving of up to 18.6% of total peak load in 2050. Revenues from DR-application yield very different results depending on techno-economic parameters, potentials and the price volatility in the various analysed market areas. Results show an insignificant change in CO2 emissions between scenarios with and without demand response.</w:t>
      </w:r>
    </w:p>
    <w:p>
      <w:r>
        <w:t>POSSIBLE 2020: Organ donation in the US and Europe: The supply vs demand imbalance — https://doi.org/10.1016/j.trre.2020.100585</w:t>
      </w:r>
    </w:p>
    <w:p>
      <w:r>
        <w:t>Shared claim-specific concepts: increasing, gap; EU scope visible. This is a provisional connection, not an outcome finding.</w:t>
      </w:r>
    </w:p>
    <w:p>
      <w:r>
        <w:t>Available abstract (not full text): Organ donation and transplantation remain the best and most cost-effective clinical solution for end-stage organ failure. Several agencies across the US and Europe provide legislative, regulatory, and humanitarian services to generate smoother applications in all transplantation processes and donor-recipient relationships. US and European statistics present nine types of grafts, with kidneys being the most transplanted organ worldwide. However, organ shortage, religion, underrepresented minority groups, difficulties in obtaining consent, lack of understanding, and general ethical concerns present challenging barriers to organ donation, reflecting the complexity of graft procurement and allocation. Breaking down these barriers to reduce the organ-supply imbalance requires an appropriate multifaceted approach. Some of the key areas include increasing the potential donor pool and consent rates, apt organ allocation, and improving organ health. Additionally, suitable policies and standardized guidelines for both donors and recipients, alongside educational initiatives, are needed to ensure patient safety and global awareness. Looking forward, novel and effective research plans and initiatives are needed if we are to avoid a colossal supply-demand gap.</w:t>
      </w:r>
    </w:p>
    <w:p>
      <w:r>
        <w:t>POSSIBLE 2020: Location Dependent Spectrum Pricing of Private LTE and 5G Networks in Europe — https://doi.org/10.21203/rs.3.rs-21169/v1</w:t>
      </w:r>
    </w:p>
    <w:p>
      <w:r>
        <w:t>Shared claim-specific concepts: dependent; EU scope visible. This is a provisional connection, not an outcome finding.</w:t>
      </w:r>
    </w:p>
    <w:p>
      <w:r>
        <w:t>Available abstract (not full text): Abstract Emerging private LTE and 5G services and applications have created need for local radio spectrum licensing. The existing pricing models for licenses do not work well in this context. This paper introduces three new location dependent pricing methods that aim to produce more accurate pricing for local licenses. We use Traficom Frequency Fee as our base-case general spectrum pricing model, and we replace the population density based location coefficient with proxies such as employee density, value added per employee, and rent prices. By comparing the differences in the prices yielded by the models, we show that the new models can in some cases identify high demand areas like hospitals and industrial districts better than the original population density based model. Additionally, we conclude that the original population density based model and the new employee density based model could be used together to capture both the consumer and the industrial spectrum demand simultaneously.</w:t>
      </w:r>
    </w:p>
    <w:p>
      <w:r>
        <w:t>POSSIBLE 2019: How Does Credit Supply Expansion Affect the Real Economy? The Productive Capacity and Household Demand Channels — https://doi.org/10.1111/jofi.12869</w:t>
      </w:r>
    </w:p>
    <w:p>
      <w:r>
        <w:t>Shared claim-specific concepts: expansion, increasing; EU scope not established. This is a provisional connection, not an outcome finding.</w:t>
      </w:r>
    </w:p>
    <w:p>
      <w:r>
        <w:t>Available abstract (not full text): ABSTRACT Credit supply expansion can affect an economy by increasing productive capacity or by boosting household demand. In this study, we develop a test to determine if the household demand channel is present, and we implement the test using both a natural experiment in the United States in the 1980s and an international panel of 56 countries over the last several decades. Consistent with the importance of the household demand channel, we find that credit supply expansion boosts nontradable sector employment and the price of nontradable goods, with limited effects on tradable sector employment. Such credit expansions amplify the business cycle and lead to more severe recessions.</w:t>
      </w:r>
    </w:p>
    <w:p>
      <w:r>
        <w:t>POSSIBLE 2019: Stam Portugal and its expansion through Europe — https://openalex.org/W2971433702</w:t>
      </w:r>
    </w:p>
    <w:p>
      <w:r>
        <w:t>Shared claim-specific concepts: expansion, increasing, gap; EU scope visible. This is a provisional connection, not an outcome finding.</w:t>
      </w:r>
    </w:p>
    <w:p>
      <w:r>
        <w:t>Available abstract (not full text): Executive Summary (1/2) -This internationalization project is structured in 3 phases.It starts with a brief overview of the company and the industry, followed by the Strategic Decisions (Market Selection, Resources and Capabilities, Entry Modes and Distribution Channels), ending with a Business Plan for a 6-year period (Marketing, Operational and Financial) -Stam was founded 47 years ago by an entrepreneur, Francisco Faria, and it is, today, the leader in the Brazilian market of locks and padlocks.The company's excess capacity in Brazil and the connections of its shareholders to the European market created the desire to expand the business overseas, having as final goal increasing its profits.Stam Brazil and the other shareholders intend to open a logistics centre in Portugal and expand in the padlock segment to 2-3 countries in the next 3-5 years-Starting with the Market Selection, Country Clustering and Country Ranking were the first steps to select the best markets for Stam to enter Europe.They were used to assess the attractiveness of the European Union Countries.From the Country Clustering, the Western Cluster was identified as the most suitable option, and through the Country Ranking, it was possible to conclude that the top 5 most attractive countries were Belgium, France, Italy, Luxembourg, and Spain -The final step in this Market Selection is to perform an In-Depth Ana</w:t>
      </w:r>
    </w:p>
    <w:p>
      <w:r>
        <w:t>POSSIBLE 2018: Robust demand should continue in 2018 — https://doi.org/10.1021/cen-09602-cover9</w:t>
      </w:r>
    </w:p>
    <w:p>
      <w:r>
        <w:t>Shared claim-specific concepts: likely, continued, expansion, production; EU scope visible. This is a provisional connection, not an outcome finding.</w:t>
      </w:r>
    </w:p>
    <w:p>
      <w:r>
        <w:t>Available abstract (not full text): Persistent growth in the U.S., continued economic expansion in Asia, and a renewal of demand in Europe all bode well for specialty chemical output in 2018, according to the American Chemistry Council. The trade association projects a 3.0% global production rise in 2018 after a 2.5% increase in 2017. Ever optimistic, ACC had expected output to jump 3.3% in 2017. But despite an overall pickup in the global economy, some industries that depend on specialty chemicals, such as oil and gas drilling, were weak, ACC says. Industry observers say the elements are in place for a better 2018. Ray Will, a director at the consulting firm IHS Markit, discerns a number of trends likely to increase demand for specialty chemicals. Among them are a shift to electric vehicles and a move away from the use of fluorochemical coolants in home refrigerators. China, Will says, plans to establish a system of</w:t>
      </w:r>
    </w:p>
    <w:p>
      <w:r>
        <w:t>POSSIBLE 2018: A review of demand side flexibility potential in Northern Europe — https://doi.org/10.1016/j.rser.2018.03.104</w:t>
      </w:r>
    </w:p>
    <w:p>
      <w:r>
        <w:t>Shared claim-specific concepts: increasing, production, between; EU scope visible. This is a provisional connection, not an outcome finding.</w:t>
      </w:r>
    </w:p>
    <w:p>
      <w:r>
        <w:t>Available abstract (not full text): The number of regional and national power systems with a high share of wind and solar power in the world is quickly increasing. The background for this development is improved technology, decreasing costs, and increased concern regarding environmental problems of competing technologies such as fossil fuels . For the future there are large possibilities for increasing the renewable electricity share. However, variable renewable power production has to be balanced. Demand side flexibility offers an interesting approach to the balancing issues. The aim of this paper is to compare flexibility potentials and how they were estimated in seven Northern European countries in order to compare general challenges and results as well as the connection between used method and results. The total flexibility is estimated to 12–23 GW in a system with a total peak load of 77 GW.</w:t>
      </w:r>
    </w:p>
    <w:p>
      <w:r>
        <w:t>POSSIBLE 2018: Cereal yield gaps across Europe — https://doi.org/10.1016/j.eja.2018.09.003</w:t>
      </w:r>
    </w:p>
    <w:p>
      <w:r>
        <w:t>Shared claim-specific concepts: whether, increasing, production, gap, between, food; EU scope visible. This is a provisional connection, not an outcome finding.</w:t>
      </w:r>
    </w:p>
    <w:p>
      <w:r>
        <w:t>Available abstract (not full text): Europe accounts for around 20% of the global cereal production and is a net exporter of ca. 15% of that production. Increasing global demand for cereals justifies questions as to where and by how much Europe’s production can be increased to meet future global market demands, and how much additional nitrogen (N) crops would require. The latter is important as environmental concern and legislation are equally important as production aims in Europe. Here, we used a country-by-country, bottom-up approach to establish statistical estimates of actual grain yield, and compare these to modelled estimates of potential yields for either irrigated or rainfed conditions. In this way, we identified the yield gaps and the opportunities for increased cereal production for wheat, barley and maize, which represent 90% of the cereals grown in Europe. The combined mean annual yield gap of wheat, barley, maize was 239 Mt, or 42% of the yield potential. The national yield gaps ranged between 10 and 70%, with small gaps in many north-western European countries, and large gaps in eastern and south-western Europe. Yield gaps for rainfed and irrigated maize were consistently lower than those of wheat and barley. If the yield gaps of maize, wheat and barley would be reduced from 42% to 20% of potential yields, this would increase annual cereal production by 128 Mt (39%). Potential for higher cereal prod</w:t>
      </w:r>
    </w:p>
    <w:p>
      <w:r>
        <w:t>POSSIBLE 2016: Impacts of +2 °C global warming on winter tourism demand in Europe — https://doi.org/10.1016/j.cliser.2016.07.003</w:t>
      </w:r>
    </w:p>
    <w:p>
      <w:r>
        <w:t>Shared claim-specific concepts: increasing, between; EU scope visible. This is a provisional connection, not an outcome finding.</w:t>
      </w:r>
    </w:p>
    <w:p>
      <w:r>
        <w:t>Available abstract (not full text): Increasing temperatures and snow scarce winter seasons challenge the winter tourism industry. In this study the impacts of +2 °C global warming on winter tourism demand in Europe’s ski tourism related NUTS-3 regions are quantified. Using time series regression models, the relationship between natural snow conditions and monthly overnight stays is estimated. Based on these model results, we quantify the risk of tourism demand losses due to weather variability and assess the potential impacts of climate change. Hereby, the concept of Weather-Value at Risk (0.95) is applied. Snow data are provided by the hydrological model VIC, which is forced by E-OBS data to obtain historical snow values for tourism model calibration and forced by EURO-CORDEX climate simulations to obtain snow projections until 2100. Under +2 °C warming, the weather-induced risk of losses in winter overnight stays related to skiing tourism in Europe amounts to up to 10.1 million nights per winter season, which is +7.3 million overnight stays additionally at risk compared to the reference period (1971–2000). Among the top four European skiing tourism nations – Austria, France, Italy and Switzerland – France and Switzerland show the lowest increase in risk of losses in winter overnight stays. The highest weather-induced risk of losses in winter overnight stays – in the reference period as well as in the +2 °C scen</w:t>
      </w:r>
    </w:p>
    <w:p>
      <w:r>
        <w:t>POSSIBLE 2015: Global biomass production potentials exceed expected future demand without the need for cropland expansion — https://doi.org/10.1038/ncomms9946</w:t>
      </w:r>
    </w:p>
    <w:p>
      <w:r>
        <w:t>Shared claim-specific concepts: expansion, increasing, production, between; EU scope not established. This is a provisional connection, not an outcome finding.</w:t>
      </w:r>
    </w:p>
    <w:p>
      <w:r>
        <w:t>Available abstract (not full text): Global biomass demand is expected to roughly double between 2005 and 2050. Current studies suggest that agricultural intensification through optimally managed crops on today's cropland alone is insufficient to satisfy future demand. In practice though, improving crop growth management through better technology and knowledge almost inevitably goes along with (1) improving farm management with increased cropping intensity and more annual harvests where feasible and (2) an economically more efficient spatial allocation of crops which maximizes farmers' profit. By explicitly considering these two factors we show that, without expansion of cropland, today's global biomass potentials substantially exceed previous estimates and even 2050s' demands. We attribute 39% increase in estimated global production potentials to increasing cropping intensities and 30% to the spatial reallocation of crops to their profit-maximizing locations. The additional potentials would make cropland expansion redundant. Their geographic distribution points at possible hotspots for future intensification.</w:t>
      </w:r>
    </w:p>
    <w:p>
      <w:pPr>
        <w:pStyle w:val="Heading2"/>
      </w:pPr>
      <w:r>
        <w:t>Ageing population and labour productivity in Bulgaria</w:t>
      </w:r>
    </w:p>
    <w:p>
      <w:r>
        <w:t>Original source (2011): https://doi.org/10.5771/1435-2869-2011-4-521</w:t>
      </w:r>
    </w:p>
    <w:p>
      <w:r>
        <w:t>Original wording (abstract; indexed_source_text_not_full_document_verified): Recent literature has shown that it is difficult to ascertain the impact of an ageing population on labour productivity.According to the majority of studies, workforce ageing leads to lower employment and a decline in the professional skills of the employed, so we should expect that it has a negative impact on technological changes and productivity.In this article, we present a review of studies on this issue.After that, an empirical study for Bulgaria is provided using sensitivity tests of long-term projections of labour productivity (to 2050), based on population number and age distribution.A model of the International Labour Organisation (ILO) is applied which allows us to calculate three variants of changing age, number and structure of population, assuming three different rates of improvement in life expectancy -fast, medium and slow.The study confirms that an ageing population has a negative effect on labour productivity.The timeframe is long but, with that limitation in mind, the overall direction of the trend is clear.The article concludes with some policy considerations to help ameliorate the effects of Bulgaria's demographic challenge.</w:t>
      </w:r>
    </w:p>
    <w:p>
      <w:r>
        <w:t>POSSIBLE 2024: Application of DPSIR model to ascertain driving forces and their impacts on the Volta basin — https://doi.org/10.1016/j.heliyon.2024.e38734</w:t>
      </w:r>
    </w:p>
    <w:p>
      <w:r>
        <w:t>Shared claim-specific concepts: literature, ascertain; EU scope visible. This is a provisional connection, not an outcome finding.</w:t>
      </w:r>
    </w:p>
    <w:p>
      <w:r>
        <w:t>Available abstract (not full text): Managing trans-boundary water and its watershed areas is a challenging task. The riparian countries sharing the boundary may have different economic and national goals that can dictate the pressures exerted on water bodies and their catchments areas. The pressure will have dire consequences on the environment, the climate and the sustainability of the Volta River. This paper seeks to apply the Driving Forces-Pressure-State-Impact-Response (DPSIR) framework as a model to ascertain the driving forces and their impacts on the Black and the White sub-basins of the Volta River. The research was carried out through desk study of literature, reports and policies on the Volta basin as well as information from international bodies such as World Bank, United Nations, and European Union among others. The DPSIR framework thus established the state of the ecosystem, pressure exerted, impact and the responses to provide scientific basis for decision-making and address the impacts on the Volta River. The DPSIR framework was focused on Ghana and Burkina Faso due to their large share of the basin. Burkina Faso's share of the Volta basin area is 43 %, whereas, that of Ghana is 41.6 %. The use of DPSIR model will help stakeholders and policy makers in proper decision making. It was therefore recommended that there should be policy regulations to reduce the impact on the environment.</w:t>
      </w:r>
    </w:p>
    <w:p>
      <w:r>
        <w:t>POSSIBLE 2024: Evolution and Impact of Hepatitis A Epidemiology in Europe—Systematic Literature Review of the Last 20 Years — https://doi.org/10.1111/jvh.14030</w:t>
      </w:r>
    </w:p>
    <w:p>
      <w:r>
        <w:t>Shared claim-specific concepts: literature, population; EU scope visible. This is a provisional connection, not an outcome finding.</w:t>
      </w:r>
    </w:p>
    <w:p>
      <w:r>
        <w:t>Available abstract (not full text): While globally hepatitis A (hepA) infections occur in 150 million people annually, European high-income countries now have a low endemicity. However, this results in a more susceptible adult population which is prone to severe illness. To determine current epidemiological characteristics, we performed a systematic literature review to assess the severity of hepA disease in the past two decades in 11 European countries (i.e., Denmark, France, Germany, Greece, Hungary, Italy, the Netherlands, Spain, Sweden, Switzerland and the United Kingdom). Literature search was performed using PubMed and Embase between 1 January 2001 and 14 April 2021. Search terms included the disease (hepA), the 11 selected countries, the term 'outbreaks' and its synonyms, outcomes and terms for hepA virus circulation. In total, 43 records reported data on hepA disease outcomes. Hospitalisation rates varied between the countries, with annual rates exceeding 50% at least once in seven countries. The lowest hospitalisation rates were reported for the Netherlands (≤ 32%) and the highest for Greece (≥ 81%). Liver failure, haemorrhagic and other complications were rarely reported, and case fatality rates were low (0.03%-0.26%). Our findings are consistent with the trends observed globally. This systematic literature review highlights the need to increase awareness of hepA risks and to strengthen prevention strat</w:t>
      </w:r>
    </w:p>
    <w:p>
      <w:r>
        <w:t>POSSIBLE 2023: Education and Fertility: A Review of Recent Research in Europe — https://doi.org/10.12765/cpos-2023-21</w:t>
      </w:r>
    </w:p>
    <w:p>
      <w:r>
        <w:t>Shared claim-specific concepts: recent, literature; EU scope visible. This is a provisional connection, not an outcome finding.</w:t>
      </w:r>
    </w:p>
    <w:p>
      <w:r>
        <w:t>Available abstract (not full text): This paper reviews research on education and childbearing in Europe over the last decade. Early demographic research attributed declining fertility in advanced economies in the second half of the twentieth century to increasing female educational levels. The twenty-first century has witnessed further increases in educational attainment coupled with trend reversals in fertility. The relationship between education and fertility has become more complex, sparking renewed interest in the interplay between the two life domains. We examine how educational enrolment and attainment influence individuals’ fertility behaviour – both fertility timing and level – and how the relationship between education and fertility is shaped by contextual factors such as family policies, macroeconomic shocks, and normative changes in gender attitudes. We also summarise the recent literature on educational gradients in male fertility and review methodological developments to address issues of self-selection and unmeasured heterogeneity in the study of education and fertility. Finally, this paper identifies and discusses challenges and important areas for future research.</w:t>
      </w:r>
    </w:p>
    <w:p>
      <w:r>
        <w:t>POSSIBLE 2023: Human and environmental impacts of nanoparticles: a scoping review of the current literature — https://doi.org/10.1186/s12889-023-15958-4</w:t>
      </w:r>
    </w:p>
    <w:p>
      <w:r>
        <w:t>Shared claim-specific concepts: literature, majority; EU scope not established. This is a provisional connection, not an outcome finding.</w:t>
      </w:r>
    </w:p>
    <w:p>
      <w:r>
        <w:t>Available abstract (not full text): Use of nanoparticles have established benefits in a wide range of applications, however, the effects of exposure to nanoparticles on health and the environmental risks associated with the production and use of nanoparticles are less well-established. The present study addresses this gap in knowledge by examining, through a scoping review of the current literature, the effects of nanoparticles on human health and the environment. We searched relevant databases including Medline, Web of Science, ScienceDirect, Scopus, CINAHL, Embase, and SAGE journals, as well as Google, Google Scholar, and grey literature from June 2021 to July 2021. After removing duplicate articles, the title and abstracts of 1495 articles were first screened followed by the full-texts of 249 studies, and this resulted in the inclusion of 117 studies in the presented review.In this contribution we conclude that while nanoparticles offer distinct benefits in a range of applications, they pose significant threats to humans and the environment. Using several biological models and biomarkers, the included studies revealed the toxic effects of nanoparticles (mainly zinc oxide, silicon dioxide, titanium dioxide, silver, and carbon nanotubes) to include cell death, production of oxidative stress, DNA damage, apoptosis, and induction of inflammatory responses. Most of the included studies (65.81%) investigated inorgan</w:t>
      </w:r>
    </w:p>
    <w:p>
      <w:r>
        <w:t>POSSIBLE 2022: The Impact of Patient Support Programs in Europe: A Systematic Literature Review — https://doi.org/10.1007/s40271-022-00582-y</w:t>
      </w:r>
    </w:p>
    <w:p>
      <w:r>
        <w:t>Shared claim-specific concepts: recent, literature; EU scope visible. This is a provisional connection, not an outcome finding.</w:t>
      </w:r>
    </w:p>
    <w:p>
      <w:r>
        <w:t>Available abstract (not full text): BACKGROUND AND OBJECTIVE: Patient support programs aim to provide solutions beyond the medication itself, by enhancing treatment adherence, improving clinical outcomes, elevating patient experience, and/or increasing quality of life. As patient support programs increasingly play an important role in assisting patients, numerous observational studies and pragmatic trials designed to evaluate their impact on healthcare have been conducted in recent years. This review aims to characterize these studies. METHODS: A systematic literature review, supplemented by a broad search of gray literature, was conducted following PRISMA (Preferred Reporting Items for Systematic Reviews and Meta-Analyses) and Cochrane recommendations. Observational studies and pragmatic trials conducted in Europe to evaluate the impact of patient support programs, published in English or Spanish between 17/03/2010 and 17/03/2020, were reviewed. Two patient support program definitions were applied starting with Ganguli et al.'s broad approach, followed by the European Medicines Agency definition, narrowed to Marketing Authorization Holders organized systems and their medicines. The quality of publications was assessed using the STROBE (Strengthening the Reporting of Observational Studies in Epidemiology) statement 22-item checklist. RESULTS: Of the 49 identified studies following the Ganguli et al. definition, 2</w:t>
      </w:r>
    </w:p>
    <w:p>
      <w:r>
        <w:t>POSSIBLE 2021: The Evolutionarily Mismatched Impact of Urbanization on Insomnia Symptoms: a Short Review of the Recent Literature — https://doi.org/10.1007/s11920-021-01239-7</w:t>
      </w:r>
    </w:p>
    <w:p>
      <w:r>
        <w:t>Shared claim-specific concepts: recent, literature, majority; EU scope not established. This is a provisional connection, not an outcome finding.</w:t>
      </w:r>
    </w:p>
    <w:p>
      <w:r>
        <w:t>Available abstract (not full text): PURPOSE OF REVIEW: For the most part of human existence, individuals have been living a rural lifestyle in a rural setting. However, such sleep-conducive conditions have largely been transformed dramatically by urbanization within a relatively short span of time in recent history, and the resulting evolved mechanisms-environment mismatch is theorized to bring about an increased risk for insomnia symptoms. This brief review of the recent literature is designed to evaluate the veracity of this proposition. RECENT FINDINGS: The majority of recent findings have suggested that most proposed evolutionarily mismatched urban factors are indeed related to the presence of insomnia symptoms. However, there is a general paucity of longitudinal evidence (and for some other factors, a lack of enough evidence of any kind). Although there is a preponderance of recent findings indicating a link between evolutionarily mismatched urban phenomena and insomnia symptoms, more longitudinal data are needed before any causative conclusion can be drawn.</w:t>
      </w:r>
    </w:p>
    <w:p>
      <w:r>
        <w:t>POSSIBLE 2020: Migrants’ and refugees’ health status and healthcare in Europe: a scoping literature review — https://doi.org/10.1186/s12889-020-08749-8</w:t>
      </w:r>
    </w:p>
    <w:p>
      <w:r>
        <w:t>Shared claim-specific concepts: literature, difficult, population; EU scope visible. This is a provisional connection, not an outcome finding.</w:t>
      </w:r>
    </w:p>
    <w:p>
      <w:r>
        <w:t>Available abstract (not full text): BACKGROUND: There is increasing attention paid to the arrival of migrants from outwith the EU region to the European countries. Healthcare that is universally and equably accessible needs to be provided for these migrants throughout the range of national contexts and in response to complex and evolving individual needs. It is important to look at the evidence available on provision and access to healthcare for migrants to identify barriers to accessing healthcare and better plan necessary changes. METHODS: This review scoped 77 papers from nine European countries (Austria, Cyprus, France, Germany, Greece, Italy, Malta, Spain, and Sweden) in English and in country-specific languages in order to provide an overview of migrants' access to healthcare. The review aims at identifying what is known about access to healthcare as well as healthcare use of migrants and refugees in the EU member states. The evidence included documents from 2011 onwards. RESULTS: The literature reviewed confirms that despite the aspiration to ensure equality of access to healthcare, there is evidence of persistent inequalities between migrants and non-migrants in access to healthcare services. The evidence shows unmet healthcare needs, especially when it comes to mental and dental health as well as the existence of legal barriers in accessing healthcare. Language and communication barriers, overuse of emer</w:t>
      </w:r>
    </w:p>
    <w:p>
      <w:r>
        <w:t>POSSIBLE 2018: The European media discourse on immigration and its effects: a literature review — https://doi.org/10.1080/23808985.2018.1497452</w:t>
      </w:r>
    </w:p>
    <w:p>
      <w:r>
        <w:t>Shared claim-specific concepts: literature, shown, leads, negative; EU scope visible. This is a provisional connection, not an outcome finding.</w:t>
      </w:r>
    </w:p>
    <w:p>
      <w:r>
        <w:t>Available abstract (not full text): To understand public opinion about immigration in Europe, one has to understand the media’s role in it. We present a literature review on research on media discourse on immigration and their effects. Despite differences in the way immigration and migrant groups are represented in European media, we can observe common patterns. Migrants are generally under-represented and shown as delinquents or criminals. Although, media framing differs based on specific migrant groups the discourse is focusing on, immigration coverage is often negative and conflict-centred. Frequent exposure to such media messages leads to negative attitudes towards migration, may activate stereotypical cognitions of migrant groups, and even influence vote choice. In addition to discussing these issues in depth, the present review also focuses on comparative findings.</w:t>
      </w:r>
    </w:p>
    <w:p>
      <w:r>
        <w:t>POSSIBLE 2018: Oral Health Impact Profile in Celiac Patients: Analysis of Recent Findings in a Literature Review — https://doi.org/10.1155/2018/7848735</w:t>
      </w:r>
    </w:p>
    <w:p>
      <w:r>
        <w:t>Shared claim-specific concepts: recent, literature, according; EU scope not established. This is a provisional connection, not an outcome finding.</w:t>
      </w:r>
    </w:p>
    <w:p>
      <w:r>
        <w:t>Available abstract (not full text): The increment of recording atypical oral manifestation in young patients often related to systematic disease is today a challenge for the therapists. Sometime, the presence of tooth enamel lesions correlated with soft tissue lesions is just a symptom or a trigger sign for a deeper and undetermined disease. Recently, high impact has been developed toward the influence of the diet as a controlled and modifiable factor in patients affected by celiac pathologies. The celiac disease (CD) is a chronic immune-mediated disorder triggered by the ingestion of gluten that appears in genetically predisposed patients. Gluten is a proline-rich and glutamine-rich protein present in wheat (gliadin), barley (hordein), and rye (secalin). The gluten-free diet (GFD) seems to better influence the oral health status of the CD patients. For this reason, the main objective of this revision was to analyze the international data highlighting the relationship between celiac patients and the oral health impact profile. A comprehensive review of the current literature was conducted according to the PRISMA guidelines by accessing the NCBI PubMed database. Authors conducted the search of articles in the English language published from 2008 to 2018. The first analysis with filters recorded 67 manuscripts accordingly with the selected keywords. Finally, a number of 16 appropriate published papers were comprehe</w:t>
      </w:r>
    </w:p>
    <w:p>
      <w:r>
        <w:t>POSSIBLE 2017: Hyperemesis Gravidarum: A Review of Recent Literature — https://doi.org/10.1159/000477853</w:t>
      </w:r>
    </w:p>
    <w:p>
      <w:r>
        <w:t>Shared claim-specific concepts: recent, literature, difficult; EU scope not established. This is a provisional connection, not an outcome finding.</w:t>
      </w:r>
    </w:p>
    <w:p>
      <w:r>
        <w:t>Available abstract (not full text): BACKGROUND: In the United States, hyperemesis gravidarum is the most common cause of hospitalization during the first half of pregnancy and is second only to preterm labor for hospitalizations in pregnancy overall. In approximately 0.3-3% of pregnancies, hyperemesis gravidarum is prevalent and this percentage varies on account of different diagnostic criteria and ethnic variation in study populations. Despite extensive research in this field, the mechanism of the disease is largely unknown. Although cases of mortality are rare, hyperemesis gravidarum has been associated with both maternal and fetal morbidity. The current mainstay of treatment relies heavily on supportive measures until improvement of symptoms as part of the natural course of hyperemesis gravidarum, which occurs with progression of gestational age. However, studies have reported that severe, refractory disease manifestations have led to serious adverse outcomes and to termination of pregnancies. SUMMARY: Despite extensive research in the field, the pathogenesis of hyperemesis gravidarum remains unknown. Recent literature points to a genetic predisposition in addition to previously studied factors such as infectious, psychiatric, and hormonal contributions. Maternal morbidity is common and includes psychological effects, financial burden, clinical complications from nutritional deficiencies, gastrointestinal trau</w:t>
      </w:r>
    </w:p>
    <w:p>
      <w:r>
        <w:t>POSSIBLE 2017: Personality Traits of Entrepreneurs: A Review of Recent Literature — https://doi.org/10.3386/w24097</w:t>
      </w:r>
    </w:p>
    <w:p>
      <w:r>
        <w:t>Shared claim-specific concepts: recent, literature, population; EU scope not established. This is a provisional connection, not an outcome finding.</w:t>
      </w:r>
    </w:p>
    <w:p>
      <w:r>
        <w:t>Available abstract (not full text): We review the extensive literature since 2000 on the personality traits of entrepreneurs.We first consider baseline personality traits like the Big-5 model, self-efficacy and innovativeness, locus of control, and the need for achievement.We then consider risk attitudes and goals and aspirations of entrepreneurs.Within each area, we separate studies by the type of entrepreneurial behavior considered: entry into entrepreneurship, performance outcomes, and exit from entrepreneurship.This literature shows common results and many points of disagreement, reflective of the heterogeneous nature of entrepreneurship.We label studies by the type of entrepreneurial population studied (e.g., Main Street vs. those backed by venture capital) to identify interesting and irreducible parts of this heterogeneity, while also identifying places where we anticipate future large-scale research and the growing depth of the field are likely to clarify matters.There are many areas, like how firm performance connects to entrepreneurial personality, that are woefully understudied and ripe for major advances if the appropriate crossdisciplinary ingredients are assembled.</w:t>
      </w:r>
    </w:p>
    <w:p>
      <w:r>
        <w:t>POSSIBLE 2017: Hazardous waste and health impact: a systematic review of the scientific literature — https://doi.org/10.1186/s12940-017-0311-8</w:t>
      </w:r>
    </w:p>
    <w:p>
      <w:r>
        <w:t>Shared claim-specific concepts: literature, population; EU scope visible. This is a provisional connection, not an outcome finding.</w:t>
      </w:r>
    </w:p>
    <w:p>
      <w:r>
        <w:t>Available abstract (not full text): Waste is part of the agenda of the European Environment and Health Process and included among the topics of the Sixth Ministerial Conference on Environment and Health. Disposal and management of hazardous waste are worldwide challenges. We performed a systematic review to evaluate the evidence of the health impact of hazardous waste exposure, applying transparent and a priori defined methods. The following five steps, based on pre-defined systematic criteria, were applied. 1. Specify the research question, in terms of "Population-Exposure-Comparators-Outcomes" (PECO). POPULATION: people living near hazardous waste sites; Exposure: exposure to hazardous waste; Comparators: all comparators; Outcomes: all diseases/health disorders. 2. Carry out the literature search, in Medline and EMBASE. 3. Select studies for inclusion: original epidemiological studies, published between 1999 and 2015, on populations residentially exposed to hazardous waste. 4. Assess the quality of selected studies, taking into account study design, exposure and outcome assessment, confounding control. 5. Rate the confidence in the body of evidence for each outcome taking into account the reliability of each study, the strength of the association and concordance of results.Fifty-seven papers of epidemiological investigations on the health status of populations living near hazardous waste sites were selected for</w:t>
      </w:r>
    </w:p>
    <w:p>
      <w:pPr>
        <w:pStyle w:val="Heading2"/>
      </w:pPr>
      <w:r>
        <w:t>Climate, competition and connectivity affect future migration and ranges of European trees</w:t>
      </w:r>
    </w:p>
    <w:p>
      <w:r>
        <w:t>Original source (2011): https://doi.org/10.1111/j.1466-8238.2011.00669.x</w:t>
      </w:r>
    </w:p>
    <w:p>
      <w:r>
        <w:t>Original wording (abstract; indexed_source_text_not_full_document_verified): ABSTRACT Aim Species ranges have adapted during the Holocene to altering climate conditions, but it remains unclear if species will be able to keep pace with recent and future climate change. To predict future species ranges from these models, we applied three migration scenarios: no migration, unlimited migration and realistic migration.</w:t>
      </w:r>
    </w:p>
    <w:p>
      <w:r>
        <w:t>POSSIBLE 2025: Lecanora hybocarpa and similar European species — https://doi.org/10.1017/s0024282925101291</w:t>
      </w:r>
    </w:p>
    <w:p>
      <w:r>
        <w:t>Shared claim-specific concepts: abstract, species, but, three; EU scope visible. This is a provisional connection, not an outcome finding.</w:t>
      </w:r>
    </w:p>
    <w:p>
      <w:r>
        <w:t>Available abstract (not full text): Abstract The lichen genus Lecanora is one of the largest genera of lichenized fungi. The core part of the genus is the L. subfusca group and within this group, Lecanora hybocarpa (Tuck.) Brodo, initially described from North America and thought to be endemic, has been reported from several European countries. However, the identity of these European specimens has been increasingly questioned. This study aimed to clarify the relationship between North American L. hybocarpa and European collections, including the morphologically similar L. sinuosa Herk &amp; Aptroot. We performed morphological, chemical (TLC) and molecular analyses (nrITS and mtSSU) on a broad collection of specimens from Europe, Macaronesia and North America. Our phylogenetic analyses revealed that true L. hybocarpa has not yet been confirmed in Europe. Instead, several genetically distinct European taxa share the L. hybocarpa morphotype. Our findings resulted in the description of three new species: Lecanora cryptosinuosa (differing only genetically from L. sinuosa ), L. macaronesica (characterized by quite large apothecia with constricted bases and a finely crenulate margin, and the presence of gangaleoidin) and L. subsinuosa (difficult to separate from L. sinuosa , but may sometimes be recognized by darker apothecial discs with inconsistent pigmentation, the occasional presence of a tiny pruina on young discs, and</w:t>
      </w:r>
    </w:p>
    <w:p>
      <w:r>
        <w:t>POSSIBLE 2023: 6th European Conference on Permafrost: Book of Abstracts — https://doi.org/10.52381/eucop6.abstracts.1</w:t>
      </w:r>
    </w:p>
    <w:p>
      <w:r>
        <w:t>Shared claim-specific concepts: climate, conditions; EU scope visible. This is a provisional connection, not an outcome finding.</w:t>
      </w:r>
    </w:p>
    <w:p>
      <w:r>
        <w:t>Available abstract (not full text): Session 1 / Modeling of permafrost-climate feedbacks in future scenarios 37 • Thaw depths and carbon release in adaptive emission driven MPI-ESM simulations, Goran Georgievski [et al.] 38 • Representation of Arctic hydrology in a global land surface model, Tobias Stacke [et al.] 39 • Experimental and numerical evaluation of thermal properties of moss, lichen, and peat from a permafrost-dominated wetland., Simon Cazaurang [et al.] 40 • Modelling the effects of climate change on groundwater-surface water interactions in permafrost dominated regions, Radhakrishna Bangalore Lakshmiprasad [et al.] 41 • Modeling permafrost landscape evolution and greenhouse gas emissions from rapid thawing of ground ice with a new subgrid permafrost representation in CLM5, Esther Bender [et al.] 42 • Modeling influence of methane seeping on the water column carbonate system in the Laptev Sea Shelf, Evgeniy Yakushev [et al.] 43 • Climate response to improved permafrost hydro-thermodynamics in historical and scenario simulations, Félix García-Pereira [et al.] 44 • Surface-based temperature inversion impact on surface air temperatures and implications for permafrost distribution in Northwestern Canada, Nick Noad and Philip Bonnaventure 45 • Modelling the impact of surface lapse rate changes on mountain permafrost distribution in four dissimilar valleys in Yukon, Canada, Madeleine Garibaldi and Philip Bo</w:t>
      </w:r>
    </w:p>
    <w:p>
      <w:r>
        <w:t>POSSIBLE 2022: Ellenberg‐type indicator values for European vascular plant species — https://doi.org/10.1111/jvs.13168</w:t>
      </w:r>
    </w:p>
    <w:p>
      <w:r>
        <w:t>Shared claim-specific concepts: abstract, aim, species; EU scope visible. This is a provisional connection, not an outcome finding.</w:t>
      </w:r>
    </w:p>
    <w:p>
      <w:r>
        <w:t>Available abstract (not full text): Abstract Aims Ellenberg‐type indicator values are expert‐based rankings of plant species according to their ecological optima on main environmental gradients. Here we extend the indicator‐value system proposed by Heinz Ellenberg and co‐authors for Central Europe by incorporating other systems of Ellenberg‐type indicator values (i.e., those using scales compatible with Ellenberg values) developed for other European regions. Our aim is to create a harmonized data set of Ellenberg‐type indicator values applicable at the European scale. Methods We collected European data sets of indicator values for vascular plants and selected 13 data sets that used the nine‐, ten‐ or twelve‐degree scales defined by Ellenberg for light, temperature, moisture, reaction, nutrients and salinity. We compared these values with the original Ellenberg values and used those that showed consistent trends in regression slope and coefficient of determination. We calculated the average value for each combination of species and indicator values from these data sets. Based on species’ co‐occurrences in European vegetation plots, we also calculated new values for species that were not assigned an indicator value. Results We provide a new data set of Ellenberg‐type indicator values for 8908 European vascular plant species (8168 for light, 7400 for temperature, 8030 for moisture, 7282 for reaction, 7193 for nutrie</w:t>
      </w:r>
    </w:p>
    <w:p>
      <w:r>
        <w:t>POSSIBLE 2022: Mechanised Harvesting of Broadleaved Tree Species in Europe — https://doi.org/10.1007/s40725-021-00154-7</w:t>
      </w:r>
    </w:p>
    <w:p>
      <w:r>
        <w:t>Shared claim-specific concepts: abstract, aim, species, but, recent; EU scope visible. This is a provisional connection, not an outcome finding.</w:t>
      </w:r>
    </w:p>
    <w:p>
      <w:r>
        <w:t>Available abstract (not full text): Abstract Purpose of the Review The application of cut-to-length (CTL) technology for harvesting and processing timber from broadleaved tree species is a challenging process, due to thick branches, stem sweep, forks and high wood density. The objective of this review was to describe the current state of harvester use and characterise the effectiveness of mechanised forest operations for broadleaved and mixed forest stands in Europe, paying particular attention to productivity and product quality aspects. An additional aim was to identify the greatest difficulties associated with harvesting broadleaved tree species today and to indicate future challenges and areas for improvement. Recent Findings An interest in wider harvester use for broadleaved tree species started after the storm Lothar in France in 1999. Early experiences demonstrated that lower productivity is common when harvesting broadleaved tree species, due to limitations in delimbing and the high frequency of sweep. Initially, modifications were made to harvester heads, while a newly designed head (CTL 40 HW) was later developed within a European project in 2005–2007. Using various heads, very high productivity was achieved in some cases, but log recovery was unsatisfactory, with large tree tops left without delimbing. The delimbing was of lower quality and log length inaccuracy was observed, as well as economic losses</w:t>
      </w:r>
    </w:p>
    <w:p>
      <w:r>
        <w:t>POSSIBLE 2022: Depression and anxiety among children and adolescents during the COVID-19 pandemic in Europe: A systematic review protocol — https://doi.org/10.21203/rs.3.rs-1638547/v1</w:t>
      </w:r>
    </w:p>
    <w:p>
      <w:r>
        <w:t>Shared claim-specific concepts: abstract, adapted, during; EU scope visible. This is a provisional connection, not an outcome finding.</w:t>
      </w:r>
    </w:p>
    <w:p>
      <w:r>
        <w:t>Available abstract (not full text): Abstract Some studies point to a high mental health burden among children and adolescents (CA) during the COVID-19 pandemic, particularly concerning depression and anxiety (DA). However, the quality of existing studies and some results are heterogeneous. Research gaps exist regarding (1) a high-quality summarizing overview on studies with (2) a pre-pandemic baseline on the impact of the COVID-19 pandemic on DA among CA in Europe. Therefore, the planned systematic review (SR) aims to close these gaps. SR was registered in the Prospective Register of Systematic Reviews (PROSPERO) and the protocol was prepared in accordance to the Preferred Reporting Items for Systematic review and Meta-Analysis Protocols (PRISMA-P) statement. Search strategy was peer reviewed. Systematic search was conducted in six databases (MEDLINE, EMBASE, PsycINFO, Cochrane Central Register of Controlled Trials, Web of Science and WHO COVID-19 database). Risk of bias (RoB) will be assessed using the RoB instrument for non-randomized studies of exposures. Certainty of evidence will be evaluated by using the GRADE approach adapted to the use of non-randomized studies. Also, subgroup analysis, sensitivity analysis, and publication bias will be performed.Results of this SR could contribute to determine the actual overall prevalence of DA among CA in European countries with an expert opinion on the clinical releva</w:t>
      </w:r>
    </w:p>
    <w:p>
      <w:r>
        <w:t>POSSIBLE 2022: Depression and anxiety among children and adolescents during the COVID-19 pandemic in Europe: A systematic review protocol — https://doi.org/10.21203/rs.3.rs-1638547/v2</w:t>
      </w:r>
    </w:p>
    <w:p>
      <w:r>
        <w:t>Shared claim-specific concepts: abstract, adapted, during; EU scope visible. This is a provisional connection, not an outcome finding.</w:t>
      </w:r>
    </w:p>
    <w:p>
      <w:r>
        <w:t>Available abstract (not full text): Abstract Background: A growing number of studies point to a high mental health burden among children and adolescents during the COVID-19 pandemic, particularly concerning depression and anxiety. However, the study quality and effect direction are heterogeneous in the existing studies with a lacking overview for the European continent. Therefore, research gaps exist particular regarding (1) the impact of the COVID-19 pandemic on depression and anxiety among children and adolescents in European countries with (2) a methodologically high-quality summarizing review of studies. Therefore, the planned systematic review aims to close these gaps. Methods: The systematic review was registered in the Prospective Register of Systematic Reviews (PROSPERO) and the protocol was prepared in accordance to the Preferred Reporting Items for Systematic review and Meta-Analysis Protocols (PRISMA-P) statement. Search strategy was peer reviewed according to the evidence-based checklist Peer Review of Electronic Search Strategies (PRESS). Systematic search was conducted in six databases (MEDLINE, EMBASE, PsycINFO, Cochrane Central Register of Controlled Trials, Web of Science and WHO COVID-19 database). Literature screening will be conducted independent by two authors, disagreement will be solved by a third author. Risk of bias (RoB) will be assessed using the RoB instrument for non-randomized studie</w:t>
      </w:r>
    </w:p>
    <w:p>
      <w:r>
        <w:t>POSSIBLE 2022: The 2018–2020 Multi‐Year Drought Sets a New Benchmark in Europe — https://doi.org/10.1029/2021ef002394</w:t>
      </w:r>
    </w:p>
    <w:p>
      <w:r>
        <w:t>Shared claim-specific concepts: abstract, during, climate, conditions, but; EU scope visible. This is a provisional connection, not an outcome finding.</w:t>
      </w:r>
    </w:p>
    <w:p>
      <w:r>
        <w:t>Available abstract (not full text): Abstract During the period 2018–2020, Europe experienced a series of hot and dry weather conditions with significant socioeconomic and environmental consequences. Yet, the extremity of these multi‐year dry conditions is not recognized. Here, we provide a comprehensive spatio‐temporal assessment of the drought hazard over Europe by benchmarking past exceptional events during the period from 1766 to 2020. We identified the 2018–2020 drought event as a new benchmark having an unprecedented intensity that persisted for more than 2 years, exhibiting a mean areal coverage of 35.6% and an average duration of 12.2 months. What makes this event truly exceptional compared with past events is its near‐surface air temperature anomaly reaching +2.8 K, which constitutes a further evidence that the ongoing global warming is exacerbating present drought events. Furthermore, future events based on climate model simulations Coupled Model Intercomparison Project v5 suggest that Europe should be prepared for events of comparable intensity as the 2018–2020 event but with durations longer than any of those experienced in the last 250 years. Our study thus emphasizes the urgent need for adaption and mitigation strategies to cope with such multi‐year drought events across Europe.</w:t>
      </w:r>
    </w:p>
    <w:p>
      <w:r>
        <w:t>POSSIBLE 2021: Mapping species richness of plant families in European vegetation — https://doi.org/10.1111/jvs.13035</w:t>
      </w:r>
    </w:p>
    <w:p>
      <w:r>
        <w:t>Shared claim-specific concepts: abstract, aim, species, but; EU scope visible. This is a provisional connection, not an outcome finding.</w:t>
      </w:r>
    </w:p>
    <w:p>
      <w:r>
        <w:t>Available abstract (not full text): Abstract Aims Biodiversity is traditionally studied mostly at the species level, but biogeographical and macroecological studies at higher taxonomic levels can provide valuable insights into the evolutionary processes at large spatial scales. Our aim was to assess the representation of vascular plant families within different vegetation formations across Europe. Location Europe. Methods We used a data set of 816,005 vegetation plots from the European Vegetation Archive (EVA). For each plot, we calculated the relative species richness of each plant family as the number of species belonging to that family divided by the total number of species. We mapped the relative species richness, averaged across all plots in 50 km × 50 km grid cells, for each family and broad habitat groups: forests, grasslands, scrub and wetlands. We also calculated the absolute species richness and the Shannon diversity index for each family. Results We produced 522 maps of mean relative species richness for a total of 152 vascular plant families occurring in forests, grasslands, scrub and wetlands. We found distinct spatial patterns for many combinations of families and habitat groups. The resulting series of 522 maps is freely available, both as images and GIS layers. Conclusions The distinct spatial patterns revealed in the maps suggest that the relative species richness of plant families at the communi</w:t>
      </w:r>
    </w:p>
    <w:p>
      <w:r>
        <w:t>POSSIBLE 2021: The critical role of tree species and human disturbance in determining the macrofungal diversity in Europe — https://doi.org/10.1111/geb.13372</w:t>
      </w:r>
    </w:p>
    <w:p>
      <w:r>
        <w:t>Shared claim-specific concepts: abstract, aim, species, climate, remains; EU scope visible. This is a provisional connection, not an outcome finding.</w:t>
      </w:r>
    </w:p>
    <w:p>
      <w:r>
        <w:t>Available abstract (not full text): Abstract Aim Knowledge concerning species distribution is important for biodiversity conservation and environmental management. Fungi form a large and diverse group of species and play a key role in nutrient cycling and carbon storage. However, our understanding of fungal diversity and distribution remains limited, particularly at large spatial scales. Here, we predicted the diversity and distribution of ectomycorrhizal and saprotrophic macrofungi at relatively fine spatial resolution at a continental scale and examined the importance of variables that affect the distribution of these two functional groups. Location Europe. Time period 1990–2018. Major taxa studied Macrofungi. Methods From observations of 1,845 macrofungal species, we predicted the diversity and distribution of two functional groups of macrofungi at a resolution of 5 km across eight European countries based on 25 environmental variables using the MaxEnt model. We determined the importance of variables that affect the distribution of these two functional groups of macrofungi using the built‐in jackknife test in the model. Results Analysis of the modelling results showed that eastern Denmark and southern Sweden are biodiversity hotspots for both functional groups of macrofungal species. Tree species and human disturbance (i.e., the human footprint index) were found to be the two most important predictor variables</w:t>
      </w:r>
    </w:p>
    <w:p>
      <w:r>
        <w:t>POSSIBLE 2021: Introduction, spread, and impacts of invasive alien mammal species in Europe — https://doi.org/10.1111/mam.12277</w:t>
      </w:r>
    </w:p>
    <w:p>
      <w:r>
        <w:t>Shared claim-specific concepts: abstract, species, ranges; EU scope visible. This is a provisional connection, not an outcome finding.</w:t>
      </w:r>
    </w:p>
    <w:p>
      <w:r>
        <w:t>Available abstract (not full text): ABSTRACT Biological invasions have emerged as one of the main drivers of biodiversity change and decline, and numbers of alien species are rapidly rising. The European Union established a dedicated regulation to limit the impacts of invasive alien species (IAS), which is focused on a Union List of IAS of particular concern. However, no previous study has specifically addressed the ecology of invasive alien mammals included in the Union List. We performed a systematic review of published literature on these species. We retrieved 262 studies dealing with 16 species, and we complemented these with the most up-to-date information extracted from global databases on IAS. We show that most of the study species reached Europe as pets that escaped from captivity or were intentionally released. On average, 1.2 species’ new first records/year were documented in European countries in the period 1981-2020, and most species are still expanding their alien ranges colonising neighbouring territories. France, Germany, Italy, and The Netherlands are the most invaded nations, and the muskrat ( Ondatra zibethicus ), the raccoon dog ( Nyctereutes procyonoides ), and the American mink ( Neovison vison ) are the most widespread species, having invaded at least 27 countries each. Invasive mammals of European Union concern are threatening native biodiversity and human well-being: worryingly, 81.3% of t</w:t>
      </w:r>
    </w:p>
    <w:p>
      <w:r>
        <w:t>POSSIBLE 2021: Recent pension reforms in Europe: More challenges, new directions. An overview — https://doi.org/10.1111/spol.12712</w:t>
      </w:r>
    </w:p>
    <w:p>
      <w:r>
        <w:t>Shared claim-specific concepts: abstract, adapted, during, recent; EU scope visible. This is a provisional connection, not an outcome finding.</w:t>
      </w:r>
    </w:p>
    <w:p>
      <w:r>
        <w:t>Available abstract (not full text): Abstract During the last 30 years, all European Union member states have reformed their pension systems. In view of ongoing and intensifying population aging, efforts have aimed at containing the future rise of the contribution rate, improving the system dependency ratio, lowering the benefit ratio and/or infusing tax money or other financial resources into the system. Moreover, since about the early 2000s, we can observe a move towards a multi‐pillar pension system in countries hitherto running a dominant‐pillar system: private pre‐funded occupational pensions and individual provision for old age are given larger roles within the public–private mix of retirement income. An analysis of reforms shows a finite menu of adjustment options, and concrete measures have to be adapted to nation‐specific institutional contexts. Finally, we can conclude that pension reforms focusing on long‐term financial sustainability may increase the risk of old‐age poverty and, thus, violate a central objective of pension schemes.</w:t>
      </w:r>
    </w:p>
    <w:p>
      <w:r>
        <w:t>POSSIBLE 2021: Adapting a Circular Economy in Regional Strategies of the European Union — https://doi.org/10.3390/su13031518</w:t>
      </w:r>
    </w:p>
    <w:p>
      <w:r>
        <w:t>Shared claim-specific concepts: but, keep; EU scope visible. This is a provisional connection, not an outcome finding.</w:t>
      </w:r>
    </w:p>
    <w:p>
      <w:r>
        <w:t>Available abstract (not full text): The transition towards a sustainable circular economy (CE) model is seen as a solution to keep the consumption of the earth’s resources within planetary boundaries. In the regional context, the CE is promoted through various policy actions, one being the smart specialisation concept. This paper provides a novel approach to examining the spatial adaption of a CE through a conceptual framework of research and innovation strategies for smart specialisation (S3) in Europe. This interdisciplinary research presents a multi-country comparison of S3 implementation in Europe in 12 regions that have defined the CE as a priority area. The data consist of interviews with representatives of organisations responsible for the regional S3 process. The findings indicate that a political demand exists for proceeding further with the construction of transformative activities involving the CE, but the models and stages of implementation vary. In addition, most regions still struggle with building specific monitoring and evaluation measures and mechanisms for the CE. Despite these challenges, promoting the CE as a strategic priority through the S3 process has, at least in some regions, helped define the CE targets and actions by focusing on existing regional assets and future potential.</w:t>
      </w:r>
    </w:p>
    <w:p>
      <w:pPr>
        <w:pStyle w:val="Heading2"/>
      </w:pPr>
      <w:r>
        <w:t>Current and Future Issues in BPM Research: A European Perspective from the ERCIS Meeting 2010</w:t>
      </w:r>
    </w:p>
    <w:p>
      <w:r>
        <w:t>Original source (2011): https://doi.org/10.17705/1cais.02825</w:t>
      </w:r>
    </w:p>
    <w:p>
      <w:r>
        <w:t>Original wording (abstract; indexed_source_text_not_full_document_verified): This article reflects on a workshop on current and future issues in BPM research that was conducted by seventeen IS researchers from eight European countries as part of the 2010 annual meeting of the European Research Center for Information Systems (ERCIS). The results of this workshop suggest that BPM research can meaningfully contribute to investigating a broad variety of phenomena that are of interest to IS scholars, ranging from rather technical (e.g., the implementation of software architectures) to managerial (e.g., the impact of organizational culture on process performance).</w:t>
      </w:r>
    </w:p>
    <w:p>
      <w:r>
        <w:t>POSSIBLE 2026: The BPM Goal Hexagon: an update to the Devil’s Quadrangle — https://doi.org/10.1007/s11301-026-00586-0</w:t>
      </w:r>
    </w:p>
    <w:p>
      <w:r>
        <w:t>Shared claim-specific concepts: current, bpm, suggest; EU scope not established. This is a provisional connection, not an outcome finding.</w:t>
      </w:r>
    </w:p>
    <w:p>
      <w:r>
        <w:t>Available abstract (not full text): Abstract Business process management has traditionally focused on time, cost, quality, and flexibility as goal dimensions, known as the Devil’s Quadrangle. In light of novel emerging factors such as employee values, environmental, social, and governance requirements, as well as conscious business models, this paper investigates whether the traditional four goal dimensions of the Devil’s Quadrangle remain suitable today. Based on an extensive analysis of recent business process redesign projects published in case studies, we offer a timely assessment of the adequacy of the Devil’s Quadrangle in current times and suggest extensions to the concept, incorporating insights from a secondary study on robotic process automation. More specifically, we extend the Devil’s Quadrangle to the BPM Goal Hexagon by retaining time, quality, and flexibility, but refocusing cost to a more balanced economics dimension and adding a people dimension as well as an environment dimension. The BPM Goal Hexagon offers scholars and practitioners a timely tool to revisit the real-world relevance and sufficiency of their business process management project goals, methods, and tools.</w:t>
      </w:r>
    </w:p>
    <w:p>
      <w:r>
        <w:t>POSSIBLE 2026: Benefits and Challenges in BPM Adoption in Organizations: An Analysis of Industry Professionals’ Perceptions — https://doi.org/10.5753/sbsi.2026.248288</w:t>
      </w:r>
    </w:p>
    <w:p>
      <w:r>
        <w:t>Shared claim-specific concepts: bpm, conducted, information, systems; EU scope not established. This is a provisional connection, not an outcome finding.</w:t>
      </w:r>
    </w:p>
    <w:p>
      <w:r>
        <w:t>Available abstract (not full text): Research Context: Business Process Management (BPM) is as a key strategic approach to enhance organizational efficiency and align operations with digital transformation. In the face of constant technological evolution and market demands, organizations are challenged to integrate BPM within increasingly dynamic environments, where people, processes, and technologies must operate in synergy. Scientific and/or Practical Problem: It is crucial to understand how BPM is currently perceived, implemented, and evaluated in organizations, considering both the consolidated theoretical foundations of recent decades and the new practices that are emerging in organizational contexts. Proposed Solution and/or Analysis: This study investigates the critical success factors, main challenges, and perceived benefits of BPM adoption, based on the perspectives of professionals from both public and private organizations. The focus is on the organizational domain and the interplay between people, processes, and technologies. Related IS Theory: The research is grounded in the Socio-technical Systems Theory, which views organizations as interdependent systems composed of social and technical subsystems. This theory supports the analysis of how BPM effectiveness depends on the balanced integration of human, technological, and organizational elements. Research Method: A survey was conducted with 62 profes</w:t>
      </w:r>
    </w:p>
    <w:p>
      <w:r>
        <w:t>POSSIBLE 2025: Farmers’ and stakeholders’ views on the adoption of agroecological practices. Results from participatory workshops in European countries — https://doi.org/10.12688/openreseurope.20536.1</w:t>
      </w:r>
    </w:p>
    <w:p>
      <w:r>
        <w:t>Shared claim-specific concepts: article, conducted, countries, information; EU scope visible. This is a provisional connection, not an outcome finding.</w:t>
      </w:r>
    </w:p>
    <w:p>
      <w:r>
        <w:t>Available abstract (not full text): Agroecological practices are prerequisites for many agri-environmental schemes in Europe and are increasingly being integrated into the EU's Common Agricultural Policy. Against the backdrop of recent protests by farmers in many European countries, with various grievances based on perceived tightening of environmental regulations and economic pressures, these protests raise questions about how farmer perceptions might hinder the adoption of agroecological practices. A series of workshops with farmers, farm advisors, and other supply chain stakeholders were organized between 2022 and 2023 in different European countries to facilitate knowledge sharing and to learn farmers' and stakeholders' views. Exercises were conducted during the workshops to explore the extent to which farmers were adopting practices that directly or indirectly promote biodiversity. The third and final phase aimed to better understand the motivations, needs, and potential trade-offs associated with implementing different agroecological practices, as well as their combination to promote functional biodiversity. The active participation of stakeholders was beneficial for collectively reflecting on relevant agroecological transition pathways, particularly farmers rational for implementation of agroecological practices for more sustainable agriculture in Europe. The results highlighted that participants had relat</w:t>
      </w:r>
    </w:p>
    <w:p>
      <w:r>
        <w:t>POSSIBLE 2025: Adapting BPM lifecycle to increased sustainability of processes: An approach for including sustainability in the BPM Lifecycle — https://openalex.org/W7112653822</w:t>
      </w:r>
    </w:p>
    <w:p>
      <w:r>
        <w:t>Shared claim-specific concepts: bpm, information, systems; EU scope not established. This is a provisional connection, not an outcome finding.</w:t>
      </w:r>
    </w:p>
    <w:p>
      <w:r>
        <w:t>Available abstract (not full text): Dissertation presented as the partial requirement for obtaining a Master's degree in Information Management, specialization in Information Systems Management</w:t>
      </w:r>
    </w:p>
    <w:p>
      <w:r>
        <w:t>POSSIBLE 2024: Consensus report of the second European Consensus Workshop on Education in Periodontology — https://doi.org/10.1111/jcpe.13983</w:t>
      </w:r>
    </w:p>
    <w:p>
      <w:r>
        <w:t>Shared claim-specific concepts: workshop, meeting, information; EU scope visible. This is a provisional connection, not an outcome finding.</w:t>
      </w:r>
    </w:p>
    <w:p>
      <w:r>
        <w:t>Available abstract (not full text): BACKGROUND: The second European Consensus Workshop on Education in Periodontology was commissioned, as a result of the changes in the discipline and the advances in educational methods/technology, to update the 2009 Consensus report of the first European Federation of Periodontology (EFP) Workshop on the same topic that was jointly authored by the Association for Dental Education in Europe. AIM: To identify and propose changes necessary in periodontal education at three levels, namely undergraduate, specialist and continuing professional development (CPD), with respect to learning outcomes, competencies and methods of learning/training and evaluation. METHODS: Four working groups (WGs) considered education in periodontology at the undergraduate, specialist and CPD levels, and education methods. Four commissioned position papers, one per WG, summarized the relevant information. Workshop participants gathered at an in-person consensus meeting to discuss the individual reviews, and this consensus report summarizes the conclusions. RESULTS: The learning outcomes for undergraduate and specialist education in periodontology have been updated, and a proposal for learning outcomes for CPD programmes was made. Learning/teaching/training and evaluation methods were proposed for each level of education, which included face-to-face, virtual and blended learning methods. CONCLUSION: Develop</w:t>
      </w:r>
    </w:p>
    <w:p>
      <w:r>
        <w:t>POSSIBLE 2023: 10.M. Workshop: Community Health Practice and Research in Europe: Up front and centre! — https://doi.org/10.1093/eurpub/ckad160.674</w:t>
      </w:r>
    </w:p>
    <w:p>
      <w:r>
        <w:t>Shared claim-specific concepts: workshop, researchers, countries, systems; EU scope visible. This is a provisional connection, not an outcome finding.</w:t>
      </w:r>
    </w:p>
    <w:p>
      <w:r>
        <w:t>Available abstract (not full text): Abstract Community Health (CH) is one of the most undervalued and poorly funded domains of action of health systems. Although evidence is strong on its contribution to population health, well-being and equity, national and regional health systems, and to some extent public health institutions, tend to pay little attention to its contribution. Community health encompasses the application of health promotion principles and strategies at the local level to improve equity and resilience of a community. It does so through three fundamental means: cross-sectoral collaborations, community involvement/engagement, and community health workers (CHW). It engages and works with communities in a culturally appropriate manner in order to implement effective strategies. In community health, capacity building is essential. The aim of this workshop is three-fold: 1) to generate a discussion among participants on the state of practice and research, 2) to reflect on strategies to strengthen and improve community health in Europe and, 3) to enhance the visibility of this domain within the ranks of the European Public Health Association (EUPHA). The workshop will provide a space for reflections and discussions. Each of our speakers, who are researchers from 5 different countries (Belgium, Czech Republic, Germany, Spain, and UK), will have 5 minutes to provide some elements of answers to the two fol</w:t>
      </w:r>
    </w:p>
    <w:p>
      <w:r>
        <w:t>POSSIBLE 2023: Application of the BPM-Kraljic Model to Improve Supply Management in an Agroindustrial MSE — https://doi.org/10.46254/na07.20220457</w:t>
      </w:r>
    </w:p>
    <w:p>
      <w:r>
        <w:t>Shared claim-specific concepts: article, bpm, information; EU scope not established. This is a provisional connection, not an outcome finding.</w:t>
      </w:r>
    </w:p>
    <w:p>
      <w:r>
        <w:t>Available abstract (not full text): Studies present insufficient information on working models within the purchasing area using the BPM tool for agroindustrial companies, especially in Latin America, which aim to improve performance and optimize the processes of an organization.For this reason, the need for this research arises.This scientific article presents a model to improve supply management.The BPM methodology was proposed to standardize internal processes and the Kraljic matrix, a tool used in purchasing management to classify materials and optimize purchase planning.The level of compliance within the purchasing area did not satisfy the established policies, reaching only 55.96% and generating a gap in the savings goal of approximately S/.500,000.This causes an imbalance at the administrative and operational level due to a lack of general standardization of the processes.This triggered problems at the macro level, such as lack of communication between areas, inefficient operations, and economic losses.The proposal that was carried out covers different areas, such as a harmonization within the administrative processes to reduce time variability and logistics focused on the efficient management of purchases and classification of materials.It was possible to prove the hypothesis; it is feasible to reach 85% of the target scope by restructuring the areas and generating strategies.The simulation could prove the</w:t>
      </w:r>
    </w:p>
    <w:p>
      <w:r>
        <w:t>POSSIBLE 2023: Blockchain and Business Process Management (BPM) Synergy: A Comparative Analysis of Modeling Approaches — https://doi.org/10.3390/info15010009</w:t>
      </w:r>
    </w:p>
    <w:p>
      <w:r>
        <w:t>Shared claim-specific concepts: bpm, part, investigating; EU scope not established. This is a provisional connection, not an outcome finding.</w:t>
      </w:r>
    </w:p>
    <w:p>
      <w:r>
        <w:t>Available abstract (not full text): Blockchain technology has become a powerful disruptive force that upends established ideas in several industries. A fascinating point of convergence is that of blockchain technology and Business Process Management (BPM), where the distributed and immutable characteristics of blockchain promise to completely transform the modeling, implementation, and oversight of business processes. This symbiosis offers a singular chance to develop corporate processes that are more efficient, safe, and transparent. Nevertheless, to guarantee that blockchain-specific components are accurately represented in these processes, modeling techniques need to be critically examined as part of integrating blockchain into BPM. This literature review examines blockchain-BPM integration using different modeling methodologies. Though well-established, traditional BPM approaches may need help with blockchain-specific aspects. Blockchain-oriented modeling includes smart contracts and decentralized consensus. Hybrid models with blockchain and traditional elements are popular. Adaptability, model clarity, and blockchain integration are evaluated in the analysis. This literature review aims to improve corporate processes’ efficiency, security, and transparency by investigating how to model the integration of blockchain and BPM better.</w:t>
      </w:r>
    </w:p>
    <w:p>
      <w:r>
        <w:t>POSSIBLE 2022: Tackling the translational challenges of multi-omics research in the realm of European personalised medicine: A workshop report — https://doi.org/10.3389/fmolb.2022.974799</w:t>
      </w:r>
    </w:p>
    <w:p>
      <w:r>
        <w:t>Shared claim-specific concepts: article, reflects, workshop; EU scope visible. This is a provisional connection, not an outcome finding.</w:t>
      </w:r>
    </w:p>
    <w:p>
      <w:r>
        <w:t>Available abstract (not full text): Personalised medicine (PM) presents a great opportunity to improve the future of individualised healthcare. Recent advances in -omics technologies have led to unprecedented efforts characterising the biology and molecular mechanisms that underlie the development and progression of a wide array of complex human diseases, supporting further development of PM. This article reflects the outcome of the 2021 EATRIS-Plus Multi-omics Stakeholder Group workshop organised to 1) outline a global overview of common promises and challenges that key European stakeholders are facing in the field of multi-omics research, 2) assess the potential of new technologies, such as artificial intelligence (AI), and 3) establish an initial dialogue between key initiatives in this space. Our focus is on the alignment of agendas of European initiatives in multi-omics research and the centrality of patients in designing solutions that have the potential to advance PM in long-term healthcare strategies.</w:t>
      </w:r>
    </w:p>
    <w:p>
      <w:r>
        <w:t>POSSIBLE 2022: The influence of BPM-supportive culture and individual process orientation on process conformance — https://doi.org/10.1108/bpmj-08-2020-0363</w:t>
      </w:r>
    </w:p>
    <w:p>
      <w:r>
        <w:t>Shared claim-specific concepts: bpm, conducted, contribute; EU scope not established. This is a provisional connection, not an outcome finding.</w:t>
      </w:r>
    </w:p>
    <w:p>
      <w:r>
        <w:t>Available abstract (not full text): Purpose Organizations rely on their business processes to achieve their business objectives and ensure compliance with relevant laws and regulations. Hence, conformance to process specifications is essential to remain compliant. Various factors influence an organization’s ability to operate in conformance to its process specifications. This study investigates the influence of business process management (BPM)-supportive culture and individual process orientation on process conformance. Design/methodology/approach A construct was created for perceived process conformance and two constructs were selected from literature to represent BPM-supportive culture and individual process orientation. A survey was conducted with 178 employees of a global enterprise, hypotheses were formulated, and a statistical model was constructed and validated. Findings Results pinpoint the key role of the BPM-supportive culture in influencing both individual process orientation and conformance. Individual process orientation is also found to have a significant influence on process conformance. The findings provide additional evidence for the significance of human-related aspects of BPM in achieving BPM success. Originality/value The contributions of this paper help better understand how soft factors of BPM contribute to employees’ process conformance drawing on and relating concepts of BPM and organizat</w:t>
      </w:r>
    </w:p>
    <w:p>
      <w:r>
        <w:t>POSSIBLE 2019: Workshop: Developing interventions to improve migrants’ healthcare access in Europe — https://doi.org/10.1093/eurpub/ckz185.089</w:t>
      </w:r>
    </w:p>
    <w:p>
      <w:r>
        <w:t>Shared claim-specific concepts: workshop, countries, information; EU scope visible. This is a provisional connection, not an outcome finding.</w:t>
      </w:r>
    </w:p>
    <w:p>
      <w:r>
        <w:t>Available abstract (not full text): Abstract The proposed workshop “Developing interventions to improve migrants’ healthcare access in Europe” will present interim results from the cross-disciplinary MyHealth project to discuss them and the early lessons with policymakers, academics, funders and practitioners in the area of migration and health. MyHealth (Models to engage migrants and refugees in their health, through community empowerment and learning alliance) is a three-year project coordinated by Fundació Hospital de la Vall d’Hebrón, Institut de Recerca (VHIR), Barcelona, Spain and implemented by a consortium of eleven partners with the CHAFEA support in the framework of the 3rd EU Health Program. The goal of the MyHealth project is to improve the healthcare access of vulnerable migrants and refugees (VMR) newly arrived to Europe, by developing and implementing models based on the knowhow of a European multidisciplinary network. This project strongly relies on a participatory approach to ensure a beneficiary-centred approach in implementing a number of interconnected objectives. To ensure a meaningful involvement of the community we applied the Metaplan technique to identify health concerns and needs perceived by vulnerable immigrants and also by professionals from diverse backgrounds working with them at the four partnering sites (Barcelona, Berlin, Brno and Athens). The Metaplan© is a qualitative technique</w:t>
      </w:r>
    </w:p>
    <w:p>
      <w:r>
        <w:t>POSSIBLE 2019: Green BPM as a Business-Oriented Discipline: A Systematic Mapping Study and Research Agenda — https://doi.org/10.3390/su11154200</w:t>
      </w:r>
    </w:p>
    <w:p>
      <w:r>
        <w:t>Shared claim-specific concepts: article, bpm, researchers; EU scope not established. This is a provisional connection, not an outcome finding.</w:t>
      </w:r>
    </w:p>
    <w:p>
      <w:r>
        <w:t>Available abstract (not full text): Green Business Process Management (BPM) focuses on the ecological impact of business processes. This article provides a systematic mapping study of Green BPM literature to evaluate five attributes of the Green BPM research area: (1) scope, (2) disciplines, (3) accountability, (4) researchers and (5) quality control. The results allow developing a research agenda to enhance Green BPM as an approach for environmentally sustainable organizations. We rely on a dichotomy of knowledge production to present research directives relevant for both academics and practitioners in order to help close a rigor-relevance gap. The involvement of both communities is crucial for Green BPM to advance as an applied, business-oriented discipline.</w:t>
      </w:r>
    </w:p>
    <w:p>
      <w:pPr>
        <w:pStyle w:val="Heading2"/>
      </w:pPr>
      <w:r>
        <w:t>Demographic projections of future pharmaceutical consumption in the Netherlands</w:t>
      </w:r>
    </w:p>
    <w:p>
      <w:r>
        <w:t>Original source (2011): https://doi.org/10.2166/wst.2011.120</w:t>
      </w:r>
    </w:p>
    <w:p>
      <w:r>
        <w:t>Original wording (abstract; indexed_source_text_not_full_document_verified): Over the next few decades, many Western European countries will undergo a large demographic transformation introduced by the retirement of the “baby boomers” and the possibility of striking increases in longevity.</w:t>
      </w:r>
    </w:p>
    <w:p>
      <w:r>
        <w:t>POSSIBLE 2023: Anticipated Developments in OTT Platforms Over the Next Few Years — https://doi.org/10.14445/22312803/ijctt-v71i5p112</w:t>
      </w:r>
    </w:p>
    <w:p>
      <w:r>
        <w:t>Shared claim-specific concepts: over, next, few; EU scope not established. This is a provisional connection, not an outcome finding.</w:t>
      </w:r>
    </w:p>
    <w:p>
      <w:r>
        <w:t>Available abstract (not full text): The OTT platform industry is continuously evolving and advancing, and there are a number of anticipated developments expected over the next few years. The use of subscription-based models will continue to grow as it provides a reliable source of revenue for platforms and a predictable cost for consumers. Furthermore, the rise of ad-supported models is expected to gain traction as a way to increase accessibility to content and cater to those who cannot afford a subscription. The development of new technologies, such as virtual and augmented reality, will offer a new dimension to the viewing experience and may become a key differentiator for platforms. Additionally, advancements in streaming quality and device capabilities are expected to enhance the overall viewing experience and attract more consumers. This article aims to explore the anticipated advancements in OTT platforms, including the emergence of new players in the market, changes in content distribution and monetization strategies, the role of artificial intelligence and machine learning, and the impact of 5G technology. These developments will shape the future of the entertainment industry and have far-reaching implications for consumers, content creators, and distributors alike. Understanding these anticipated changes is crucial for anyone with a stake in the entertainment industry to stay ahead of the curve and remai</w:t>
      </w:r>
    </w:p>
    <w:p>
      <w:r>
        <w:t>POSSIBLE 2023: Circulation dampened heat extremes intensification over the Midwest USA and amplified over Western Europe — https://doi.org/10.1038/s43247-023-01096-7</w:t>
      </w:r>
    </w:p>
    <w:p>
      <w:r>
        <w:t>Shared claim-specific concepts: over, decades, western; EU scope visible. This is a provisional connection, not an outcome finding.</w:t>
      </w:r>
    </w:p>
    <w:p>
      <w:r>
        <w:t>Available abstract (not full text): Abstract Globally heat extremes have intensified in recent decades. However, while Western Europe shows a remarkably strong intensification of heat extremes, the Midwest United States experienced only weak warming of warmest nighttime and even a weak decrease in the intensity of daytime heat extremes since 1979. Here, we show that for daytime heat extremes in the Midwest United States atmospheric circulation induced ~1 °C cooling since 1979, reversing the thermodynamic warming trend. The observed circulation-induced trend is outside the multi-model range and the overall trend at the very low end of it. In Western Europe circulation greatly amplified warming by ~1 °C, accounting to one third of observed trend. The observed circulation- and thermodynamic-induced trends, as well as the total observed trends are at the high end of the model range in Western Europe. Understanding whether the strong circulation-induced trends are externally forced or unforced internal variability remains key to constrain future trends in heat extremes.</w:t>
      </w:r>
    </w:p>
    <w:p>
      <w:r>
        <w:t>POSSIBLE 2021: Compound precipitation and wind extremes over Europe and their relationship to extratropical cyclones — https://doi.org/10.1016/j.wace.2021.100342</w:t>
      </w:r>
    </w:p>
    <w:p>
      <w:r>
        <w:t>Shared claim-specific concepts: over, few, many, western, large, increases; EU scope visible. This is a provisional connection, not an outcome finding.</w:t>
      </w:r>
    </w:p>
    <w:p>
      <w:r>
        <w:t>Available abstract (not full text): Extratropical cyclones and their associated extreme precipitation and winds can have a severe impact on society and the co-occurrence between the two extremes is important when assessing risk. In this study the extremal dependency measure, χ, is used to quantify the co-occurrence of extreme precipitation and wind gusts, and is investigated at individual grid points and spatially over Europe. Results using three observational datasets and a higher spatial and temporal resolution version of ERA5 than previously used confirm previous studies. Over Europe high co-occurrence is found over western coasts and low co-occurrence is found over eastern coasts. All datasets have qualitatively similar spatial patterns over most regions of Europe excluding some regions of high topography where ERA5 χ values are much larger. ERA5 represents the timings of daily extreme co-occurring events well, compared to observations. The differences in precipitation accumulation timescales are also accounted for by considering hourly, 6, 24 and 48 hourly co-occurrence. In a few regions co-occurrence changes with longer accumulations, indicating the different speeds and sizes of weather systems affecting these regions. χ in most regions has little increase by allowing a 24 h lag and lead between the precipitation and wind, with a few exceptions where χ is increased by up to 24%. Regions with the larger of t</w:t>
      </w:r>
    </w:p>
    <w:p>
      <w:r>
        <w:t>POSSIBLE 2021: Modelling Eurasian lynx populations in Western Europe: What prospects for the next 50 years? — https://doi.org/10.1101/2021.10.22.465393</w:t>
      </w:r>
    </w:p>
    <w:p>
      <w:r>
        <w:t>Shared claim-specific concepts: over, next, western, large; EU scope visible. This is a provisional connection, not an outcome finding.</w:t>
      </w:r>
    </w:p>
    <w:p>
      <w:r>
        <w:t xml:space="preserve">Available abstract (not full text): Abstract Persistence of populations may be uncertain for large carnivore species, especially for those established in human-dominated landscapes. Here, we studied the Eurasian lynx in Western Europe established in the Upper Rhine meta-population (i.e., Jura, Vosges-Palatinian and Black Forest populations) and the Alpine population. These populations are currently considered endangered or critically endangered due to high anthropogenic mortality, small population size and low genetic diversity, and isolation. We assessed lynx persistence over a 50-year time horizon by implementing a spatially-explicit individual-based model, while accounting for road mortality and habitat selection. Forecasts showed a steady growth rapidly reaching a more stable phase for the Alpine and Jura populations, and a more heterogeneous positive growth with less precision for the Vosges-Palatinian and Black Forest populations. Exchanges of individuals between populations were limited, the Jura population playing the role of a crossroad. Finally, the persistence of lynx in Western Europe seems likely on a large scale over the next 50 years. Indeed, simulations showed high female occupancy as well as average lynx density over the core areas of the four studied populations. Nevertheless, these results should be interpreted with the model limitations in mind, concerning the absence of movement barriers and </w:t>
      </w:r>
    </w:p>
    <w:p>
      <w:r>
        <w:t>POSSIBLE 2020: An annotated checklist of bryophytes of Europe, Macaronesia and Cyprus — https://doi.org/10.1080/03736687.2019.1694329</w:t>
      </w:r>
    </w:p>
    <w:p>
      <w:r>
        <w:t>Shared claim-specific concepts: over, next, few, many; EU scope visible. This is a provisional connection, not an outcome finding.</w:t>
      </w:r>
    </w:p>
    <w:p>
      <w:r>
        <w:t>Available abstract (not full text): Introduction.Following on from work on the European bryophyte Red List, the taxonomically and nomenclaturally updated spreadsheets used for that project have been expanded into a new checklist for the bryophytes of Europe.Methods.A steering group of ten European bryologists was convened, and over the course of a year, the spreadsheets were compared with previous European checklists, and all changes noted.Recent literature was searched extensively.A taxonomic system was agreed, and the advice and expertise of many European bryologists sought.Key results.A new European checklist of bryophytes, comprising hornworts, liverworts and mosses, is presented.Fifteen new combinations are proposed.Conclusions.This checklist provides a snapshot of the current European bryophyte flora in 2019.It will already be out-of-date on publication, and further research, particularly molecular work, can be expected to result in many more changes over the next few years.</w:t>
      </w:r>
    </w:p>
    <w:p>
      <w:r>
        <w:t>POSSIBLE 2020: Diverging hydrological drought traits over Europe with global warming — https://doi.org/10.5194/hess-24-5919-2020</w:t>
      </w:r>
    </w:p>
    <w:p>
      <w:r>
        <w:t>Shared claim-specific concepts: over, many, large; EU scope visible. This is a provisional connection, not an outcome finding.</w:t>
      </w:r>
    </w:p>
    <w:p>
      <w:r>
        <w:t>Available abstract (not full text): Abstract. Climate change is anticipated to alter the demand and supply of water at the earth's surface. Since many societal impacts from a lack of water happen under drought conditions, it is important to understand how droughts may develop with climate change. This study shows how hydrological droughts will change across Europe with increasing global warming levels (GWL of 1.5, 2 and 3 K above preindustrial temperature). We employ a low-flow index derived from river discharge simulations of a spatially-distributed physically-based hydrological and water use model, which was forced with a large ensemble of regional climate model projections under a high emissions (RCP8.5) and moderate mitigation (RCP4.5) pathway. Different traits of drought, including severity, duration and frequency, were investigated. The projected changes in these treats identify four main sub-regions in Europe that are characterized by somehow homogeneous and distinct behaviours with a clear southwest/northeast contrast. The Mediterranean and Boreal sub-regions of Europe show strong, but opposite, changes at all three GWLs, with the former area mostly interested by stronger droughts (with larger differences at 3 K) while the latter sees a reduction in droughts. In the Atlantic and Continental sub-regions the changes are less marked and characterized by a larger uncertainty, especially at the 1.5 and 2 K GWL</w:t>
      </w:r>
    </w:p>
    <w:p>
      <w:r>
        <w:t>POSSIBLE 2019: Explaining carsharing supply across Western European cities — https://doi.org/10.1080/15568318.2018.1542756</w:t>
      </w:r>
    </w:p>
    <w:p>
      <w:r>
        <w:t>Shared claim-specific concepts: many, western, countries, striking; EU scope visible. This is a provisional connection, not an outcome finding.</w:t>
      </w:r>
    </w:p>
    <w:p>
      <w:r>
        <w:t>Available abstract (not full text): Carsharing can partially replace private ownership of vehicles with a service that allows the use of a car temporarily on an on-demand basis. In this study, we analyze the supply of shared cars across 177 cities in five Western European countries (Belgium, France, Germany, The Netherlands, United Kingdom), while distinguishing between the traditional business-to-consumer (B2C) business model and the more recent peer-to-peer (P2P) business model. The data on carsharing supply is individually collected of all operators in the respective cities, while data of city characteristics is drawn from international or national statistical databases. We explain carsharing supply using comparable data of 14 explanatory variables. The results indicate that carsharing is popular in cities with a high educational level or university presence and, in the B2C case, with many green party votes. Furthermore, carsharing is less popular in cities with many car commuters. Particularly striking are the differences between countries, with peer-to-peer carsharing being especially popular in French cities and business-to-consumer carsharing in Germany. We reflect on the findings in the light of (sustainable) mobility policy options.</w:t>
      </w:r>
    </w:p>
    <w:p>
      <w:r>
        <w:t>POSSIBLE 2017: Prevalence of Age-Related Macular Degeneration in Europe — https://doi.org/10.1016/j.ophtha.2017.05.035</w:t>
      </w:r>
    </w:p>
    <w:p>
      <w:r>
        <w:t>Shared claim-specific concepts: over, next, decades, countries; EU scope visible. This is a provisional connection, not an outcome finding.</w:t>
      </w:r>
    </w:p>
    <w:p>
      <w:r>
        <w:t>Available abstract (not full text): PURPOSE: Age-related macular degeneration (AMD) is a frequent, complex disorder in elderly of European ancestry. Risk profiles and treatment options have changed considerably over the years, which may have affected disease prevalence and outcome. We determined the prevalence of early and late AMD in Europe from 1990 to 2013 using the European Eye Epidemiology (E3) consortium, and made projections for the future. DESIGN: Meta-analysis of prevalence data. PARTICIPANTS: A total of 42 080 individuals 40 years of age and older participating in 14 population-based cohorts from 10 countries in Europe. METHODS: AMD was diagnosed based on fundus photographs using the Rotterdam Classification. Prevalence of early and late AMD was calculated using random-effects meta-analysis stratified for age, birth cohort, gender, geographic region, and time period of the study. Best-corrected visual acuity (BCVA) was compared between late AMD subtypes; geographic atrophy (GA) and choroidal neovascularization (CNV). MAIN OUTCOME MEASURES: Prevalence of early and late AMD, BCVA, and number of AMD cases. RESULTS: Prevalence of early AMD increased from 3.5% (95% confidence interval [CI] 2.1%-5.0%) in those aged 55-59 years to 17.6% (95% CI 13.6%-21.5%) in those aged ≥85 years; for late AMD these figures were 0.1% (95% CI 0.04%-0.3%) and 9.8% (95% CI 6.3%-13.3%), respectively. We observed a decreasing prev</w:t>
      </w:r>
    </w:p>
    <w:p>
      <w:r>
        <w:t>POSSIBLE 2017: Children’s health in Europe - challenges for the next decades — https://doi.org/10.1093/heapro/dax023</w:t>
      </w:r>
    </w:p>
    <w:p>
      <w:r>
        <w:t>Shared claim-specific concepts: over, next, decades, many; EU scope visible. This is a provisional connection, not an outcome finding.</w:t>
      </w:r>
    </w:p>
    <w:p>
      <w:r>
        <w:t>Available abstract (not full text): These reflections from a Child Public Health perspective underline the dramatic changes in children's conditions in Europe over this last century, including a considerable improvement in health. However, we still face problems, disturbing facts and alarming signs. There are important gaps in our knowledge about essential areas of children's health panorama and about particularly vulnerable sub-groups of children, which are less healthy, less well cared for and not enjoying the good conditions of life. We also see an evident lack of the child's perspective, implying acknowledgement and action on the views of the children themselves. Moreover, in spite of the generally improving standard, societal inequity in economy, education and health is increasing and the recent economic crises have struck hard on families with children. There are many good signs implying continuing progress for children and their conditions and also an improved respect for their rights. But with the increasing segregation in our societies, the risk is imminent that the health problems will increase, and that some groups get left far behind. Although actions on this field are primarily a political responsibility, people working with children can make a difference. There are also many examples of projects, particularly on local levels, where professionals act to promote children's health, prevent their ill-he</w:t>
      </w:r>
    </w:p>
    <w:p>
      <w:r>
        <w:t>POSSIBLE 2016: Understanding the rapid summer warming and changes in temperature extremes since the mid-1990s over Western Europe — https://doi.org/10.1007/s00382-016-3158-8</w:t>
      </w:r>
    </w:p>
    <w:p>
      <w:r>
        <w:t>Shared claim-specific concepts: over, next, few, decades, many, western; EU scope visible. This is a provisional connection, not an outcome finding.</w:t>
      </w:r>
    </w:p>
    <w:p>
      <w:r>
        <w:t>Available abstract (not full text): Analysis of observations indicates that there was a rapid increase in summer (June–August) mean surface air temperature (SAT) since the mid-1990s over Western Europe. Accompanying this rapid warming are significant increases in summer mean daily maximum temperature, daily minimum temperature, annual hottest day temperature and warmest night temperature, and an increase in frequency of summer days and tropical nights, while the change in the diurnal temperature range (DTR) is small. This study focuses on understanding causes of the rapid summer warming and associated temperature extreme changes. A set of experiments using the atmospheric component of the state-of-the-art HadGEM3 global climate model have been carried out to quantify relative roles of changes in sea surface temperature (SST)/sea ice extent (SIE), anthropogenic greenhouse gases (GHGs), and anthropogenic aerosols (AAer). Results indicate that the model forced by changes in all forcings reproduces many of the observed changes since the mid-1990s over Western Europe. Changes in SST/SIE explain 62.2 ± 13.0 % of the area averaged seasonal mean warming signal over Western Europe, with the remaining 37.8 ± 13.6 % of the warming explained by the direct impact of changes in GHGs and AAer. Results further indicate that the direct impact of the reduction of AAer precursor emissions over Europe, mainly through aerosol-radiati</w:t>
      </w:r>
    </w:p>
    <w:p>
      <w:r>
        <w:t>POSSIBLE 2016: An overview of the progress and challenges of peatland restoration in Western Europe — https://doi.org/10.1111/rec.12415</w:t>
      </w:r>
    </w:p>
    <w:p>
      <w:r>
        <w:t>Shared claim-specific concepts: over, many, western, countries; EU scope visible. This is a provisional connection, not an outcome finding.</w:t>
      </w:r>
    </w:p>
    <w:p>
      <w:r>
        <w:t>Available abstract (not full text): Abstract Peatlands are the most efficient terrestrial carbon store on Earth, and deliver multiple other ecosystem services including climate regulation, water purification, preservation of ecological and archaeological records, etc. Disturbed and degraded peatlands do not provide the same ecological services and thus bear a significant cost to society. Because this cost may be alleviated by appropriate restoration measures, money is being invested in peatland restoration projects around the world. Here, we review over 25 years of restoration in Western Europe. First, we provide an overview of techniques used in different contexts and evaluate the status of the evidence base for restoration outcomes. Between 1993 and 2015, the EU‐LIFE nature programme alone invested 167.6M € in 80 projects, which aim to restore over 913 km2 of peatland habitats in Western European countries, mostly in protected sites part of the Natura 2000 EU network. This represents less than 2% of the total remaining area of peatlands in these countries, most of which have been impacted to some degree by anthropogenic disturbances. Potential for restoration should be considered in nondesignated sites. We reviewed a number of case studies covering a range of restoration approaches used in different parts of Western Europe. We found that published evidence of restoration progress was limited to specific sites/a</w:t>
      </w:r>
    </w:p>
    <w:p>
      <w:r>
        <w:t>POSSIBLE 2015: Pneumococcal serotype evolution in Western Europe — https://doi.org/10.1186/s12879-015-1147-x</w:t>
      </w:r>
    </w:p>
    <w:p>
      <w:r>
        <w:t>Shared claim-specific concepts: many, western, countries, introduced; EU scope visible. This is a provisional connection, not an outcome finding.</w:t>
      </w:r>
    </w:p>
    <w:p>
      <w:r>
        <w:t xml:space="preserve">Available abstract (not full text): BACKGROUND: Pneumococcal diseases remain a leading cause of vaccine-preventable death worldwide in children &lt;5 years of age. The seven-valent pneumococcal conjugate vaccine (PCV7) was approved in 2001 in Europe and was introduced into the national immunization programmes of many European countries from 2006-2008. In 2009, higher-valent PCVs (PCV10 and PCV13) became available, replacing PCV7 from 2009-2011. This article describes the evolution of vaccine and non-vaccine serotypes causing invasive pneumococcal disease (IPD) following the introduction of PCVs in Western Europe, based on data from publicly-available medical publications and national surveillance systems from January 2010 to May 2015. DISCUSSION: In countries with high vaccine uptake, 5-7 years after PCV7 introduction IPD caused by vaccine serotypes has almost disappeared in children. Non-PCV7 serotypes have emerged, particularly serotypes 19A, 7 F, 3 and 1. A rapid and significant reduction of the additional serotypes included in higher-valent vaccines has been observed consistently following the introduction of these vaccines. A significant and rapid decline of serotypes 19A, 7 F, 1 and 6A in both vaccine-eligible and older age groups has been observed in countries using PCV13 while serotype 19A and 3 has increased in countries using PCV10. Serotype 3 has become one of the most prevalent serotypes in adults, with </w:t>
      </w:r>
    </w:p>
    <w:p>
      <w:pPr>
        <w:pStyle w:val="Heading2"/>
      </w:pPr>
      <w:r>
        <w:t>Developments in Energy use for Transport in 27 European Union Countries through 2030</w:t>
      </w:r>
    </w:p>
    <w:p>
      <w:r>
        <w:t>Original source (2011): https://doi.org/10.3141/2252-05</w:t>
      </w:r>
    </w:p>
    <w:p>
      <w:r>
        <w:t>Original wording (abstract; indexed_source_text_not_full_document_verified): As a consequence, GHG emissions by transport will decline 12% by 2030 compared with 2005; in the reference scenario in the same period, emissions are expected to grow 17%. The model suite applied in iTREN-2030 comprises POLES (prospective outlook on long-term energy systems), a simulation model for development of long-term (2050) energy supply-and-demand scenarios; TREMOVE; ASTRA (assesment of transport strategies); and TRANS-TOOLS.</w:t>
      </w:r>
    </w:p>
    <w:p>
      <w:r>
        <w:t>POSSIBLE 2026: Forecast reconciliation of agricultural GHG emissions in Europe with fuzzy clustering — https://doi.org/10.1007/s10479-026-07363-y</w:t>
      </w:r>
    </w:p>
    <w:p>
      <w:r>
        <w:t>Shared claim-specific concepts: ghg, emissions, compared; EU scope visible. This is a provisional connection, not an outcome finding.</w:t>
      </w:r>
    </w:p>
    <w:p>
      <w:r>
        <w:t>Available abstract (not full text): Abstract We propose a novel statistical procedure which combines forecasting reconciliation techniques and unsupervised clustering algorithms to forecast annual greenhouse gases emissions at the territorial level. Specifically, we aim at predicting future emissions from the agricultural sector for Europe by aggregating bottom-level regional forecasts to the national and continental levels. Fuzzy clustering is used to define aggregations of bottom and middle-level series into clusters based on the similarity of emissions patterns; then, the fuzzy hierarchies are combined with the original administrative aggregation structure to improve the prediction accuracy of forecasting models. Empirical results show that fuzzy clustering aggregation, by leveraging uncertainty compared to crisp approaches, enhances forecast reconciliation accuracy at all levels of the hierarchy. Our approach offers a scalable solution to enhance forecast accuracy and reliability, particularly for short time series characterized by complex hierarchical structures.</w:t>
      </w:r>
    </w:p>
    <w:p>
      <w:r>
        <w:t>POSSIBLE 2025: Crayfish and Climate: how invasive species amplify aquatic GHG emissions — https://doi.org/10.5194/egusphere-egu25-6790</w:t>
      </w:r>
    </w:p>
    <w:p>
      <w:r>
        <w:t>Shared claim-specific concepts: ghg, emissions, decline, compared, systems; EU scope visible. This is a provisional connection, not an outcome finding.</w:t>
      </w:r>
    </w:p>
    <w:p>
      <w:r>
        <w:t>Available abstract (not full text): Since their introduction to European waters in the 1970s, the invasive red swamp crayfish Procambarus clarkii has rapidly expanded due to traits such as rapid reproduction, high environmental tolerance, and opportunistic feeding. P. clarkii can significantly transform freshwater ecosystems, causing extensive reduction in plant coverage, predation on amphibians and other macroinvertebrates, and a decline in native crayfish species populations. In many systems, the expansion of P. clarkii has lead to a dramatic reduction in plant coverage at specific sites. While numerous studies have explored how climate change influences the spread of invasive species, little is known about the reverse relationship: how invasive species contribute to climate change.As a country with an extensive network of freshwater ecosystems, the Netherlands provides an excellent opportunity to study the effect of invasive species on aquatic GHG emissions. More than half of the Dutch territory has already been invaded by crayfish, with detrimental effects on submerged plants. Additionally, ditches serve as significant hotspots for GHG emissions, with estimates suggesting they are responsible for approximately 10–16% of the Dutch national annual CH4 emissions. These estimates are largely based on measurements in ditches dominated by submerged plants, which have been shown to mitigate CH₄ emissions through mec</w:t>
      </w:r>
    </w:p>
    <w:p>
      <w:r>
        <w:t>POSSIBLE 2022: Literature review on policies to mitigate GHG emissions for cement and concrete — https://doi.org/10.1016/j.resconrec.2022.106278</w:t>
      </w:r>
    </w:p>
    <w:p>
      <w:r>
        <w:t>Shared claim-specific concepts: ghg, emissions, energy; EU scope not established. This is a provisional connection, not an outcome finding.</w:t>
      </w:r>
    </w:p>
    <w:p>
      <w:r>
        <w:t>Available abstract (not full text): The production and use of cement, the binding agent in concrete, emits seven percent of global greenhouse gas emissions annually. Achieving climate change mitigation targets, such as those proposed in the Paris Agreement, requires emission reductions from this sector. The body of research on technical solutions to cement and concrete decarbonization is wide, but technical measures must be coupled with effective policy to achieve decarbonization. This study undertakes a review of previous research on cement and concrete decarbonization and analyzes the most common proposed measures along their level of action, involved stakeholders, barriers to implementation, and coordinated policy actions. The review yielded 37 studies from peer-reviewed articles and technical reports. Analysis showed consensus on the primary technical measures to decarbonize. For cement production, measures include (I) improved energy efficiency, (II) fuel switching, (III) carbon capture utilization and storage, and (IV) reduction of the clinker-to-cement ratio. For concrete production and its end-uses common proposed measures include (V) alternative binders, (VI) material and construction efficiency and (VII) CO2 uptake by concrete. While the literature shows an emerging consensus around technical solutions for decarbonization, there was less clarity about preferred policy solutions and key barriers. The rev</w:t>
      </w:r>
    </w:p>
    <w:p>
      <w:r>
        <w:t>POSSIBLE 2022: The GHGs Evolution of LULUCF Sector at the European Union (EU-27 + UK): Romania Case Study — https://doi.org/10.3390/atmos13101638</w:t>
      </w:r>
    </w:p>
    <w:p>
      <w:r>
        <w:t>Shared claim-specific concepts: ghg, emissions, compared, reference, period; EU scope visible. This is a provisional connection, not an outcome finding.</w:t>
      </w:r>
    </w:p>
    <w:p>
      <w:r>
        <w:t>Available abstract (not full text): Mitigating climate change is a challenge that urgently needs to be addressed, as it has an increasing impact on the planet. According to the latest reports, global CO2 emissions must be neutralized by 2050 in order to limit the rise in temperature to 1.5 °C. This work presents the evolution of Land Use, Land Use Change and Forestry (LULUCF) greenhouse gas (GHG) emissions/removals at the EU-27 + UK level for the 1990–2019 time period, as well as LULUCF emissions/removals forecasts for Romania up to 2040. The results revealed a 23% reduction in GHG emissions for the EU-27 + UK in 2019 compared to 1990. Romania’s yearly average of GHG emissions/removals was 28,000 kt CO2 eq., representing roughly 9.7% of the EU’s annual average. In terms of projections for Romania, the only scenario that will not be in the target set by the new LULUCF Regulation is WEM (Reference Scenario/With Existing Measures), in which net GHG removals will be reduced by approximately 218 kt CO2 eq., or 0.9 percent, in 2030 compared to the reference year; in 2040 compared to 1989, the trend will be accentuated both in absolute values, with a decrease of over 3000 kt CO2 eq., and in relative values of 12%.</w:t>
      </w:r>
    </w:p>
    <w:p>
      <w:r>
        <w:t>POSSIBLE 2021: S26 An assessment of short-acting β2-agonist (SABA) use and subsequent greenhouse gas (GHG) emissions in five European countries and the consequence of their potential overuse for asthma in the UK — https://doi.org/10.1136/thorax-2020-btsabstracts.32</w:t>
      </w:r>
    </w:p>
    <w:p>
      <w:r>
        <w:t>Shared claim-specific concepts: consequence, ghg, emissions, compared, reference, period; EU scope visible. This is a provisional connection, not an outcome finding.</w:t>
      </w:r>
    </w:p>
    <w:p>
      <w:r>
        <w:t>Available abstract (not full text): Introduction The SABA Use IN Asthma (SABINA) programme associates SABA overuse (prescription of ≥3 canisters per year versus 0–2) with increased risk of exacerbations and asthma-related healthcare utilisation1; with this overuse common across Europe.2 In parallel, the environmental impact of inhaler choice receives attention but is often focussed on preventers. We analysed the volume of SABA use and its GHG emissions versus total inhaler devices and compared the U.K. with other European countries. Next, we calculated the annual volume and GHG emissions from SABA overuse in asthma in the U.K. using the SABINA U.K. study data. Methods Inhaler use was calculated using sales data obtained from life science analytics company IQVIA™ over 12 months to September 2019. Data were compared by dose, preventing confounding from device actuation count differences. SABA overuse volume in asthma i.e. sum of prescribing ≥3 prescriptions in 12 months, was extracted from Clinical Practice Research Datalink GOLD as part of SABINA U.K. (≥12 years, current asthma diagnosis, any severity, 12 month period between 2007–2019). GHG emissions of inhaler devices were estimated using published and internal AstraZeneca data on their full life cycle. Results SABA represents the majority of inhaler use and of GHG emissions in the U.K. and its neighbours (table 1). However, U.K. SABA use and GHG emissions per c</w:t>
      </w:r>
    </w:p>
    <w:p>
      <w:r>
        <w:t>POSSIBLE 2021: Perceptions of GHG emissions and renewable energy sources in Europe, Australia and the USA — https://doi.org/10.1007/s11356-021-15935-7</w:t>
      </w:r>
    </w:p>
    <w:p>
      <w:r>
        <w:t>Shared claim-specific concepts: ghg, emissions, energy; EU scope visible. This is a provisional connection, not an outcome finding.</w:t>
      </w:r>
    </w:p>
    <w:p>
      <w:r>
        <w:t>Available abstract (not full text): Unavailable</w:t>
      </w:r>
    </w:p>
    <w:p>
      <w:r>
        <w:t>POSSIBLE 2021: Assessment of the Dependence of GHG Emissions on the Support and Taxes in the EU Countries — https://doi.org/10.3390/su13147650</w:t>
      </w:r>
    </w:p>
    <w:p>
      <w:r>
        <w:t>Shared claim-specific concepts: ghg, emissions, compared, applied, energy; EU scope visible. This is a provisional connection, not an outcome finding.</w:t>
      </w:r>
    </w:p>
    <w:p>
      <w:r>
        <w:t>Available abstract (not full text): The reduction of GHG emissions is one of the priorities of the EU countries. The majority of studies show that financial support and environmental taxes are one of the most effective measures for the mitigation of the negative consequences of climate change. The EU countries employ different environmental support measures and environmental taxes to reduce GHG emissions. There is a shortage of new studies on these measures. The aim of the present study is to compare the effectiveness of the environmental support measures of the EU countries with the effectiveness of environmental taxes in relation to the reduction of GHG emissions. This study is characterized by the broad scope of its data analysis and its systematic approach to the EU’s environmental policy measures. An empirical study was performed for the EU countries with the aim of addressing this research problem and substantiating theoretical insights. A total of 27 EU member states from 2009 to 2018 were selected as research samples. The research is based on a cause-and-effect relationship, where the factors affecting environmental pollution (environmental taxes and subsidies) are the cause, and GHG emissions are the effect. Statistical research methods were used in the empirical study: descriptive statistics, the Shapiro–Wilk test, one-way analysis of variance (ANOVA), simple regression and cluster analysis. The results</w:t>
      </w:r>
    </w:p>
    <w:p>
      <w:r>
        <w:t>POSSIBLE 2021: Greenhouse Gas Emissions and Health in the Countries of the European Union — https://doi.org/10.3389/fpubh.2021.756652</w:t>
      </w:r>
    </w:p>
    <w:p>
      <w:r>
        <w:t>Shared claim-specific concepts: ghg, emissions, compared, expected; EU scope visible. This is a provisional connection, not an outcome finding.</w:t>
      </w:r>
    </w:p>
    <w:p>
      <w:r>
        <w:t>Available abstract (not full text): In the current era of globalization, a clean environment remains a crucial factor for the health of the population. Thus, improving air quality is a major focus of environmental policies, as it affects all aspects of nature, including humans. For these reasons, it is appropriate to take into account the health risks posed by greenhouse gas (GHG) emissions released into the atmosphere. With regard to global GHG emissions, there are concerns about the loss of protection of the ozone layer and it is very likely that climate change can be expected, which multiplies the environmental threat and has potentially serious global consequences. In this regard, it is important to pay increased attention to emissions that enter the atmosphere, which include countless toxic substances. The aim of this study was to examine the associations between selected GHG emissions and the health of the European Union (EU) population represented by disability-adjusted life years (DALYs). This aim was achieved using several analytical procedures (descriptive analysis, correlation analysis, cluster analysis, and panel regression analysis), which included five environmental variables (carbon dioxide (CO2), methane (CH4) in CO2 equivalent, nitrous oxide (N2O) in CO2 equivalent, hydrofluorocarbons (HFC) in CO2 equivalent, sulfur hexafluoride (SF6) in CO2 equivalent) and one health variable (DALYs). An emphasi</w:t>
      </w:r>
    </w:p>
    <w:p>
      <w:r>
        <w:t>POSSIBLE 2021: Economic Analysis of Measures for GHG Emission Reduction — https://doi.org/10.3390/su13041712</w:t>
      </w:r>
    </w:p>
    <w:p>
      <w:r>
        <w:t>Shared claim-specific concepts: ghg, emissions, period, expected, energy; EU scope visible. This is a provisional connection, not an outcome finding.</w:t>
      </w:r>
    </w:p>
    <w:p>
      <w:r>
        <w:t>Available abstract (not full text): The European Union, as a signatory to the Paris Agreement, has approached the action against greenhouse gas (GHG) emissions and climate change quite ambitiously, striving to achieve climate neutrality by 2050. Extension of the European Green Deal policy implementation to the Western Balkans can only increase the chances of the climate neutral agenda. Expectations from Montenegro in the coming period are transposable to other Western Balkans countries as they are urged to start implementing the Paris Agreement by establishing appropriate policies and measures. In this regard, this paper presents the analysis of the financial and economic analysis results of measures to reduce GHG emissions in Montenegro. With this respect, least cost analysis—cost effectiveness analysis and cost–benefit analysis were conducted. The analysis results indicated that due to the thermal power plant reconstruction, increased use of renewable energy sources and measures to increase energy efficiency, the largest reduction in GHG emissions in Montenegro in the next 10 years is expected in the energy sector.</w:t>
      </w:r>
    </w:p>
    <w:p>
      <w:r>
        <w:t>POSSIBLE 2021: The influence of ore grade decline on energy consumption and GhG emissions: The case of gold — https://doi.org/10.1016/j.envdev.2021.100683</w:t>
      </w:r>
    </w:p>
    <w:p>
      <w:r>
        <w:t>Shared claim-specific concepts: ghg, emissions, decline, energy; EU scope not established. This is a provisional connection, not an outcome finding.</w:t>
      </w:r>
    </w:p>
    <w:p>
      <w:r>
        <w:t>Available abstract (not full text): Unavailable</w:t>
      </w:r>
    </w:p>
    <w:p>
      <w:r>
        <w:t>POSSIBLE 2020: GHG Emissions Performance: Alternative Accounting Approaches for the European Union — https://doi.org/10.18267/j.pep.761</w:t>
      </w:r>
    </w:p>
    <w:p>
      <w:r>
        <w:t>Shared claim-specific concepts: ghg, emissions, period; EU scope visible. This is a provisional connection, not an outcome finding.</w:t>
      </w:r>
    </w:p>
    <w:p>
      <w:r>
        <w:t>Available abstract (not full text): This study provides evidence on the probability of adopting an accounting approach for emission allowances and greenhouse gas emissions as a function of each company's GHG emissions performance. The different accounting treatments adopted by national standard-setters and the lack of specific guidance from the International Accounting Standard Board (IASB) allow identification of the use of multiple accounting approaches. Based on a sample of 85 companies registered with the Portuguese, Spanish, and French National Plans of Allocation, data collected from the annual reports were analysed for the period 2008-2014. The results suggest that the probability of adopting omission strategies is positively associated with better GHG emissions performances. It addresses the importance of introducing the transactions of the European Union Emissions Trading Scheme (EU ETS) in financial reporting as the visibility of the costs of polluting is one of the purposes of the market mechanism.</w:t>
      </w:r>
    </w:p>
    <w:p>
      <w:r>
        <w:t>POSSIBLE 2020: How photovoltaics can contribute to GHG emission reductions of 55% in the EU by 2030 — https://doi.org/10.1016/j.rser.2020.109836</w:t>
      </w:r>
    </w:p>
    <w:p>
      <w:r>
        <w:t>Shared claim-specific concepts: ghg, emissions, long-term, energy; EU scope visible. This is a provisional connection, not an outcome finding.</w:t>
      </w:r>
    </w:p>
    <w:p>
      <w:r>
        <w:t>Available abstract (not full text): The new European Commission plans to raise the greenhouse gas (GHG) emissions reduction target from 40% towards 55% by 2030 and make Europe the first climate-neutral continent by 2050. Achieving this will require accelerated energy efficiency measures, deeper electrification of sectors currently consuming conventional fuels and the deployment of more renewables, faster. This opinion article looks specifically at the role of photovoltaics (PV), based on scenarios from the Commission's 2018 long-term strategy (LTS) for energy and climate. To reach a 55% GHG emissions reduction, the cumulative PV capacity in the EU and the UK would need to surge to 455–605 GW, depending on the strategic policy scenario. This implies a compound annual growth rate between 12 and 15% in the timeframe 2020–203 to increase the annual PV market from approximately 16.5 GW in 2019 to 50–80 GW by 2030. Such a volume can provide the basis for reviving the European solar manufacturing industry as well as creating more than 100 000 jobs along the value chain.</w:t>
      </w:r>
    </w:p>
    <w:p>
      <w:pPr>
        <w:pStyle w:val="Heading2"/>
      </w:pPr>
      <w:r>
        <w:t>Finland-Russia rail transport deregulation: future scenarios of market development</w:t>
      </w:r>
    </w:p>
    <w:p>
      <w:r>
        <w:t>Original source (2011): https://doi.org/10.1504/ijstl.2011.039377</w:t>
      </w:r>
    </w:p>
    <w:p>
      <w:r>
        <w:t>Original wording (abstract; indexed_source_text_not_full_document_verified): Three different kinds of scenarios are constructed, and based on this research, it may be concluded that deregulating third country transport would be advisable. This would promote border transports, decrease prices, and attract and boost competition in Finland’s rail transport market.</w:t>
      </w:r>
    </w:p>
    <w:p>
      <w:r>
        <w:t>POSSIBLE 2026: What kind of Europe do Europeans want? — https://doi.org/10.1080/01402382.2026.2662871</w:t>
      </w:r>
    </w:p>
    <w:p>
      <w:r>
        <w:t>Shared claim-specific concepts: different, constructed, competition; EU scope visible. This is a provisional connection, not an outcome finding.</w:t>
      </w:r>
    </w:p>
    <w:p>
      <w:r>
        <w:t>Available abstract (not full text): After two crisis decades, the European Union (EU) needs to meet the chal-lenges of climate change, migration, strategic competition, and war. But, giventhese challenges, what kind of Europe do Europeans want? The article arguesthat the idea of more or less integration does not adequately capture different polity preferences since more integration can mean different things to different people. In order to capture this polysemy, the article presents a richer conceptualisation of European integration along two dimensions: binding (EU centralisation of competences) and bounding (bordering at the EU level). Combining these two, five types of polity formation preferences are constructed: Fortress, Sovereign, Cosmopolitan, Minimalist, and No-vision EU. Exploiting a new original survey, the analysis confirms that public preferences are well represented by these two dimensions. A majority wants more bounding, but they are divided on binding.</w:t>
      </w:r>
    </w:p>
    <w:p>
      <w:r>
        <w:t>POSSIBLE 2022: Challenges and Strategies for Bio-Based and Biodegradable Plastic Waste Management in Europe — https://doi.org/10.3390/su142416476</w:t>
      </w:r>
    </w:p>
    <w:p>
      <w:r>
        <w:t>Shared claim-specific concepts: three, based; EU scope visible. This is a provisional connection, not an outcome finding.</w:t>
      </w:r>
    </w:p>
    <w:p>
      <w:r>
        <w:t xml:space="preserve">Available abstract (not full text): In recent years, an increasing trend towards replacement of conventional fossil-based plastics with bio-based plastics was noticed, i.e., production of plastics partly or fully made from biomass is rapidly expanding. Currently, bio-based and biodegradable plastics have a very small market size, approximately only 1% of all plastics produced. However, the forecast of the global bioplastics production capacities predicts an increase from approximately 2.417 million tonnes in 2021 to approximately 7.593 million tonnes in 2026, more than three times the current capacity. Therefore, it is necessary to assess the challenges and identify the barriers for bio-based and biodegradable plastics for waste management and to evaluate the effectiveness of current plastic waste management strategies for the efficient waste management of bio-based and biodegradable plastics. The main barriers and motivators of the biodegradable and biodegradable plastics market that have been identified include macroeconomic factors, regulatory factors, technological factors, and social factors. The bio-based and biodegradable plastics have to be separately collected and treated under mostly controlled, regulated conditions. However, currently, there are no legal provisions providing for the separate collection of bio-based plastics, leading to their disposal with either hazardous waste, conventional plastics, </w:t>
      </w:r>
    </w:p>
    <w:p>
      <w:r>
        <w:t>POSSIBLE 2022: Prevalence of congenital heart defects in Europe, 2008–2015: A registry‐based study — https://doi.org/10.1002/bdr2.2117</w:t>
      </w:r>
    </w:p>
    <w:p>
      <w:r>
        <w:t>Shared claim-specific concepts: three, different, based; EU scope visible. This is a provisional connection, not an outcome finding.</w:t>
      </w:r>
    </w:p>
    <w:p>
      <w:r>
        <w:t xml:space="preserve">Available abstract (not full text): BACKGROUND: The total prevalence of congenital heart defects (CHDs) varies by populations and over time. Studies that examine trends in the prevalence of CHD in different regions may shed light on our understanding of the occurrence of CHD and the impact of different risk factors. OBJECTIVES: To examine trends in total and live birth prevalence of nonsyndromic CHD in Europe between the years 2008 and 2015 and to investigate if the decreasing trend reported by previous studies is continuing. METHODS: Cases of CHD delivered between January 1, 2008 and December 31, 2015 notified to 25 population-based EUROCAT (European Surveillance of Congenital Anomalies) registries in 14 countries, formed the population-based case-series. Prevalence (total/live) rates and 95% confidence intervals were calculated as the number of cases per 10,000 births (live and stillbirths). Time trends in prevalence of all nonsyndromic CHDs and for three CHD severity groups (very severe, severe, and less severe) were plotted using a Poisson regression multilevel approach. RESULTS: The total prevalence of nonsyndromic CHD was 57.1 per 10,000 births (live births and stillbirths) for the 8-year period and remained stable across the three CHD severity groups while the live birth prevalence was 60.2 per 10,000 births. There was considerable variation in the reported total CHD prevalence and the direction of trends </w:t>
      </w:r>
    </w:p>
    <w:p>
      <w:r>
        <w:t>POSSIBLE 2021: Kinds, Essences, and Natures — https://doi.org/10.4324/9781315709604-14</w:t>
      </w:r>
    </w:p>
    <w:p>
      <w:r>
        <w:t>Shared claim-specific concepts: three, different, kinds; EU scope visible. This is a provisional connection, not an outcome finding.</w:t>
      </w:r>
    </w:p>
    <w:p>
      <w:r>
        <w:t>Available abstract (not full text): Classifying things into kinds or sorts was a pervasive feature of philosophy and science as it was carried out in the Platonic and Aristotelian schools of the ancient world, and it was this tradition which was relayed on to the schoolmen of medieval Europe and almost universally accepted by them as essential to rigorous thought. Persian polymath Ibn-Sina theorized that there were three ways of talking about essences or natures: as they are in and of themselves apart from any consideration of how they might actually exist; as they exist in the mind; and as they exist in things. The medieval disputes are likely best seen as the manifestation in that period of Western thought of a more general problem arising from the necessity for both ordinary and scientific languages to see various terms as referring to many real and very different things without becoming equivocal.</w:t>
      </w:r>
    </w:p>
    <w:p>
      <w:r>
        <w:t>POSSIBLE 2021: Spatial Patterns in Actual Evapotranspiration Climatologies for Europe — https://doi.org/10.3390/rs13122410</w:t>
      </w:r>
    </w:p>
    <w:p>
      <w:r>
        <w:t>Shared claim-specific concepts: three, different, based; EU scope visible. This is a provisional connection, not an outcome finding.</w:t>
      </w:r>
    </w:p>
    <w:p>
      <w:r>
        <w:t xml:space="preserve">Available abstract (not full text): Spatial patterns in long-term average evapotranspiration (ET) represent a unique source of information for evaluating the spatial pattern performance of distributed hydrological models on a river basin to continental scale. This kind of model evaluation is getting increased attention, acknowledging the shortcomings of traditional aggregated or timeseries-based evaluations. A variety of satellite remote sensing (RS)-based ET estimates exist, covering a range of methods and resolutions. There is, therefore, a need to evaluate these estimates, not only in terms of temporal performance and similarity, but also in terms of long-term spatial patterns. The current study evaluates four RS-ET estimates at moderate resolution with respect to spatial patterns in comparison to two alternative continental-scale gridded ET estimates (water-balance ET and Budyko). To increase comparability, an empirical correction factor between clear sky and all-weather ET, based on eddy covariance data, is derived, which could be suitable for simple corrections of clear sky estimates. Three RS-ET estimates (MODIS16, TSEB and PT-JPL) and the Budyko method generally display similar spatial patterns both across the European domain (mean SPAEF = 0.41, range 0.25–0.61) and within river basins (mean SPAEF range 0.19–0.38), although the pattern similarity within river basins varies significantly across basins. In </w:t>
      </w:r>
    </w:p>
    <w:p>
      <w:r>
        <w:t>POSSIBLE 2021: Climate change impacts on solar power generation and its spatial variability in Europe based on CMIP6 — https://doi.org/10.5194/esd-12-1099-2021</w:t>
      </w:r>
    </w:p>
    <w:p>
      <w:r>
        <w:t>Shared claim-specific concepts: different, based, decrease; EU scope visible. This is a provisional connection, not an outcome finding.</w:t>
      </w:r>
    </w:p>
    <w:p>
      <w:r>
        <w:t>Available abstract (not full text): Abstract. Solar photovoltaics (PV) plays an essential role in decarbonizing the European energy system. However, climate change affects surface solar radiation and thereby will directly influence future PV power generation. We use scenarios from the sixth phase of the Coupled Model Intercomparison Project (CMIP6) for a mitigation (SSP1-2.6) and a fossil-fuel dependent (SSP5-8.5) pathway, to quantify climate risk for solar PV in Europe simulated by the Global Solar Energy Estimator (GSEE). We find that PV potential increases by around 5 % in the mitigation scenario, suggesting a positive feedback loop between climate change mitigation and PV potential. While increased clear-sky radiation and reduced cloud cover go hand in hand in SSP1-2.6, a decrease in clear-sky radiation is overcompensated by a decrease in cloud cover in SSP5-8.5, resulting in an increase of all-sky radiation. Moreover, we find that the seasonal cycle of PV generation changes in most places as generation grows more strongly in winter than in summer (SSP1-2.6) or increases in summer and declines in winter (SSP5-8.5). We further analyze climate change impacts on the spatial variability of PV power generation. Similar to effects anticipated for wind energy, we report an increase of the spatial correlations of daily PV production with large inter-model agreement yet relatively small amplitude, implying that PV pow</w:t>
      </w:r>
    </w:p>
    <w:p>
      <w:r>
        <w:t>POSSIBLE 2019: Information about Motion in Concepts of Different Ontological Kinds — https://doi.org/10.4324/9781315782362-141</w:t>
      </w:r>
    </w:p>
    <w:p>
      <w:r>
        <w:t>Shared claim-specific concepts: three, different, kinds; EU scope visible. This is a provisional connection, not an outcome finding.</w:t>
      </w:r>
    </w:p>
    <w:p>
      <w:r>
        <w:t>Available abstract (not full text): This chapter presents the aims on empirical, theoretical, and analytic work from all areas of interest in cognitive science, such as artificial intelligence, education, linguistics, neuroscience, philosophy, psychology, and anthropology presented in European Cognitive Science Conference. It focuses on interdisciplinary work that is either of interest for more than one of the research areas mentioned or integrates research methods from different fields. With contributions by cognitive scientists from 20 different countries, the chapter reflects the origins of this conference, as well as its international scope. Two studies investigate information about object&amp;s;s motion in adults&amp;s; concepts with a classical paradigm, the feature production task. The aim is to verify which characteristics of motion, such as self-induction, are differentially distributed in the various ontological kinds and sub-kinds of concepts. Overall, three parameters which organize information about object&amp;s;s motion emerge from this study. The most important parameter, is the ability to produce a displacement.</w:t>
      </w:r>
    </w:p>
    <w:p>
      <w:r>
        <w:t>POSSIBLE 2018: Regional inequality in Europe: evidence, theory and policy implications — https://doi.org/10.1093/jeg/lby021</w:t>
      </w:r>
    </w:p>
    <w:p>
      <w:r>
        <w:t>Shared claim-specific concepts: different, promote; EU scope visible. This is a provisional connection, not an outcome finding.</w:t>
      </w:r>
    </w:p>
    <w:p>
      <w:r>
        <w:t>Available abstract (not full text): Regional economic divergence has become a threat to economic progress, social cohesion and political stability in Europe. Market processes and policies that are supposed to spread prosperity and opportunity are no longer sufficiently effective. The evidence points to the existence of several different modes of regional economic performance in Europe, responding to different development challenges and opportunities. Both mainstream and heterodox theories have gaps in their ability to explain the existence of these different regional trajectories and the weakness of the convergence processes among them. Therefore, a different approach is required, one that strengthens Europe’s strongest regions but develops new approaches to promote opportunity in industrial declining and less-developed regions. There is ample new theory and evidence to support such an approach, which we have labelled ‘place-sensitive distributed development policy’.</w:t>
      </w:r>
    </w:p>
    <w:p>
      <w:r>
        <w:t>POSSIBLE 2017: Stakeholder Participation in European Standardization: A Mapping and an Assessment of Three Categories of Regulation — https://doi.org/10.54648/leie2017021</w:t>
      </w:r>
    </w:p>
    <w:p>
      <w:r>
        <w:t>Shared claim-specific concepts: three, different, kinds; EU scope visible. This is a provisional connection, not an outcome finding.</w:t>
      </w:r>
    </w:p>
    <w:p>
      <w:r>
        <w:t>Available abstract (not full text): The continuum of Internal Market regulation comprises various kinds of regulatory measures, including legislation, harmonized and non-harmonized standards, and private ‘self-regulation’ of different origins. Public, as well as private actors, participate in the continuous development of European regulation. The different actors’ competences and roles vary during the processes, but it is evident that both public and private actors obtain a vital position in the collective production of European regulation. This article contributes with a mapping and categorization of the applied regulatory ‘means and measures’ related to Internal Market regulation and an assessment of stakeholder participation in three categories. Firstly, this article provides an outline of contemporary EU regulatory policies applied in the Internal Market regulation, and discusses the concepts of regulatory governance and regulation. Secondly, the different variants of regulation are allocated within three main categories: (1) public legislation; (2) co-regulation, and; (3) private selfregulation. Case examples of the different categories of regulation are explicated to illustrate the variances among the three types and of the ex-ante participatory processes. Finally, the article provides an assessment of stakeholder participation vis-à-vis the three categories of regulation.</w:t>
      </w:r>
    </w:p>
    <w:p>
      <w:r>
        <w:t>POSSIBLE 2016: Different antisemitisms: on three distinct forms of antisemitism in contemporary Europe. With special focus on Sweden — https://doi.org/10.30752/nj.67611</w:t>
      </w:r>
    </w:p>
    <w:p>
      <w:r>
        <w:t>Shared claim-specific concepts: three, different, kinds, based, country; EU scope visible. This is a provisional connection, not an outcome finding.</w:t>
      </w:r>
    </w:p>
    <w:p>
      <w:r>
        <w:t>Available abstract (not full text): This article studies eight European countries, investigating how the level of antisemit­ism as registered in national populations relates to the perception of antisemitism by the Jewish population in the same country. Furthermore, the article empirically identifies distinct aspects of antisemitism, deconstructing the concept of antisemitism and breaking it up into three kinds of empirically differently based and composed antisemitisms (note the plural!): classic antisemitism, Israel-derived antisemitism and Enlightenment-based antisemitism. The article also elaborates on some more general implications for the understanding of the character of antisemitism in contemporary Europe, and based on that, presents some perspectives on the development of the three distinct antisemitisms in contemporary Europe.</w:t>
      </w:r>
    </w:p>
    <w:p>
      <w:r>
        <w:t>POSSIBLE 2015: Educational Genres in Eastern Europe: A Comparison of the Genres in the Humanities Departments of three Countries of Three Different Universities in Three Different Countries — https://doi.org/10.18552/joaw.v5i1.164</w:t>
      </w:r>
    </w:p>
    <w:p>
      <w:r>
        <w:t>Shared claim-specific concepts: three, different, country; EU scope visible. This is a provisional connection, not an outcome finding.</w:t>
      </w:r>
    </w:p>
    <w:p>
      <w:r>
        <w:t>Available abstract (not full text): The intercultural study of genres provides an opportunity not only to gain an understanding of the differences in writing cultures but also to sharpen the view on what is particular for each learning context. As little previous research has undertaken systematic comparisons of genre systems at European universities, we collected data on educational genres used in writing from the Humanities departments of two universities in Eastern European countries (Romania and Ukraine) and one in a Southeastern European country (Republic of Macedonia). A questionnaire with listed genre names was distributed at the three universities to assess the importance and the perceptions of academic genres in the respective cultures. Open questions were used to validate the results and gather hypotheses on the meaning of the mentioned genres. Results show differences in the frequencies of genre use, which, however, do not allow typifying differences in the learning/writing cultures. Genres are labelled differently and emerge from different traditions but seem to resemble a similar pool of genres in each of the studied countries.</w:t>
      </w:r>
    </w:p>
    <w:p>
      <w:r>
        <w:t>POSSIBLE 2015: A process-based 222 radon flux map for Europe and its comparison to long-term observations — https://doi.org/10.5194/acp-15-12845-2015</w:t>
      </w:r>
    </w:p>
    <w:p>
      <w:r>
        <w:t>Shared claim-specific concepts: different, based, transport; EU scope visible. This is a provisional connection, not an outcome finding.</w:t>
      </w:r>
    </w:p>
    <w:p>
      <w:r>
        <w:t>Available abstract (not full text): Abstract. Detailed 222Rn flux maps are an essential prerequisite for the use of radon in atmospheric transport studies. Here we present a high-resolution222Rn flux map for Europe, based on a parameterization of 222Rn production and transport in the soil. The 222Rn exhalation rate was parameterized based on soil properties, uranium content, and modelled soil moisture from two different land-surface reanalysis data sets. Spatial variations in exhalation rates are primarily determined by the uranium content of the soil, but also influenced by local water table depth and soil texture. Temporal variations are related to soil moisture variations as the molecular diffusion in the unsaturated soil zone depends on available air-filled pore space. The implemented diffusion parameterization was tested against campaign-based 222Rn profile measurements. Monthly 222Rn exhalation rates from European soils were calculated with a nominal spatial resolution of 0.083° × 0.083° and compared to long-term direct measurements of 222Rn exhalation rates in different areas of Europe. The two realizations of the 222Rn flux map, based on the different soil moisture data sets, both realistically reproduce the observed seasonality in the fluxes but yield considerable differences for absolute flux values. The average 222Rn flux from soils in Europe is estimated to be 10 or 15 mBq m-2 s-1, depending on the so</w:t>
      </w:r>
    </w:p>
    <w:p>
      <w:pPr>
        <w:pStyle w:val="Heading2"/>
      </w:pPr>
      <w:r>
        <w:t>Fiscal sustainability and the accuracy of macroeconomic forecasts: Do supranational forecasts rather than government forecasts make a difference?</w:t>
      </w:r>
    </w:p>
    <w:p>
      <w:r>
        <w:t>Original source (2011): https://doi.org/10.1504/ijse.2011.039440</w:t>
      </w:r>
    </w:p>
    <w:p>
      <w:r>
        <w:t>Original wording (abstract; indexed_source_text_not_full_document_verified): All in all, since the EC forecast appears to be a good benchmark, in order to reduce the (optimistic) forecast bias, national governments could be forced to justify any large (optimistic) deviation from this benchmark when presenting their respective national Stability and Growth Programmes. Credible fiscal plans that aim at restoring fiscal sustainability will be essential to counter the present increase in debt levels all across Europe.</w:t>
      </w:r>
    </w:p>
    <w:p>
      <w:r>
        <w:t>POSSIBLE 2023: Benchmark Beating with the Increasing Convex Order — https://doi.org/10.48550/arxiv.2311.01692</w:t>
      </w:r>
    </w:p>
    <w:p>
      <w:r>
        <w:t>Shared claim-specific concepts: all, benchmark, order; EU scope not established. This is a provisional connection, not an outcome finding.</w:t>
      </w:r>
    </w:p>
    <w:p>
      <w:r>
        <w:t>Available abstract (not full text): In this paper we model benchmark beating with the increasing convex order (ICX order). The mean constraint in the mean-variance theory of portfolio selection can be regarded as beating a constant. We then investigate the problem of minimizing the variance of a portfolio with ICX order constraints, based on which we also study the problem of beating-performance-variance efficient portfolios. The optimal and efficient portfolios are all worked out in closed form for complete markets.</w:t>
      </w:r>
    </w:p>
    <w:p>
      <w:r>
        <w:t>POSSIBLE 2020: European anthropogenic AFOLU greenhouse gas emissions: a review and benchmark data — https://doi.org/10.5194/essd-12-961-2020</w:t>
      </w:r>
    </w:p>
    <w:p>
      <w:r>
        <w:t>Shared claim-specific concepts: benchmark, order, national, credible; EU scope visible. This is a provisional connection, not an outcome finding.</w:t>
      </w:r>
    </w:p>
    <w:p>
      <w:r>
        <w:t>Available abstract (not full text): Abstract. Emission of greenhouse gases (GHG) and removals from land, including both anthropogenic and natural fluxes, require reliable quantification, along with estimates of their inherent uncertainties, in order to support credible mitigation action under the Paris Agreement. This study provides a state-of-the-art scientific overview of bottom-up anthropogenic emissions data from agriculture, forestry and other land use (AFOLU) in Europe. The data integrates recent AFOLU emission inventories with ecosystem data and land carbon models, covering the European Union (EU28) and summarizes GHG emissions and removals over the period 1990–2016, of relevance for UNFCCC. This compilation of bottom-up estimates of the AFOLU GHG emissions of European national greenhouse gas inventories (NGHGI) with those of land carbon models and observation-based estimates of large-scale GHG fluxes, aims at improving the overall estimates of the GHG balance in Europe with respect to land GHG emissions and removals. Particular effort is devoted to the estimation of uncertainty, its propagation and role in the comparison of different estimates. While NGHGI data for EU28 provides consistent quantification of uncertainty following the established IPCC guidelines, uncertainty in the estimates produced with other methods will need to account for both within model uncertainty and the spread from different mode</w:t>
      </w:r>
    </w:p>
    <w:p>
      <w:r>
        <w:t>POSSIBLE 2019: Europe since 1970 — https://doi.org/10.5040/9781474207775.0093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2019: The European Union and Democratization in Central and Southeastern Europe since 1989 — https://doi.org/10.1017/9781108752466.021</w:t>
      </w:r>
    </w:p>
    <w:p>
      <w:r>
        <w:t>Shared claim-specific concepts: since, governments, credible; EU scope visible. This is a provisional connection, not an outcome finding.</w:t>
      </w:r>
    </w:p>
    <w:p>
      <w:r>
        <w:t>Available abstract (not full text): A central tool of the European Union (EU) to promote the democratization of post-communist Europe is its accession conditionality: the conditions it attaches to the offer of membership. Yet the EU’s influence on democratization varies across countries, and over time between the periods before and after accession. A key factor limiting the EU’s impact are the domestic costs of complying with the EU’s conditionality: the more governments rely on illiberal and undemocratic means to maintain power, the less influence the EU has. Moreover, even if the domestic adjustment costs are not prohibitively high, for EU conditionality to bring about, or lock in democratic change, the positive and negative incentives relating to the benefits of EU membership have to be credible. The limited credibility of the EU’s incentives, both of the sanctions against backsliding in new members and of the reward of accession for current candidate countries in Southeastern Europe, is a key explanation for the setback in the EU’s democratizing role during this decade.</w:t>
      </w:r>
    </w:p>
    <w:p>
      <w:r>
        <w:t>POSSIBLE 2018: Europe since 1970 — https://doi.org/10.5040/9781474207775.093</w:t>
      </w:r>
    </w:p>
    <w:p>
      <w:r>
        <w:t>Shared claim-specific concepts: all, since, national; EU scope visible. This is a provisional connection, not an outcome finding.</w:t>
      </w:r>
    </w:p>
    <w:p>
      <w:r>
        <w:t>Available abstract (not full text): There are forty-six countries in Europe, sharing myriad influences and overlaps. The Second World War only ended in 1945, followed by the Cold War. On one side stood Capitalist Western Europe, protected by America: on the other were Eastern European Warsaw Pact countries under Soviet Communism (plus non-aligned Yugoslavia and Albania). The USA and USSR pursued a deadly nuclear race, as well as proxy conflicts around the globe. Repressed panic and paranoia lasted in Europe until the Berlin Wall ‘fell’ in 1989. In this period, while war in Europe was no longer between nations, internal violence within some countries was rife. The continent also appeared to still be divided between Western Europe and Eastern Europe. However, the European Economic Community (later European Union) gradually incorporated more countries. Following the Communist collapse, Eastern Europe nations joined the EU fold, today containing twenty-eight member countries (although Britain has voted to leave). Europe is the world’s second-largest economic unit after America, containing four of the world’s eight richest nations. There persist, however, considerable discrepancies in wealth, also reflected in relative political strength (e.g. Germany) and weakness (e.g. Greece). Culturally and socially, the decisive change in Europe since 1970 was from post-war state-regulated ‘command economies’ – Social Democracy i</w:t>
      </w:r>
    </w:p>
    <w:p>
      <w:r>
        <w:t>POSSIBLE 2017: Benchmarking Framework to Encourage Energy Efficiency Investments in South Europe. The Trust EPC South Approach — https://doi.org/10.1016/j.proenv.2017.03.125</w:t>
      </w:r>
    </w:p>
    <w:p>
      <w:r>
        <w:t>Shared claim-specific concepts: all, since, order, national, large; EU scope visible. This is a provisional connection, not an outcome finding.</w:t>
      </w:r>
    </w:p>
    <w:p>
      <w:r>
        <w:t>Available abstract (not full text): The Energy Performance Contracting (EPC) market is still embryonic in South Europe since there are still many barriers: difficult access to financing, limited investors’ confidence in EPC models, scarcity of flagship projects, lack of certification schemes and financing mechanisms, especially for the tertiary sector (hospitality, tourism, healthcare), which presents a huge potential for Energy Efficiency (EE). The Trust EPC South project, funded by Horizon 2020 Research and Innovation Programme, aims to scale up investments in EE solutions in the private tertiary sector in South Europe, by delivering a robust investment standardization and benchmarking framework and a pipeline of bankable EPC projects in 6 countries (Portugal, Spain, France, Italy, Croatia and Greece); its results will eventually be extended to the Balkan. Tailored capacity building activities will allow an easier access to third-party financing, thus unlocking the large tertiary sector EE and Renewable Energy market potential. Initially, national market analyses took place (EPC providers, beneficiaries-clients, and financial institutions) to identify the market potential. National Discussion Platforms were set up to develop the national roadmaps addressing mechanisms for mitigation of policy, legal, and especially financial barriers. An investment standardization and benchmarking framework, built upon an estab</w:t>
      </w:r>
    </w:p>
    <w:p>
      <w:r>
        <w:t>POSSIBLE 2015: Modelling recent and future climatic suitability for fasciolosis in Europe — https://doi.org/10.4081/gh.2015.352</w:t>
      </w:r>
    </w:p>
    <w:p>
      <w:r>
        <w:t>Shared claim-specific concepts: all, since, appears, order, programmes; EU scope visible. This is a provisional connection, not an outcome finding.</w:t>
      </w:r>
    </w:p>
    <w:p>
      <w:r>
        <w:t>Available abstract (not full text): Fasciola hepatica is a parasitic worm responsible for fasciolosis in grazed ruminants in Europe. The free-living stages of this parasite are sensitive to temperature and soil moisture, as are the intermediate snail hosts the parasite depends on for its life-cycle. We used a climate-driven disease model in order to assess the impact of recent and potential future climate changes on the incidence of fasciolosis and to estimate the related uncertainties at the scale of the European landmass. The current climate appears to be highly suitable for fasciolosis throughout the European Union with the exception of some parts of the Mediterranean region. Simulated climatic suitability for fasciolosis significantly increased during the 2000s in central and northwestern Europe, which is consistent with an observed increased in ruminant infections. The simulation showed that recent trends are likely to continue in the future with the estimated pattern of climate change for northern Europe, possibly extending the season suitable for development of the parasite in the environment by up to four months. For southern Europe, the simulated burden of disease may be lower, but the projected climate change will increase the risk during the winter months, since the simulated changes in temperature and moisture support the development of the free-living and intra-molluscan stages between November and M</w:t>
      </w:r>
    </w:p>
    <w:p>
      <w:r>
        <w:t>POSSIBLE 2014: Fauna Europaea – all European animal species on the web — https://doi.org/10.3897/bdj.2.e4034</w:t>
      </w:r>
    </w:p>
    <w:p>
      <w:r>
        <w:t>Shared claim-specific concepts: all, governments, large; EU scope visible. This is a provisional connection, not an outcome finding.</w:t>
      </w:r>
    </w:p>
    <w:p>
      <w:r>
        <w:t>Available abstract (not full text): Fauna Europaea is Europe's main zoological taxonomic index, making the scientific names and distributions of all living, currently known, multicellular, European land and freshwater animals species integrally available in one authoritative database. Fauna Europaea covers about 260,000 taxon names, including 145,000 accepted (sub)species, assembled by a large network of (&gt;400) leading specialists, using advanced electronic tools for data collations with data quality assured through sophisticated validation routines. Fauna Europaea started in 2000 as an EC funded FP5 project and provides a unique taxonomic reference for many user-groups such as scientists, governments, industries, nature conservation communities and educational programs. Fauna Europaea was formally accepted as an INSPIRE standard for Europe, as part of the European Taxonomic Backbone established in PESI. Fauna Europaea provides a public web portal at faunaeur.org with links to other key biodiversity services, is installed as a taxonomic backbone in wide range of biodiversity services and actively contributes to biodiversity informatics innovations in various initiatives and EC programs.</w:t>
      </w:r>
    </w:p>
    <w:p>
      <w:r>
        <w:t>POSSIBLE 2014: Benchmarking Beam Envelope Models for the European Spallation Source — https://doi.org/10.18429/jacow-ipac2014-tupro061</w:t>
      </w:r>
    </w:p>
    <w:p>
      <w:r>
        <w:t>Shared claim-specific concepts: all, since, benchmark, order; EU scope visible. This is a provisional connection, not an outcome finding.</w:t>
      </w:r>
    </w:p>
    <w:p>
      <w:r>
        <w:t>Available abstract (not full text): TraceWin is used at the European Spallation Source (ESS) as the design tool, while fast and accurate on-line models will be needed during the operations. Three models are compared: the ESS Linac Simulator (ELS), TraceWin and the OpenXAL. In all of the benchmarked models, dynamics of each beam-line element is, to the first order, represented by a transfer matrix. Differences in the matrices occur, since different reference frames are used and as well different assumptions about the energy of the particles are made. General transformations of the reference frames will be presented. Using those, the comparison of transfer maps among TraceWin and OpenXAL are given. When the differences between TraceWin and OpenXAL were unclear, the benchmark versus other code, like MAD-X and Dynac was done. The best implementations were combined into a new on-line model implementation Java ELS (or JELS) and at last the comparison of the latter with TraceWin is given.</w:t>
      </w:r>
    </w:p>
    <w:p>
      <w:r>
        <w:t>POSSIBLE 2014: The Multimodal Brain Tumor Image Segmentation Benchmark (BRATS) — https://doi.org/10.1109/tmi.2014.2377694</w:t>
      </w:r>
    </w:p>
    <w:p>
      <w:r>
        <w:t>Shared claim-specific concepts: all, good, benchmark; EU scope not established. This is a provisional connection, not an outcome finding.</w:t>
      </w:r>
    </w:p>
    <w:p>
      <w:r>
        <w:t>Available abstract (not full text): In this paper we report the set-up and results of the Multimodal Brain Tumor Image Segmentation Benchmark (BRATS) organized in conjunction with the MICCAI 2012 and 2013 conferences. Twenty state-of-the-art tumor segmentation algorithms were applied to a set of 65 multi-contrast MR scans of low- and high-grade glioma patients-manually annotated by up to four raters-and to 65 comparable scans generated using tumor image simulation software. Quantitative evaluations revealed considerable disagreement between the human raters in segmenting various tumor sub-regions (Dice scores in the range 74%-85%), illustrating the difficulty of this task. We found that different algorithms worked best for different sub-regions (reaching performance comparable to human inter-rater variability), but that no single algorithm ranked in the top for all sub-regions simultaneously. Fusing several good algorithms using a hierarchical majority vote yielded segmentations that consistently ranked above all individual algorithms, indicating remaining opportunities for further methodological improvements. The BRATS image data and manual annotations continue to be publicly available through an online evaluation system as an ongoing benchmarking resource.</w:t>
      </w:r>
    </w:p>
    <w:p>
      <w:r>
        <w:t>POSSIBLE 2012: Income Inequality in the European Union — https://doi.org/10.1787/5k9bdt47q5zt-en</w:t>
      </w:r>
    </w:p>
    <w:p>
      <w:r>
        <w:t>Shared claim-specific concepts: all, since, appears, reduce, national, large; EU scope visible. This is a provisional connection, not an outcome finding.</w:t>
      </w:r>
    </w:p>
    <w:p>
      <w:r>
        <w:t>Available abstract (not full text): Poor growth performance over the past decades in Europe has increased concerns for rising income dispersion and social exclusion. European authorities have recently launched the Europe 2020 strategy which aims to improve social inclusion in Europe on top of already existing European regional policies aiming to reduce regional disparities through stimulating growth in areas where incomes are relatively low. While it is most common to confine measures of inequality to national borders, the existence of such union-wide objectives and policies motivates measuring income dispersion among all Europeans in this paper. Towards the end of the 2000s the income distribution in Europe was more unequal than in the average OECD country, albeit notably less so than in the United States. It is the within-country, not the between-country dimension, which appears to be most important. Inequality in Europe has risen quite substantially since the mid 1980s. While the EU enlargement process has contributed to this, it is not the only explanation since inequality has also increased within a “core” of 8 European countries. Large income gains among the 10% top earners appear to be a main driver behind this evolution.</w:t>
      </w:r>
    </w:p>
    <w:p>
      <w:r>
        <w:t>POSSIBLE 2012: Management, regulation and environmental impacts of nitrogen fertilization in northwestern Europe under the Nitrates Directive; a benchmark study — https://doi.org/10.5194/bg-9-5143-2012</w:t>
      </w:r>
    </w:p>
    <w:p>
      <w:r>
        <w:t>Shared claim-specific concepts: since, benchmark, national; EU scope visible. This is a provisional connection, not an outcome finding.</w:t>
      </w:r>
    </w:p>
    <w:p>
      <w:r>
        <w:t>Available abstract (not full text): Abstract. Implementation of the Nitrates Directive (NiD) and its environmental impacts were compared for member states in the Northwest of the European Union (Ireland, UK, Denmark, The Netherlands, Belgium, Northern France and Germany). The main sources of data were national reports for the third reporting period for the NiD (2004–2007) and results of the MITERRA-EUROPE model. Implementation of the NiD in the considered member states is fairly comparable regarding restrictions for where and when to apply fertilizer and manure, but very different regarding application limits for N fertilization. Issues of concern and improvement of the implementation of the NiD are accounting for the fertilizer value of nitrogen in manure, and relating application limits for total nitrogen (N) to potential crop yield and N removal. The most significant environmental effect of the implementation of the NiD since 1995 is a major contribution to the decrease of the soil N balance (N surplus), particularly in Belgium, Denmark, Ireland, The Netherlands and the UK. This decrease is accompanied by a modest decrease of nitrate concentrations since 2000 in fresh surface waters in most countries. This decrease is less prominent for groundwater in view of delayed response of nitrate in deep aquifers. In spite of improved fertilization practices, the southeast of The Netherlands, the Flemish Region and Brit</w:t>
      </w:r>
    </w:p>
    <w:p>
      <w:pPr>
        <w:pStyle w:val="Heading2"/>
      </w:pPr>
      <w:r>
        <w:t>Food futures: system transitions towards UK food security</w:t>
      </w:r>
    </w:p>
    <w:p>
      <w:r>
        <w:t>Original source (2011): https://doi.org/10.4337/jhre.2011.02.04</w:t>
      </w:r>
    </w:p>
    <w:p>
      <w:r>
        <w:t>Original wording (abstract; indexed_source_text_not_full_document_verified): This article explains how scenarios of this kind can try and capture landscape pressures which might threaten the dominant paradigm and leave room for niche activity to challenge the mainstream.</w:t>
      </w:r>
    </w:p>
    <w:p>
      <w:r>
        <w:t>POSSIBLE 2024: Article 89 — https://doi.org/10.1093/law/9780192864536.003.0110</w:t>
      </w:r>
    </w:p>
    <w:p>
      <w:r>
        <w:t>Shared claim-specific concepts: article, explains, kind; EU scope not established. This is a provisional connection, not an outcome finding.</w:t>
      </w:r>
    </w:p>
    <w:p>
      <w:r>
        <w:t>Available abstract (not full text): Abstract This chapter explains that Art 89 of the UN Charter primarily revolves around the decisions of the Trusteeship Council (TC). Article 89 does not specify what kind of decisions the TC may take, nor whether they are legally binding. Thus, in practice, the decisions of the TC mostly took the form of resolutions, particularly with respect to the supervisory instruments enumerated in Arts 87 and 88. The chapter details the voting procedure concerned with the TC’s decisions. It explains that Art 89 (2) required a majority of members present and voting for decisions of the TC, while Rule 48 of the Rules of Procedure fixed the quorum at two-thirds of the members.</w:t>
      </w:r>
    </w:p>
    <w:p>
      <w:r>
        <w:t>POSSIBLE 2024: Carbon capture and utilization under EU law: impermanent storage of CO2 in products and pre-combustion carbon capture — https://doi.org/10.1093/jwelb/jwae009</w:t>
      </w:r>
    </w:p>
    <w:p>
      <w:r>
        <w:t>Shared claim-specific concepts: article, explains, capture, landscape, challenge; EU scope visible. This is a provisional connection, not an outcome finding.</w:t>
      </w:r>
    </w:p>
    <w:p>
      <w:r>
        <w:t>Available abstract (not full text): Abstract The evolving regulatory landscape within the European Union demonstrates a transition from prioritizing carbon capture and storage over carbon capture and utilization towards a more equitable treatment of both approaches in relevant legislation and policy frameworks. Nevertheless, the ‘permanence’ criterion of carbon dioxide in the products remains an ongoing challenge. Within the current European legal framework, harnessing the regulatory incentives depends on how long carbon dioxide remains in carbon capture and utilization products. The study elucidates the evolving regulatory landscape surrounding carbon capture and utilization by examining recent legislative initiatives and amendments to key directives such as the Emissions Trading System Directive and the Renewable Energy Directive. Furthermore, it explores the implications of the European Union Net-zero Industry Act and the Carbon Removal Certification Framework. In addition, this article examines and explains the need for expanding the scope of carbon capture and utilization and storage by incorporating pre-combustion carbon capture through methane splitting into the definition.</w:t>
      </w:r>
    </w:p>
    <w:p>
      <w:r>
        <w:t>POSSIBLE 2022: Epistasis and Adaptation on Fitness Landscapes — https://doi.org/10.1146/annurev-ecolsys-102320-112153</w:t>
      </w:r>
    </w:p>
    <w:p>
      <w:r>
        <w:t>Shared claim-specific concepts: article, capture, landscape; EU scope not established. This is a provisional connection, not an outcome finding.</w:t>
      </w:r>
    </w:p>
    <w:p>
      <w:r>
        <w:t>Available abstract (not full text): Epistasis occurs when the effect of a mutation depends on its carrier's genetic background. Despite increasing evidence that epistasis for fitness is common, its role during evolution is contentious. Fitness landscapes, which are mappings of genotype or phenotype to fitness, capture the full extent and complexity of epistasis. Fitness landscape theory has shown how epistasis affects the course and the outcome of evolution. Moreover, by measuring the competitive fitness of sets of tens to thousands of connected genotypes, empirical fitness landscapes have shown that epistasis is frequent and depends on the fitness measure, the choice of mutations for the landscape, and the environment in which it was measured. In this article, I review fitness landscape theory and experiments and their implications for the role of epistasis in adaptation. I discuss theoretical expectations in the light of empirical fitness landscapes and highlight open challenges and future directions toward integrating theory and data and incorporating ecological factors.</w:t>
      </w:r>
    </w:p>
    <w:p>
      <w:r>
        <w:t>POSSIBLE 2021: Leadership for careful and kind care — https://doi.org/10.1136/leader-2021-000451</w:t>
      </w:r>
    </w:p>
    <w:p>
      <w:r>
        <w:t>Shared claim-specific concepts: article, kind, activity; EU scope not established. This is a provisional connection, not an outcome finding.</w:t>
      </w:r>
    </w:p>
    <w:p>
      <w:r>
        <w:t>Available abstract (not full text): The fundamental role of healthcare organisations ought to be to care for patients. The care of patients is a human activity by which people with the capacity to care notice and respond well, with compassion and competence, to people who seek this care.1 This article describes how, instead, healthcare has industrialised care; with care degraded, care has become transactional. It has overwhelmed the capacity of both the people called to care and those that receive care, and has rendered care unsustainable.2 We propose that leaders can restore care by turning their organisations away from industrial healthcare and asserting their organisation’s purpose to enact careful and kind care. This article describes that turning away and invites healthcare leaders to pioneer it from within their organisations. First, we explain the pathologies of care and an alternative to them, and then what leaders might do to turn this new strategy into action.</w:t>
        <w:br/>
        <w:br/>
        <w:t xml:space="preserve">The public expects healthcare organisations to enable care by supporting the work of people responding to the problematic situations of their patients. Yet, healthcare organisations respond to their external environment and to the policies and structures—austerity, greed, poverty—that condition the kind of healthcare that clinicians give and patients receive.3 4 Extrinsic motivators encoded in healthcare policies determine what is measured,5 how </w:t>
      </w:r>
    </w:p>
    <w:p>
      <w:r>
        <w:t>POSSIBLE 2021: Conducting comprehensive scoping reviews to systematically capture the landscape of a subject matter — https://doi.org/10.18332/popmed/143831</w:t>
      </w:r>
    </w:p>
    <w:p>
      <w:r>
        <w:t>Shared claim-specific concepts: article, capture, landscape; EU scope not established. This is a provisional connection, not an outcome finding.</w:t>
      </w:r>
    </w:p>
    <w:p>
      <w:r>
        <w:t>Available abstract (not full text): Scientific publications or health research publications have seen a dramatic increase during the last few decades.Given this rapid production of information, literature reviews have become an imperative cornerstone for researchers to gain a better understanding of the research landscape that they are investigating.One type of literature review that has shown great utility is the scoping review, with its great efficiency in mapping existing literature and synthesizing knowledge.A step-by-step guide is provided in this article as an introduction to those who are interested in conducting scoping reviews in order to acquire a better picture of the research landscape.To help better understand the intricacies to conducting a scoping review, each step of the process is clearly explained and elaborated on.Each step is also followed by examples from published literature.The intended audience includes students and researchers new to scoping reviews.</w:t>
      </w:r>
    </w:p>
    <w:p>
      <w:r>
        <w:t>POSSIBLE 2019: How to Explain Behavior? — https://doi.org/10.1111/tops.12480</w:t>
      </w:r>
    </w:p>
    <w:p>
      <w:r>
        <w:t>Shared claim-specific concepts: article, kind, challenge; EU scope not established. This is a provisional connection, not an outcome finding.</w:t>
      </w:r>
    </w:p>
    <w:p>
      <w:r>
        <w:t>Available abstract (not full text): Unlike behaviorism, cognitive psychology relies on mental concepts to explain behavior. Yet mental processes are not directly observable and multiple explanations are possible, which poses a challenge for finding a useful framework. In this article, I distinguish three new frameworks for explanations that emerged after the cognitive revolution. The first is called tools-to-theories: Psychologists' new tools for data analysis, such as computers and statistics, are turned into theories of mind. The second proposes as-if theories: Expected utility theory and Bayesian statistics are turned into theories of mind, describing an optimal solution of a problem but not its psychological process. The third studies the adaptive toolbox (formal models of heuristics) that describes mental processes in situations of uncertainty where an optimal solution is unknown. Depending on which framework researchers choose, they will model behavior in either situations of risk or of uncertainty, and construct models of cognitive processes or not. The frameworks also determine what questions are asked and what kind of data are generated. What all three frameworks have in common, however, is a clear preference for formal models rather than explanations by general dichotomies or mere verbal concepts. The frameworks have considerable potential to inform each other and to generate points of integration.</w:t>
      </w:r>
    </w:p>
    <w:p>
      <w:r>
        <w:t>POSSIBLE 2012: The ecological approach to visual perception and the actor performance captured in the gaming landscape — https://doi.org/10.1386/ap3.2.1-2.137_1</w:t>
      </w:r>
    </w:p>
    <w:p>
      <w:r>
        <w:t>Shared claim-specific concepts: article, capture, landscape; EU scope not established. This is a provisional connection, not an outcome finding.</w:t>
      </w:r>
    </w:p>
    <w:p>
      <w:r>
        <w:t>Available abstract (not full text): Abstract The use of Performance Capture techniques in the creation of games that involve Motion Capture is a relatively new phenomenon. To date, there is no prescribed methodology that prepares actors for the rigours of this new industry and as such there are many questions to be answered around how actors navigate these environments successfully when all available training and theoretical material is focused on performance for theatre and film. This article proposes that through a deployment of an ecological approach to visual perception we may begin to chart this territory for actors and begin to contend with the demands of performing for the motion captured gaming scenario.</w:t>
      </w:r>
    </w:p>
    <w:p>
      <w:pPr>
        <w:pStyle w:val="Heading2"/>
      </w:pPr>
      <w:r>
        <w:t>Foresight on the future of public research metrology in Europe</w:t>
      </w:r>
    </w:p>
    <w:p>
      <w:r>
        <w:t>Original source (2011): https://doi.org/10.1108/14636681111109660</w:t>
      </w:r>
    </w:p>
    <w:p>
      <w:r>
        <w:t>Original wording (abstract; indexed_source_text_not_full_document_verified): Purpose The aim of this paper is to describe and evaluate the use of a five‐step foresight process and the application of scenario methods to grasp the range of future alternatives that might confront researchers and research managers in European metrology research institutes. Design/methodology/approach The paper illustrates how scenario methods were used to, first, serve as a basis for policy recommendations for the field of European metrology research institutes and, second, help experts and stakeholders to network and actively discuss a shared vision of the future of the field.</w:t>
      </w:r>
    </w:p>
    <w:p>
      <w:r>
        <w:t>POSSIBLE 2024: Characteristics of special purpose acquisition companies as a new challenge in European markets — https://doi.org/10.5937/bizinfo2401089d</w:t>
      </w:r>
    </w:p>
    <w:p>
      <w:r>
        <w:t>Shared claim-specific concepts: purpose, aim, managers; EU scope visible. This is a provisional connection, not an outcome finding.</w:t>
      </w:r>
    </w:p>
    <w:p>
      <w:r>
        <w:t>Available abstract (not full text): Special Purpose Acquisition Company (SPAC) is a special type of public listed company available to investors in financial markets, and was formed with the aim of investing in one or more existing operating companies after raising capital. This paper provides an overview of academic and financial literature on SPACs, describes their characteristics, advantages and risks of using SPAC as a form that does not offer services and does not conduct business operations, but is formed only for the purpose of acquisition of target companies. The paper focuses on the analysis of the impact of these forms of short-term investments on private companies, SPAC managers and investors. The paper further examines whether the impact of SPACs on European financial markets can be expected to grow. Authors’ findings show that, beside limitations for growth of European SPAC number, there is evident interest among European startup companies to go public through SPACs.</w:t>
      </w:r>
    </w:p>
    <w:p>
      <w:r>
        <w:t>POSSIBLE 2023: Bronchiectasis in Europe: data on disease characteristics from the European Bronchiectasis registry (EMBARC) — https://doi.org/10.1016/s2213-2600(23)00093-0</w:t>
      </w:r>
    </w:p>
    <w:p>
      <w:r>
        <w:t>Shared claim-specific concepts: aim, describe, methods, used; EU scope visible. This is a provisional connection, not an outcome finding.</w:t>
      </w:r>
    </w:p>
    <w:p>
      <w:r>
        <w:t>Available abstract (not full text): BACKGROUND: Bronchiectasis is a heterogeneous, neglected disease with few multicentre studies exploring the causes, severity, microbiology, and treatment of the disease across Europe. This aim of this study was to describe the clinical characteristics of bronchiectasis and compare between different European countries. METHODS: EMBARC is an international clinical research network for bronchiectasis. We report on a multicentre, prospective, observational, non-interventional, cohort study (the EMBARC registry) conducted across 27 European countries and Israel. Comprehensive clinical data were collected from adult patients (aged ≥18 years) at baseline and annual follow-up visits using electronic case report form. Data from individual countries were grouped into four regions (the UK, northern and western Europe, southern Europe, and central and eastern Europe according to modified EU EuroVoc classification). Follow-up data were used to explore differences in exacerbation frequency between regions using a negative binomial regression model. FINDINGS: Between Jan 12, 2015, and April 12, 2022, 16 963 individuals were enrolled. Median age was 67 years (IQR 57-74), 10 335 (60·9%) participants were female and 6628 (39·1%) were male. The most common cause of bronchiectasis in all 16 963 participants was post-infective disease in 3600 (21·2%); 6466 individuals (38·1%) were classified as idi</w:t>
      </w:r>
    </w:p>
    <w:p>
      <w:r>
        <w:t>POSSIBLE 2022: Needs of forensic psychiatric patients with schizophrenia in five European countries — https://doi.org/10.1007/s00127-022-02336-5</w:t>
      </w:r>
    </w:p>
    <w:p>
      <w:r>
        <w:t>Shared claim-specific concepts: purpose, five, methods, used; EU scope visible. This is a provisional connection, not an outcome finding.</w:t>
      </w:r>
    </w:p>
    <w:p>
      <w:r>
        <w:t>Available abstract (not full text): AIMS: The purpose was to compare the frequency of needs of patients with schizophrenia in forensic services across five European countries as assessed by both the patients and their care staff. METHODS: Patients with schizophrenia and a history of significant interpersonal violence were recruited from forensic psychiatric services in Austria, Germany, Italy, Poland and England. Participants' needs were assessed using the Camberwell Assessment of Needs-Forensic Version (CANFOR). Multiple linear regression analyses were used to identify predictors of numbers of needs. RESULTS: In this sample, (n = 221) the most commonly reported need according to patients (71.0%) and staff (82.8%) was the management of psychotic symptoms. A need for information was mentioned by about 45% of staff and patients. Staff members reported a significantly higher number of total needs than patients (mean 6.9 vs. 6.2). In contrast, staff members reported a significantly lower number of unmet needs than patients (mean 2.0 vs. 2.5). Numbers of total needs and met needs differed between countries. Unmet needs as reported by patients showed positive associations with the absence of comorbid personality disorder, with higher positive symptom scores and lifetime suicide or self-harm history. Significant predictors of unmet needs according to staff were absence of comorbid personality disorder and higher positiv</w:t>
      </w:r>
    </w:p>
    <w:p>
      <w:r>
        <w:t>POSSIBLE 2021: Differences in hip fracture care in Europe: a systematic review of recent annual reports of hip fracture registries — https://doi.org/10.1007/s00068-021-01797-8</w:t>
      </w:r>
    </w:p>
    <w:p>
      <w:r>
        <w:t>Shared claim-specific concepts: purpose, describe, process, methods; EU scope visible. This is a provisional connection, not an outcome finding.</w:t>
      </w:r>
    </w:p>
    <w:p>
      <w:r>
        <w:t xml:space="preserve">Available abstract (not full text): PURPOSE: Hip fractures are of growing interest due to their increasing number, subsequent functional decline and high institutionalization rate of patients, mortality, and costs. Several process measurements are essential for hip fracture care. To compare and improve these, hip fracture registries in Europe became popular. This systematic review aims to describe the differences between hip fracture registries in Europe as well as the differences in hip fracture treatment between countries. METHODS: A systematic search using the keywords "hip fracture" AND "national" AND "database OR audit OR registry OR register" was performed in PubMed, Embase and Cochrane Library according to PRISMA guidelines till 3rd December 2020. Recent annual reports of identified hip fracture registries in Europe were additionally identified in June 2021. Comparisons of most common case-mix, process and outcome measurements were performed. RESULTS: 11 registries in Europe were identified. Differences were observed regarding inclusion criteria of the different registries. Comparison of the different registries was difficult due to differences in the way to report measurements. While mortality rates differed substantially between countries, most of the process measurements met recommendations according to recent guidelines. CONCLUSION: Hip fracture registries were a valid tool to compare hospitals within </w:t>
      </w:r>
    </w:p>
    <w:p>
      <w:r>
        <w:t>POSSIBLE 2021: General population normative data for the EQ-5D-3L in the five largest European economies — https://doi.org/10.1007/s10198-021-01326-9</w:t>
      </w:r>
    </w:p>
    <w:p>
      <w:r>
        <w:t>Shared claim-specific concepts: aim, five, methods, used; EU scope visible. This is a provisional connection, not an outcome finding.</w:t>
      </w:r>
    </w:p>
    <w:p>
      <w:r>
        <w:t>Available abstract (not full text): AIM: The EQ-5D is a generic measure of health that is widely applied for health economic and non-economic purposes. Population norms can be used to facilitate the interpretation of EQ-5D data. The objective of this study was to develop a set of pooled normative EQ-5D-3L values for the five largest European economies (EUR5). METHODS: EQ-5D-3L index values based on the time trade-off (TTO) were available for all EUR5 countries (n = 21,425): France, Germany, Italy, Spain, and the United Kingdom (UK). Country-specific data sets were aggregated and weighted to facilitate the derivation of norms for gender and age groups. Analyses included equal weighting and weighting by population and economy size. Norms were also calculated using the European visual analog scale-based value set (European VAS), the EQ VAS and separately by dimension. RESULTS: Pooled mean (SD) population weighted TTO values for males/females were 0.967 (0.122)/0.959 (0.118) for ages 18-24; 0.965 (0.096)/0.954 (0.117) for ages 25-34; 0.943 (0.165)/0.936 (0.169) for ages 35-44; 0.934 (0.150)/0.921 (0.157) for ages 45-54; 0.896 (0.188)/0.875 (0.197) for ages 55-64; 0.900 (0.158)/0.839 (0.218) for ages 65-74; and 0.830 (0.234)/0.756 (0.291) for ages 75 and older. Mean values decreased and variance increased with age; females had slightly lower mean values than males across all age bands. The unequal weighting approaches</w:t>
      </w:r>
    </w:p>
    <w:p>
      <w:r>
        <w:t>POSSIBLE 2020: The Humanistic and Economic Burden of Migraine in Europe: A Cross-Sectional Survey in Five Countries — https://doi.org/10.1007/s40120-020-00196-2</w:t>
      </w:r>
    </w:p>
    <w:p>
      <w:r>
        <w:t>Shared claim-specific concepts: aim, five, methods; EU scope visible. This is a provisional connection, not an outcome finding.</w:t>
      </w:r>
    </w:p>
    <w:p>
      <w:r>
        <w:t>Available abstract (not full text): INTRODUCTION: Prior studies have estimated the burden of migraine in patients suffering from ≥ 4 monthly headache days (MHDs), but the burden experienced by migraineurs suffering from one to three (1-3) MHDs is unknown. The aim of this study was to examine the incremental burden of migraine in terms of health-related quality of life (HRQoL), impairments to work and daily activities, and healthcare resource utilization (HRU) in five European countries (France, Germany, Italy, Spain, and the UK (EU5]), by comparing migraineurs with ≥ 4 MHDs and migraineurs with 1-3 MHDs. METHODS: The sample for this retrospective cross-sectional study was collected from the 2017 National Health and Wellness Survey (N = 62,000). The Short-Form 12-Item Health Survey Instrument, version-2 physical and mental component summary (PCS and MCS) scores, Short-Form 6-dimensions (SF-6D), EuroQoL 5-dimensions (EQ-5D) and EuroQoL visual analog scale (VAS) scores, impairments to work productivity and daily activities (Work Productivity and Activity Impairment [WPAI] Questionnaire) scores, and HRU were compared between migraineur groups with ≥ 4 MHDs (4-7, intermediate-frequency episodic migraine; 8-14, high-frequency episodic migraine; ≥ 15 chronic migraine) and the migraineur subgroup with 1-3 MHDs (low-frequency episodic migraine) using generalized linear modeling after adjusting for covariates. RESULTS: Dat</w:t>
      </w:r>
    </w:p>
    <w:p>
      <w:r>
        <w:t>POSSIBLE 2018: European In-Situ Snow Measurements: Practices and Purposes — https://doi.org/10.3390/s18072016</w:t>
      </w:r>
    </w:p>
    <w:p>
      <w:r>
        <w:t>Shared claim-specific concepts: describe, methods, range; EU scope visible. This is a provisional connection, not an outcome finding.</w:t>
      </w:r>
    </w:p>
    <w:p>
      <w:r>
        <w:t>Available abstract (not full text): In-situ snow measurements conducted by European institutions for operational, research, and energy business applications were surveyed in the framework of the European Cooperation in Science and Technology (COST) Action ES1404, called "A European network for a harmonised monitoring of snow for the benefit of climate change scenarios, hydrology, and numerical weather prediction". Here we present the results of this survey, which was answered by 125 participants from 99 operational and research institutions, belonging to 38 European countries. The typologies of environments where the snow measurements are performed range from mountain to low elevated plains, including forests, bogs, tundra, urban areas, glaciers, lake ice, and sea ice. Of the respondents, 93% measure snow macrophysical parameters, such as snow presence, snow depth (HS), snow water equivalent (SWE), and snow density. These describe the bulk characteristics of the whole snowpack or of a snow layer, and they are the primary snow properties that are needed for most operational applications (such as hydrological monitoring, avalanche forecast, and weather forecast). In most cases, these measurements are done with manual methods, although for snow presence, HS, and SWE, automatized methods are also applied by some respondents. Parameters characterizing precipitating and suspended snow (such as the height of new snow, p</w:t>
      </w:r>
    </w:p>
    <w:p>
      <w:r>
        <w:t>POSSIBLE 2018: A longitudinal and comparative analysis of competitive balance in five European football leagues — https://doi.org/10.1108/tpm-09-2017-0055</w:t>
      </w:r>
    </w:p>
    <w:p>
      <w:r>
        <w:t>Shared claim-specific concepts: purpose, five, design, methodology, approach; EU scope visible. This is a provisional connection, not an outcome finding.</w:t>
      </w:r>
    </w:p>
    <w:p>
      <w:r>
        <w:t>Available abstract (not full text): Purpose This paper aims to provide empirical evidence on competitive balance in the “big five” European football leagues, namely, the English Premier League, French Ligue 1, German Bundesliga, Italian Serie A and Spanish La Liga. Design/methodology/approach This paper uses recognised measures of competitive balance to measure levels of concentration (within-season competitive balance) and dominance (between-season competitive balance) in the selected leagues over 22 seasons between 1995/96 and 2016/17. Findings French Ligue 1 emerged as the most balanced league in terms of both concentration and dominance measures. The analysis also points to a statistically significant decline in competitive balance in all leagues apart from Serie A (Italy). Originality/value The findings of this study are of concern for the league organisers. Competition intensity is a key component of a sport league, and a league that is dominated by one or a select few clubs is less attractive within the marketplace. This paper presents challenges at the league governance level for the five leagues examined.</w:t>
      </w:r>
    </w:p>
    <w:p>
      <w:r>
        <w:t>POSSIBLE 2017: The search for an appropriate end-of-life formula for the purpose of the European Commission Environmental Footprint initiative — https://doi.org/10.1007/s11367-016-1244-0</w:t>
      </w:r>
    </w:p>
    <w:p>
      <w:r>
        <w:t>Shared claim-specific concepts: purpose, aim, methods, approach; EU scope visible. This is a provisional connection, not an outcome finding.</w:t>
      </w:r>
    </w:p>
    <w:p>
      <w:r>
        <w:t>Available abstract (not full text): This paper explains in details the rationale behind the choice of the end-of-life allocation approach in the European Commission Product Environmental Footprint (PEF) and Organisational Environmental Footprint (OEF) methods. The end-of-life allocation formula in the PEF/OEF methods aims at enabling the assessment of all end-of-life scenarios possible, including recycling, reuse, incineration (with heat recovery) and disposal for both open- and closed-loop systems in a consistent and reproducible way. It presents how the formula builds on existing standards and how and why it deviates from them. Various end-of-life allocation approaches and formulas, mainly taken not only from/based on existing environmental impact assessment methods and/or standards but also one original linearly degressive approach, were analysed against a predetermined set of criteria, reflecting the overall aim of the PEF/OEF methods. This set of criteria is physical realism, distribution of burdens and benefits in a product cascade system and applicability. Besides the qualitative analysis, the various formulas were implemented for several products and for different scenarios regarding recycled content and recyclability to check the robustness of the outcomes, exemplary expressed for the Global Warming Potential impact category. As reaching physical realism was impossible at both the product and overall pro</w:t>
      </w:r>
    </w:p>
    <w:p>
      <w:r>
        <w:t>POSSIBLE 2017: Regional differences in insulin therapy regimens in five European countries — https://doi.org/10.5414/cp202906</w:t>
      </w:r>
    </w:p>
    <w:p>
      <w:r>
        <w:t>Shared claim-specific concepts: purpose, use, five, methods, used; EU scope visible. This is a provisional connection, not an outcome finding.</w:t>
      </w:r>
    </w:p>
    <w:p>
      <w:r>
        <w:t>Available abstract (not full text): AIMS: The purpose of this study was to investigate differences of insulin therapy regimens in five European countries. METHODS: Proportions of basal bolus therapy (intensified insulin therapy (ICT), basal insulin supported oral therapy (BOT), conventional therapy (CT), and short-acting prandial insulin (SIT) among insulin-treated diabetes patients in Germany (n = 64,055), the UK (n = 6,740), and France (n = 4,779) were estimated using representative general medicine practice databases (Disease Analyzer: 2014). Insulin regimens in Hungary (n = 40,769) and Poland (n = 68,136) were analyzed based on nationwide prescription databases (LRx: 2014). RESULTS: ICT was the most frequent insulin regimen (46 - 81%) in all countries except France (BOT &gt; ICT). SIT showed the lowest use, ranging from 2.5% in the UK to 11.2% in Germany. BOT was more frequently used than CT in Germany and Hungary, which was just the opposite in the UK and Poland. The share of insulin analogs among all prescriptions was higher in Germany, the UK, and France (short-acting insulins: 59 - 98%; basal insulins: 70 - 93%) than in Hungary and Poland (short-acting insulins: 41 - 57%; basal insulins: 23 - 46%) (all p &lt; 0.001). CONCLUSIONS: Despite national and international guidelines, insulin regimens differ substantially between European countries. Our results most likely reflect differences in regulations and reimburs</w:t>
      </w:r>
    </w:p>
    <w:p>
      <w:r>
        <w:t>POSSIBLE 2016: Forestry applications of UAVs in Europe: a review — https://doi.org/10.1080/01431161.2016.1252477</w:t>
      </w:r>
    </w:p>
    <w:p>
      <w:r>
        <w:t>Shared claim-specific concepts: aim, use, used; EU scope visible. This is a provisional connection, not an outcome finding.</w:t>
      </w:r>
    </w:p>
    <w:p>
      <w:r>
        <w:t>Available abstract (not full text): Unmanned aerial vehicles (UAVs) or remotely piloted aircraft systems are new platforms that have been increasingly used over the last decade in Europe to collect data for forest research, thanks to the miniaturization and cost reduction of GPS receivers, inertial navigation system, computers, and, most of all, sensors for remote sensing.In this review, after describing the regulatory framework for the operation of UAVs in the European Union (EU), an overview of applications in forest research is presented, followed by a discussion of the results obtained from the analysis of different case studies.Rotary-wing and fixed-wing UAVs are equally distributed among the case studies, while ready-to-fly solutions are preferred over self-designed and developed UAVs. Most adopted technologies are visible-red, green, and blue, multispectral in visible and near-infrared, middle-infrared, thermal infrared imagery, and lidar.The majority of current UAV-based applications for forest research aim to inventory resources, map diseases, classify species, monitor fire and its effects, quantify spatial gaps, and estimate post-harvest soil displacement.Successful implementation of UAVs in forestry depends on UAV features, such as flexibility of use in flight planning, low cost, reliability and autonomy, and capability of timely provision of high-resolution data.Unfortunately, the fragmented regulatio</w:t>
      </w:r>
    </w:p>
    <w:p>
      <w:r>
        <w:t>POSSIBLE 2016: Moving beyond the “Five Freedoms” by Updating the “Five Provisions” and Introducing Aligned “Animal Welfare Aims” — https://doi.org/10.3390/ani6100059</w:t>
      </w:r>
    </w:p>
    <w:p>
      <w:r>
        <w:t>Shared claim-specific concepts: five, application, range, first; EU scope visible. This is a provisional connection, not an outcome finding.</w:t>
      </w:r>
    </w:p>
    <w:p>
      <w:r>
        <w:t>Available abstract (not full text): Although the Five Freedoms paradigm has been very influential in shaping animal welfare thinking for the last two decades, it has two key disadvantages. First, the focus on "freedom" from a range of negative experiences and states has been misunderstood in a number of quarters to mean that complete freedom from these experiences and states is possible, when in fact the best that can be achieved is for them to be minimised. Second, the major focus of the Freedoms on negative experiences and states is now seen to be a disadvantage in view of current understanding that animal welfare management should also include the promotion of positive experiences and states. The challenge therefore was to formulate a paradigm that overcame these two main problems and yet was straightforward enough to be accessible to non-specialists, including members of the lay public who are interested in animal welfare. This was achieved by highlighting the Five Provisions, originally aligned with the Five Freedoms, but now updated to direct welfare management towards activities that both minimise negative experiences or states and promote positive experiences or states as specified by particular Animal Welfare Aims assigned to each Provision. Aspects of the four welfare principles from the European Welfare Quality assessment system (WQ (®) ) and elements of all domains of the Five Domains Model for animal</w:t>
      </w:r>
    </w:p>
    <w:p>
      <w:pPr>
        <w:pStyle w:val="Heading2"/>
      </w:pPr>
      <w:r>
        <w:t>Future scenarios for a depressed region of England: the role of education in creating alternative futures</w:t>
      </w:r>
    </w:p>
    <w:p>
      <w:r>
        <w:t>Original source (2011): https://doi.org/10.1108/14636681111179564</w:t>
      </w:r>
    </w:p>
    <w:p>
      <w:r>
        <w:t>Original wording (abstract; indexed_source_text_not_full_document_verified): Findings Four scenarios were developed as possible futures for the region to help inform policy making, in particular educational policy to encourage more young people to remain in education for longer and gain higher qualifications. Purpose This paper seeks to outline four scenarios developed for the future of the South West Midlands region of England.</w:t>
      </w:r>
    </w:p>
    <w:p>
      <w:r>
        <w:t>POSSIBLE 2026: The Effect of Government Health Expenditure on Infant Mortality Rates in the SADC Region: A Case of Four Countries — https://doi.org/10.47772/ijriss.2025.91200312</w:t>
      </w:r>
    </w:p>
    <w:p>
      <w:r>
        <w:t>Shared claim-specific concepts: findings, four, region, help, education, south; EU scope not established. This is a provisional connection, not an outcome finding.</w:t>
      </w:r>
    </w:p>
    <w:p>
      <w:r>
        <w:t>Available abstract (not full text): This study aimed to examine the effect of Government Health Expenditure (GHE) on Infant Mortality Rates (IMR) in the Southern African Development Community (SADC) region, focusing on four countries, namely: Botswana, Eswatini, Namibia, and South Africa. Rooted in the Grossman Theory of Health Demand and the Wagstaff Model, the research employed a quantitative, longitudinal research design using panel data from 2010 - 2022. Data was sourced from the World Bank’s development indicators and an Ordinary Least Squares (OLS) regression model was utilised to analyse this data using STATA statistical software. The findings of this study indicate that increased GHE significantly reduces IMR in the SADC region, with the results showing that a 1% increase in GHE (as % of GDP) reduces IMR by approximately 4.83 deaths per 1,000 live births. The mediating variables, namely: Maternal Education (ME) and Access to Clean Water (CW), have also shown a statistical significance in amplifying the effect of GHE on IMR in this region. Results indicate that a 1% increase in spending on each of the two mediating variables, ME and CW, resulted in reductions in IMR of 0.492 and 0.518 deaths per 1000 live births respectively. These finding support the hypotheses that GHE has a significant negative effect on IMR in the SADC region; and that both ME and CW have a significant negative effect on IMR and thus a</w:t>
      </w:r>
    </w:p>
    <w:p>
      <w:r>
        <w:t>POSSIBLE 2024: Relationship between Seminars and Employee Performance in Level Four Hospitals in South-Rift Region, Kenya — https://doi.org/10.47772/ijriss.2024.8100084</w:t>
      </w:r>
    </w:p>
    <w:p>
      <w:r>
        <w:t>Shared claim-specific concepts: findings, four, developed, region, help; EU scope not established. This is a provisional connection, not an outcome finding.</w:t>
      </w:r>
    </w:p>
    <w:p>
      <w:r>
        <w:t>Available abstract (not full text): Health sector is an area of priority for efficient delivery of services. Health policies have been developed and adopted to enhance accessible and quality health care. Poor service delivery has been attributed to employee performance. Unmatched skills set to job requirements are assumed to have a significant impact on the performance of employees. The effectiveness of employee training and development programs such as seminars can bridge the gap between job requirements an employee’s ability to perform. However, it is not yet clear to what extent seminar activities influence employee performance. Therefore, the study sought to assess the relationship between seminars and employee performance in Level Four Hospitals operating within the South-Rift Region in Kenya. Specifically, it established the relationship between structured seminars, work environment-based seminars and performance feedback-based seminars and employee performance in Level Four Hospitals in South-Rift Region in Kenya. Human capital theory, knowledge-based theory of the firm and social learning theory was used. Correlational and survey research designs were employed with a target population of 663 and a sample of 249.Stratified simple random sampling was used to pick the respondents. Data was collected using structured questionnaire and reliability Cronbach alpha coefficient of 0.7625 obtained. Descriptive stat</w:t>
      </w:r>
    </w:p>
    <w:p>
      <w:r>
        <w:t>POSSIBLE 2023: How to develop four competencies for teacher educators — https://doi.org/10.3389/feduc.2023.1147143</w:t>
      </w:r>
    </w:p>
    <w:p>
      <w:r>
        <w:t>Shared claim-specific concepts: findings, four, education; EU scope not established. This is a provisional connection, not an outcome finding.</w:t>
      </w:r>
    </w:p>
    <w:p>
      <w:r>
        <w:t>Available abstract (not full text): Understanding competencies and the process of acquiring them contributes to a shared set of essential abilities for teacher educators’ professional development. Practical experiences of practitioners expose which competencies the work context requires them to possess and situations in which their learning is conducted. The necessity for essential contextual competency is pressing, particularly for teacher educators working in developing countries where teacher education has undergone reforms to respond to national and international demands. This study explores competencies for teacher educators in Vietnam through in-depth interviews with experienced practitioners and their visual metaphors. Eight participants with working experience ranging from 6 to 26 years were interviewed for 60–180 min during January–April 2021. The results reveal four competency areas of (1) knowledge and skills consisting of (a) teaching skill, (b) subject content, (c) scientific and subject-related information, (d) the reality of education and multidisciplinary knowledge, (e) research procedural knowledge, (f) collaboration with others, and (g) English language; (2) ethical manner; (3) motivation; and (4) self-reflection about personal values. Professional development includes learning from and working with others, learning in organized courses, conducting independent and collaborative research, and oth</w:t>
      </w:r>
    </w:p>
    <w:p>
      <w:r>
        <w:t>POSSIBLE 2023: Characterization of four commercial waxy wheats developed in China — https://doi.org/10.1002/cche.10687</w:t>
      </w:r>
    </w:p>
    <w:p>
      <w:r>
        <w:t>Shared claim-specific concepts: findings, four, developed, higher; EU scope not established. This is a provisional connection, not an outcome finding.</w:t>
      </w:r>
    </w:p>
    <w:p>
      <w:r>
        <w:t>Available abstract (not full text): Abstract Background and Objectives As the interest in use of waxy wheat in food applications continues to grow, it is important to fully understand characteristics of waxy wheats. To the best of our knowledge, there was no previous study reporting a complete characterization of commercial waxy wheats developed in China, especially properties of wheat kernels, dough, wet milling, gluten, and starch. To promote the industrial utilization of waxy wheat, four Chinese commercial waxy wheats were collected and characterized. Findings Four commercial waxy wheats commercialized in China were sound medium hard wheats. Care must be taken during harvesting and storage of waxy wheats since the waxy wheat flours were very sensitive to the endogenous α‐amylase even at a very low level of enzyme activity. Rapid viscosity analyzer had a good potential for evaluating the sprout damage of waxy wheat. Dough rheological properties and gluten index showed that the four waxy wheats had weak gluten quality, agreeing with wet‐milling performance. The waxy wheat starches had higher onset, peak, and conclusion gelatinization temperatures than normal wheat starch. While the waxy wheat starches showed lower pasting temperature and higher peak viscosity than normal wheat starch. Conclusions Results suggested that the four commercial waxy wheats varied in kernel characteristics, protein and starch contents,</w:t>
      </w:r>
    </w:p>
    <w:p>
      <w:r>
        <w:t>POSSIBLE 2023: Four ways blue foods can help achieve food system ambitions across nations — https://doi.org/10.1038/s41586-023-05737-x</w:t>
      </w:r>
    </w:p>
    <w:p>
      <w:r>
        <w:t>Shared claim-specific concepts: findings, four, help, people, south; EU scope not established. This is a provisional connection, not an outcome finding.</w:t>
      </w:r>
    </w:p>
    <w:p>
      <w:r>
        <w:t>Available abstract (not full text): Abstract Blue foods, sourced in aquatic environments, are important for the economies, livelihoods, nutritional security and cultures of people in many nations. They are often nutrient rich1, generate lower emissions and impacts on land and water than many terrestrial meats2, and contribute to the health3, wellbeing and livelihoods of many rural communities4. The Blue Food Assessment recently evaluated nutritional, environmental, economic and justice dimensions of blue foods globally. Here we integrate these findings and translate them into four policy objectives to help realize the contributions that blue foods can make to national food systems around the world: ensuring supplies of critical nutrients, providing healthy alternatives to terrestrial meat, reducing dietary environmental footprints and safeguarding blue food contributions to nutrition, just economies and livelihoods under a changing climate. To account for how context-specific environmental, socio-economic and cultural aspects affect this contribution, we assess the relevance of each policy objective for individual countries, and examine associated co-benefits and trade-offs at national and international scales. We find that in many African and South American nations, facilitating consumption of culturally relevant blue food, especially among nutritionally vulnerable population segments, could address vitamin B12a</w:t>
      </w:r>
    </w:p>
    <w:p>
      <w:r>
        <w:t>POSSIBLE 2023: Current Antibiotic Use Among Hospitals in the sub-Saharan Africa Region; Findings and Implications — https://doi.org/10.2147/idr.s398223</w:t>
      </w:r>
    </w:p>
    <w:p>
      <w:r>
        <w:t>Shared claim-specific concepts: findings, region, longer, south; EU scope not established. This is a provisional connection, not an outcome finding.</w:t>
      </w:r>
    </w:p>
    <w:p>
      <w:r>
        <w:t>Available abstract (not full text): Background: The rapid rise in antimicrobial resistance (AMR) globally, impacting on morbidity, mortality and costs with sub-Saharan African countries reporting the greatest burden is a concern. Instigation of antimicrobial stewardship programs (ASPs) can improve antibiotic use in hospitals and reduce AMR. Implementing ASPs requires knowledge of antibiotic utilization against agreed quality indicators with the data obtained from point prevalence surveys (PPS), hence the need to document antibiotic utilization patterns in sub-Saharan Africa. Methods: A narrative review to document current utilization patterns, challenges, indicators and ASPs across sub-Saharan Africa based on previous reviews by the authors, supplemented by the considerable knowledge and experience of the co-authors. Results: Results from multiple PPS studies showed a high prevalence of antibiotic use among hospitals, mostly over 50%. Prevalence rates ranged from as low as 37.7% in South Africa to as high as 80.1% in Nigeria. There was also considerable prescribing of broad-spectrum antibiotics which could be due to lack of facilities within hospitals, alongside concerns with co-payments to perform microbiological tests, resulting in empiric prescribing. This is a concern alongside lack of guidelines or adherence to guidelines, which was as low as 4% in one study. Another concern was the high rates of extended pr</w:t>
      </w:r>
    </w:p>
    <w:p>
      <w:r>
        <w:t>POSSIBLE 2022: Developing a scale to measure problems in finding a good fit — https://doi.org/10.1108/jfmm-11-2021-0302</w:t>
      </w:r>
    </w:p>
    <w:p>
      <w:r>
        <w:t>Shared claim-specific concepts: findings, four, purpose; EU scope not established. This is a provisional connection, not an outcome finding.</w:t>
      </w:r>
    </w:p>
    <w:p>
      <w:r>
        <w:t>Available abstract (not full text): Purpose The purposes of this study were twofold: (1) to develop a scale for measuring consumers' perceived problems of finding a good fit (PFGF) and (2) to provide evidence of several types of scale validities including nomological validity through examining the relationship between PFGF and body esteem based on attribution theory. Design/methodology/approach Scale development took place in three steps: (1) An initial pool of items was generated based on a previous study; (2) preliminary quantitative tests of reliability and validity of items were performed, including confirmatory factor analyses (CFAs); and (3) final scale validation through a discriminant and nomological validity test was conducted using CFA and the structural equation model (SEM). CFAs and SEM with the mediation effect were performed using Preacher and Hayes' (2008) bootstrap procedure in Mplus. Findings Of the 20 items (four items for physical, eight items for aesthetic and eight items for functional) generated in Step 1, a total of 14 items (four items for physical, five items for aesthetic and five items for functional) were remained through preliminary tests of reliability and validity of the scale in Step 2. In Step 3, the 14 items were finalized and validated through testing the hypothesized mediating effect of internal attribution of fit problems between the PFGF scale and the measures of body esteem.</w:t>
      </w:r>
    </w:p>
    <w:p>
      <w:r>
        <w:t>POSSIBLE 2020: Region-specific sex differences in the hippocampus — https://doi.org/10.1016/j.neuroimage.2020.116781</w:t>
      </w:r>
    </w:p>
    <w:p>
      <w:r>
        <w:t>Shared claim-specific concepts: findings, four, region, help, young; EU scope not established. This is a provisional connection, not an outcome finding.</w:t>
      </w:r>
    </w:p>
    <w:p>
      <w:r>
        <w:t>Available abstract (not full text): The hippocampus is a brain region critical for learning and memory, and is also implicated in several neuropsychiatric disorders that show sex differences in prevalence, symptom expression, and mean age of onset. On average, males have larger hippocampal volumes than females, but findings are inconclusive after adjusting for overall brain size. Although the hippocampus is a heterogenous structure, few studies have focused on sex differences in the hippocampal subfields - with little consensus on whether there are regionally specific sex differences in the hippocampus after adjusting for brain size, or whether it is important to adjust for total hippocampal volume (HPV). Here, using two young adult cohorts from the Queensland Twin IMaging study (QTIM; N ​= ​727) and the Human Connectome Project (HCP; N ​= ​960), we examined differences between males and females in the volumes of 12 hippocampal subfields, extracted using FreeSurfer 6.0. After adjusting the subfield volumes for either HPV or brain size (brain segmentation volume (BSV)) using four controlling methods (allometric, covariate, residual and matching), we estimated the percentage difference of the sex effect (males versus females) and Cohen's d using hierarchical general linear models. Males had larger volumes compared to females in the parasubiculum (up to 6.04%; Cohen's d ​= ​0.46) and fimbria (up to 8.75%; d ​= ​0.54</w:t>
      </w:r>
    </w:p>
    <w:p>
      <w:r>
        <w:t>POSSIBLE 2020: Variations in newspaper reporting of suicidal behavior in the WHO–South-East Asian region — https://doi.org/10.1093/pubmed/fdaa139</w:t>
      </w:r>
    </w:p>
    <w:p>
      <w:r>
        <w:t>Shared claim-specific concepts: findings, four, region, help; EU scope not established. This is a provisional connection, not an outcome finding.</w:t>
      </w:r>
    </w:p>
    <w:p>
      <w:r>
        <w:t>Available abstract (not full text): BACKGROUND: South-East Asia is a densely populated region, comprising of 11 low- and middle-income countries and contributing to 39% of global suicides. There are serious challenges to suicide prevention in the region such as lack of high-quality suicide data, underreporting and poor quality of media reporting. The current report aimed to assess the variations in newspaper reporting of suicidal behavior in the World Health Organization-South-East Asian countries. METHODS: We analyzed the contents of nine research articles on media reporting of suicide, published from four South-East Asian countries (four from Bangladesh, three from India, one each from Indonesia and Bhutan) that used similar methods and presented results in a nearly similar fashion. RESULTS: Personal identifying information of the deceased was very frequently mentioned in the newspaper reports across the countries. Suicide notes were reported more commonly in India (9.5-18%) than Bangladesh (4.2-7.5%) and Indonesia (9.5%). No educative material was found in any of the newspaper reports of Bangladesh and Indonesia while it was rarely reported in Bhutan and India. CONCLUSION: Our findings from the four South-East Asian countries suggest that there are variations between the countries while presenting the news reports of suicidal behavior. These findings would help to formulate and regulate the media guidelines fo</w:t>
      </w:r>
    </w:p>
    <w:p>
      <w:r>
        <w:t>POSSIBLE 2019: Seeking help for sexual difficulties: findings from a study with older adults in four European countries — https://doi.org/10.1007/s10433-019-00536-8</w:t>
      </w:r>
    </w:p>
    <w:p>
      <w:r>
        <w:t>Shared claim-specific concepts: findings, four, help, inform; EU scope visible. This is a provisional connection, not an outcome finding.</w:t>
      </w:r>
    </w:p>
    <w:p>
      <w:r>
        <w:t>Available abstract (not full text): = 3820) on sexuality and ageing to examine help-seeking in 60-75-year-olds in Norway, Denmark, Belgium, and Portugal. More men (12.2%) than women (6.8%) had sought professional help for a sexual difficulty in the past 5 years. The main reason for help-seeking was that sex was important to the participant and/or their relationship. The main source of professional help was the primary care physician. Of those who had sought professional help, 48% were satisfied or very satisfied with the help received, 31.6% were neither satisfied nor dissatisfied, and 20.4% were dissatisfied or very dissatisfied. Others had sought help from informal sources, particularly partners, friends, or websites. The main reasons for not seeking professional help included not being distressed by the symptoms, and thinking that the difficulty would clear up on its own. Multivariable regression analysis revealed that significant correlates of seeking professional help for women and men were level of distress about the sexual difficulty. With regard to women, those who were married, and/or from Portugal were more likely to have sought help. And regarding men, those who attended religious services were more likely to have sought professional help. These results have important implications for healthcare and can be used to inform the development and delivery of services for older adults who experience sexual di</w:t>
      </w:r>
    </w:p>
    <w:p>
      <w:r>
        <w:t>POSSIBLE 2018: Applying GRADE-CERQual to qualitative evidence synthesis findings—paper 2: how to make an overall CERQual assessment of confidence and create a Summary of Qualitative Findings table — https://doi.org/10.1186/s13012-017-0689-2</w:t>
      </w:r>
    </w:p>
    <w:p>
      <w:r>
        <w:t>Shared claim-specific concepts: findings, four, developed, making; EU scope not established. This is a provisional connection, not an outcome finding.</w:t>
      </w:r>
    </w:p>
    <w:p>
      <w:r>
        <w:t>Available abstract (not full text): BACKGROUND: The GRADE-CERQual (Confidence in Evidence from Reviews of Qualitative research) approach has been developed by the GRADE (Grading of Recommendations Assessment, Development and Evaluation) Working Group. The approach has been developed to support the use of findings from qualitative evidence syntheses in decision making, including guideline development and policy formulation. CERQual includes four components for assessing how much confidence to place in findings from reviews of qualitative research (also referred to as qualitative evidence syntheses): (1) methodological limitations, (2) coherence, (3) adequacy of data and (4) relevance. This paper is part of a series providing guidance on how to apply CERQual and focuses on making an overall assessment of confidence in a review finding and creating a CERQual Evidence Profile and a CERQual Summary of Qualitative Findings table. METHODS: We developed this guidance by examining the methods used by other GRADE approaches, gathering feedback from relevant research communities and developing consensus through project group meetings. We then piloted the guidance on several qualitative evidence syntheses before agreeing on the approach. RESULTS: Confidence in the evidence is an assessment of the extent to which a review finding is a reasonable representation of the phenomenon of interest. Creating a summary of each review f</w:t>
      </w:r>
    </w:p>
    <w:p>
      <w:r>
        <w:t>POSSIBLE 2018: Real time four channel phase comparison direction finding method — https://doi.org/10.1109/siu.2018.8404590</w:t>
      </w:r>
    </w:p>
    <w:p>
      <w:r>
        <w:t>Shared claim-specific concepts: four, developed, possible; EU scope not established. This is a provisional connection, not an outcome finding.</w:t>
      </w:r>
    </w:p>
    <w:p>
      <w:r>
        <w:t>Available abstract (not full text): In this paper, the implementation of real time direction finding method on FPGA platform for the direction finding systems that have four coherent channels and linear antenna array is presented. If the signals that are received from same direction and distance between antennas are processed by a FPGA card, different antenna pair combinations can be generated. Direction finding is achieved by the comparison of possible angle of arrival values that is calculated using measured fundamental phase and overlapping replicas. The developed real time algorithm and implemented structure on FGPA platform, which includes phase difference calculation, overlapped phase differences and angle calculation blocks, finally ambiguity resolution method and direction finding results are presented.</w:t>
      </w:r>
    </w:p>
    <w:p>
      <w:pPr>
        <w:pStyle w:val="Heading2"/>
      </w:pPr>
      <w:r>
        <w:t>Health impact assessment of waste management facilities in three European countries</w:t>
      </w:r>
    </w:p>
    <w:p>
      <w:r>
        <w:t>Original source (2011): https://doi.org/10.1186/1476-069x-10-53</w:t>
      </w:r>
    </w:p>
    <w:p>
      <w:r>
        <w:t>Original wording (abstract; indexed_source_text_not_full_document_verified): Assuming that the incinerators continue to operate until 2020, we are moderately confident that the annual number of cancer cases due to exposure in 2001-2020 will reach 11, 0, and 7 in 2020 and then decline to 0 in the three countries in 2050. We are moderately confident that by 2050, the attributable impact on the 2001 cohort of residents will be 3,621 (Italy), 37 (Slovakia) and 3,966 (England) YoLL.</w:t>
      </w:r>
    </w:p>
    <w:p>
      <w:r>
        <w:t>POSSIBLE 2025: Compositional Analysis and Numerical Simulation of Slagging Process on a Water-Cooled Wall of an MSW Incinerator — https://doi.org/10.3390/waste3010005</w:t>
      </w:r>
    </w:p>
    <w:p>
      <w:r>
        <w:t>Shared claim-specific concepts: incinerators, number, three; EU scope not established. This is a provisional connection, not an outcome finding.</w:t>
      </w:r>
    </w:p>
    <w:p>
      <w:r>
        <w:t>Available abstract (not full text): The mechanism of slagging in municipal solid waste incinerators is complex, and the slagging process is simultaneously affected by the composition, temperature, and flue gas flow. In this study, slag samples on a water-cooled wall were first analysed, and the key components and fusion temperatures were measured. Second, a gas-phase combustion model of an incinerator was established, and the temperature and velocity distributions of the flue gas inside the incinerator were calculated. Based on the incineration process, coupled with a discrete-phase model, a numerical simulation model of the slagging process on the water-cooled wall of the incinerator was constructed, considering the transport and adhesion processes of ash particles. The influence of parameters such as the ash particle size and concentration on the degree of slagging on the water-cooled wall was analysed. Smaller ash particles were less likely to adhere to water-cooled walls, with approximately 2.72% of ash particles with a particle size of 10 mm adhering to water-cooled walls. The proportion of ash particles with a particle size of 50 mm adhering to water-cooled walls was approximately three times that of those with a particle size of 10 mm. As the concentration of ash particles increased, the number of ash particles adhering to the water-cooled wall increased, and the adhesion ratio decreased. These results are</w:t>
      </w:r>
    </w:p>
    <w:p>
      <w:r>
        <w:t>POSSIBLE 2022: Location choice for large‐scale battery manufacturing plants: Exploring the role of clean energy, costs, and knowledge on location decisions in Europe — https://doi.org/10.1111/jiec.13292</w:t>
      </w:r>
    </w:p>
    <w:p>
      <w:r>
        <w:t>Shared claim-specific concepts: three, countries; EU scope visible. This is a provisional connection, not an outcome finding.</w:t>
      </w:r>
    </w:p>
    <w:p>
      <w:r>
        <w:t>Available abstract (not full text): Abstract Driven by an increase in the demand for battery electric vehicles, the location of large‐scale battery manufacturing plants, that is, gigafactories, has become a substantial and burgeoning topic in academia, policy, and industry. This study contributes to this debate by examining how a country's specific battery manufacturing costs and knowledge and the environmental impact of its energy mix affect the choice of location for gigafactories in the European Union. We found that France, Latvia, and Germany are suitable locations when equally balancing costs, knowledge, and energy. However, our results also showed that no country leads in all three dimensions, suggesting that there is no single best location to set up gigafactories. Instead, the choice will depend on the battery manufacturer's requirements. Here, we contribute an analysis of various combinations of costs, knowledge, and energy to identify suitable locations. Moreover, we provide a sensitivity analysis to test the robustness of our framework and to explore whether countries with a clean energy mix, such as Sweden, become suitable locations. The findings of our study will assist battery producers in identifying a suitable location for their gigafactories and will provide the basis for policymakers to attract battery manufacturing by directing investments into clean energy.</w:t>
      </w:r>
    </w:p>
    <w:p>
      <w:r>
        <w:t>POSSIBLE 2022: Polychlorinated dibenzo-p-dioxins (PCDDs) and dibenzofurans (PCDFs) soil contamination in Lausanne, Switzerland: Combining pollution mapping and human exposure assessment for targeted risk management — https://doi.org/10.1016/j.envpol.2022.120441</w:t>
      </w:r>
    </w:p>
    <w:p>
      <w:r>
        <w:t>Shared claim-specific concepts: moderately, exposure, three; EU scope not established. This is a provisional connection, not an outcome finding.</w:t>
      </w:r>
    </w:p>
    <w:p>
      <w:r>
        <w:t>Available abstract (not full text): /kg dry weight. The most likely source was a former municipal waste incinerator. A three-step, multidisciplinary approach to human health risk assessment was conducted to determine the potential population exposure to PCDD/Fs and identify appropriate preventive measures. First, exposure scenarios were developed based on contaminated land uses. Second, the toxicological risks of different scenarios were evaluated using a toxicokinetic model estimating increases in blood serum PCDD/F concentrations over background concentrations from the general population's food consumption. Third, a detailed geostatistical mapping of PCDD/F soil contamination was performed. Stochastic simulations with an external drift and an anisotropic model of the variogram were generated to incorporate the effects of distance from emission source, topography, and main wind directions on the spatial distribution of PCDD/Fs in topsoil. Three main scenarios were assessed: i) direct ingestion of soil by children in playgrounds; ii) consumption of vegetables from private gardens by children and adults; and iii) consumption of food from livestock and poultry raised on contaminated soil. The worst exposure scenario involved the consumption of eggs from private hen houses, resulting in PCDD/F concentrations in serum an order of magnitude higher than might normally be expected. No relevant increases in serum concent</w:t>
      </w:r>
    </w:p>
    <w:p>
      <w:r>
        <w:t>POSSIBLE 2020: Hazardous air pollutants from the waste incineration industry : formation mechanisms, distribution characteristics, and potential environmental risks — https://openalex.org/W3109825684</w:t>
      </w:r>
    </w:p>
    <w:p>
      <w:r>
        <w:t>Shared claim-specific concepts: incinerators, cancer, due, three; EU scope not established. This is a provisional connection, not an outcome finding.</w:t>
      </w:r>
    </w:p>
    <w:p>
      <w:r>
        <w:t xml:space="preserve">Available abstract (not full text): In this study, the formation mechanisms, distribution characteristics, and potential environmental risks of hazardous air pollutants from industrial-scale waste incineration processes were investigated. First, to clarify the dominant formation mechanism of polychlorinated dibenzo- p-dioxins and dibenzofurans (PCDD/Fs) in a hazardous waste (HW) incinerator, three tests were designed by adding different precursors in phenol-containing raw materials. With the addition of p-dichlorobenzene, PCDD/F levels at the quenching tower outlet were ten times higher than levels observed at the inlet. This indicates that the quenching tower failed to suppress the formation of PCDD/Fs and surface-mediated precursor reaction is the dominant formation mechanism in low-temperature stages. Besides, adsoprtive memory effect in air pollution control devices (APCDs) also led to high PCDD/F emissions. These findings suggest that to control PCDD/F emissions, strict regulation of chlorine contents in feed materials and frequent cleaning of APCDs are necessary. Meanwhile, single particles and solid residues were collected from the same HW incinerator. Morphologies and elemental compositions of particles in flue gas and indoor air were characterized by transmission electron microscopy-energy dispersive X-ray spectrometry (TEM-EDS). Eight types of single particles were classified, as organic, soot, K-rich, </w:t>
      </w:r>
    </w:p>
    <w:p>
      <w:r>
        <w:t>POSSIBLE 2019: Building and indoor environmental quality assessment of Nigerian primary schools: A pilot study — https://doi.org/10.1111/ina.12547</w:t>
      </w:r>
    </w:p>
    <w:p>
      <w:r>
        <w:t>Shared claim-specific concepts: incinerators, moderately, cases; EU scope not established. This is a provisional connection, not an outcome finding.</w:t>
      </w:r>
    </w:p>
    <w:p>
      <w:r>
        <w:t>Available abstract (not full text): A total of 15 classrooms went through on-site assessments/inspections, including measurements of temperature (T), and concentrations of carbon monoxide (CO) and carbon dioxide (CO2). In addition, the level of surface biocontamination/cleaning effectiveness was assessed by measuring adenosine triphosphate (ATP) levels on students' desks. Based on the data, the quality of facilities in the buildings was low. Classroom occupancy exceeded ASHRAE 50 person/100 m2 standard in all cases indicating overcrowding. However, concentrations of CO2 remained below 1000 ppm in most classrooms. On the other hand, indoor T was above the recommended levels for thermal comfort in all classrooms. Maximum indoor CO was 6 ppm. Median ATP concentrations on the desk tops were moderately high in all schools. The use of open incinerators and power generator sets near classrooms, which was suspected to be the main source of CO, should be discouraged. Improved hygiene could be achieved by providing the students access to functioning bathroom facilities and cafeteria, and by effective cleaning of high contact surfaces such as desks. Although ventilation seems adequate based on CO2 concentrations, thermal comfort was not attained especially in the afternoon during extreme sunlight. Therefore, installing passive and/or mechanical cooling systems should be considered in this regard.</w:t>
      </w:r>
    </w:p>
    <w:p>
      <w:r>
        <w:t>POSSIBLE 2018: Automotive trace metal concentrations on the South African national road (N3) and its impact on the environment. — https://openalex.org/W3014058070</w:t>
      </w:r>
    </w:p>
    <w:p>
      <w:r>
        <w:t>Shared claim-specific concepts: moderately, due, countries; EU scope not established. This is a provisional connection, not an outcome finding.</w:t>
      </w:r>
    </w:p>
    <w:p>
      <w:r>
        <w:t>Available abstract (not full text): The environment is currently experiencing the negative effects of globalisation and unsustainable development with environmentally harmful activities increasing at an alarming rate in South Africa and other developing countries. This is due to these countries circumventing the implementation of environmental policies against foreign investors, such as vehicle manufacturers and chemical industries, to allow for a reduction in fiscal austerity by increasing the gross domestic product. The effects of these activities have a greater impact on the environment and population of developing nations than developed ones. Heavy metal contamination is one of the major concerns related to vehicle manufacturers and toxic chemical industries in terms of environmental management. The aim of this research was to assess the impact of vehicle pollution along the South African National Road (N3) between Durban and Hilton as it is one of the major transportation routes from the harbour. The elemental concentrations in the leaves of Bidens pilosa, that are picked and cooked by communities that live along the roadside, were investigated. The concentrations of thirteen elements were selectively investigated to determine the impact of soil quality on elemental uptake by vegetation and to assess for potential metal toxicities. Soil was evaluated for metal pollution by calculation of geo-accumulation ind</w:t>
      </w:r>
    </w:p>
    <w:p>
      <w:r>
        <w:t>POSSIBLE 2015: Modelling the Potential Biogas Productivity Range from a MSW Landfill for Its Sustainable Exploitation — https://doi.org/10.3390/su7010482</w:t>
      </w:r>
    </w:p>
    <w:p>
      <w:r>
        <w:t>Shared claim-specific concepts: then, countries, italy; EU scope visible. This is a provisional connection, not an outcome finding.</w:t>
      </w:r>
    </w:p>
    <w:p>
      <w:r>
        <w:t>Available abstract (not full text): A model of biogas generation was modified and applied to the case of a sanitary landfill in Italy. The modifications considered the role of the temperature field normally established within each layer of waste. It must be pointed out the temperature affects the anaerobic biodegradation kinetics. In order to assess the effect of moisture on the waste biodegradation rate, on the bacteria process and then on the methane production, the model was compared with the LandGEM one. Information on the initial water content came from data concerning waste composition. No additional information about the hydrological balance was available. Thus, nine sets of kinetic constants, derived by literature, were adopted for the simulations. Results showed a significant variability of the maximal hourly biogas flows on a yearly basis, with consequences for the collectable amount during the operating period of a hypothetical engine. The approach is a useful tool to assess the lowest and highest biogas productivity in order to analyze the viability of biogas exploitation for energy purposes. This is useful also in countries that must plan for biogas exploitation from old and new landfills, as a consequence of developments in the waste sector.</w:t>
      </w:r>
    </w:p>
    <w:p>
      <w:r>
        <w:t>POSSIBLE 2013: Maintenance strategies and local impact of MSW incinerators — https://doi.org/10.2495/esus130201</w:t>
      </w:r>
    </w:p>
    <w:p>
      <w:r>
        <w:t>Shared claim-specific concepts: incinerators, italy; EU scope visible. This is a provisional connection, not an outcome finding.</w:t>
      </w:r>
    </w:p>
    <w:p>
      <w:r>
        <w:t>Available abstract (not full text): The present paper gives a contribution to the understanding of the effects of variations in maintenance scheduling on the environmental impact of municipal solid waste incinerators.The proposed approach allows a vision of their impact beyond the conventional balances.The characteristics of a selected case study were put forward and discussed.A plant proposed for a region in the North East of Italy was chosen for the scheduling effects analysis because of the long period of non-operation of each waste treatment line: 3 months per year as requested from the local environmental protection agency.The following effects were discussed on a yearly basis: maintenance stop fractionation, maintenance stop lasting, maintenance stop seasonal scheduling; the last aspect was discussed also at device level.The extreme scenario of seasonal stop gave the opportunity of assessing the highest reduction of yearly average impact from the stack, varying the season of maintenance: a reduction up to 23% could be obtained for the pollutants concentration contribution at ground level in the area of highest impact, comparing the worst case with the best case by a diffusive model.In the case of more common periods of stops for maintenance the reduction would be lower.The role of district heating must be taken into account too.</w:t>
      </w:r>
    </w:p>
    <w:p>
      <w:r>
        <w:t>POSSIBLE 2013: The ultimate sacrifice : a comparative study of self-immolation as a tactic of political protest in India and South Korea. — https://doi.org/10.18297/etd/508</w:t>
      </w:r>
    </w:p>
    <w:p>
      <w:r>
        <w:t>Shared claim-specific concepts: moderately, three; EU scope not established. This is a provisional connection, not an outcome finding.</w:t>
      </w:r>
    </w:p>
    <w:p>
      <w:r>
        <w:t>Available abstract (not full text): In recent years, self-immolation has become a pervasive tactic of political protest. To this point, however, it has been unclear why self-immolation has become so widely employed, calling into question the social and political efficacy of the tactic. The purpose of this thesis is to determine self-immolation's impact on three target groups: the core, the periphery, and the political system. In doing so, I conduct a comparative study of India's anti-reservation movement and South Korea's pro-democracy movement, both of which experienced high frequencies of self-immolation. I demonstrate that while self-immolation was ineffective at mobilizing the core and only moderately effective at mobilizing the periphery and initiating political change, in South Korea, self-immolation was highly effective on all three groups. I argue that the differences in efficacy can be attributed to variations in social structure, political culture, issue diffusion, and institutional access to the political system.</w:t>
      </w:r>
    </w:p>
    <w:p>
      <w:r>
        <w:t>POSSIBLE 2012: Cancer mortality in towns in the vicinity of incinerators and installations for the recovery or disposal of hazardous waste — https://doi.org/10.1016/j.envint.2012.10.003</w:t>
      </w:r>
    </w:p>
    <w:p>
      <w:r>
        <w:t>Shared claim-specific concepts: incinerators, cancer, due, exposure; EU scope not established. This is a provisional connection, not an outcome finding.</w:t>
      </w:r>
    </w:p>
    <w:p>
      <w:r>
        <w:t>Available abstract (not full text): BACKGROUND: Waste treatment plants release toxic emissions into the environment which affect neighboring towns. OBJECTIVES: To investigate whether there might be excess cancer mortality in towns situated in the vicinity of Spanish-based incinerators and installations for the recovery or disposal of hazardous waste, according to the different categories of industrial activity. METHODS: An ecologic study was designed to examine municipal mortality due to 33 types of cancer, across the period 1997-2006. Population exposure to pollution was estimated on the basis of distance from town of residence to pollution source. Using Besag-York-Mollié (BYM) regression models with Integrated Nested Laplace approximations for Bayesian inference, and Mixed Poisson regression models, we assessed the risk of dying from cancer in a 5-kilometer zone around installations, analyzed the effect of category of industrial activity, and conducted individual analyses within a 50-kilometer radius of each installation. RESULTS: Excess cancer mortality (BYM model: relative risk, 95% credible interval) was detected in the total population residing in the vicinity of these installations as a whole (1.06, 1.04-1.09), and, principally, in the vicinity of incinerators (1.09, 1.01-1.18) and scrap metal/end-of-life vehicle handling facilities, in particular (1.04, 1.00-1.09). Special mention should be made of the re</w:t>
      </w:r>
    </w:p>
    <w:p>
      <w:pPr>
        <w:pStyle w:val="Heading2"/>
      </w:pPr>
      <w:r>
        <w:t>Integrating foresight into government. Is it possible? Is it likely?</w:t>
      </w:r>
    </w:p>
    <w:p>
      <w:r>
        <w:t>Original source (2011): https://doi.org/10.1108/14636681111126229</w:t>
      </w:r>
    </w:p>
    <w:p>
      <w:r>
        <w:t>Original wording (abstract; indexed_source_text_not_full_document_verified): Findings Several methodologies and techniques that are identified here may allow people to help perceive, evaluate and control the effects of their actions, present as well as future.</w:t>
      </w:r>
    </w:p>
    <w:p>
      <w:r>
        <w:t>POSSIBLE 2023: A named entity recognition framework using transformers to identify relevant clinical findings from mammographic radiological reports — https://doi.org/10.1117/12.2670228</w:t>
      </w:r>
    </w:p>
    <w:p>
      <w:r>
        <w:t>Shared claim-specific concepts: findings, several, here; EU scope not established. This is a provisional connection, not an outcome finding.</w:t>
      </w:r>
    </w:p>
    <w:p>
      <w:r>
        <w:t>Available abstract (not full text): Detecting and extracting findings in a radiological report is crucial for text mining tasks in several applications. In this case, a labeled process for the image associated with the radiological report in mammography and Spanish context for a computer vision model is required. This paper shows the methodology and process generated for this goal. This paper presents a Named Entity Recognition (NER) approach based on a transformer deep learning model, using a labeled corpus and fine-tuning process to find three concepts that compose a typical finding in a mammographic radiological report: laterality, location, and the finding. We add another concept in the labeled process, the negation, necessary to identify falses positive inside the text that writes the radiologist. Our model achieves an F1 score of 88.24% classifying the three principal concepts for a finding, product of the labeled and fine-tuning process. The results presented here will be used as input for future training work on a computer vision model.</w:t>
      </w:r>
    </w:p>
    <w:p>
      <w:r>
        <w:t>POSSIBLE 2023: Genome-wide analyses of ADHD identify 27 risk loci, refine the genetic architecture and implicate several cognitive domains — https://doi.org/10.1038/s41588-022-01285-8</w:t>
      </w:r>
    </w:p>
    <w:p>
      <w:r>
        <w:t>Shared claim-specific concepts: several, identified, here, present; EU scope not established. This is a provisional connection, not an outcome finding.</w:t>
      </w:r>
    </w:p>
    <w:p>
      <w:r>
        <w:t>Available abstract (not full text): Attention-deficit hyperactivity disorder (ADHD) is a prevalent neurodevelopmental disorder with a major genetic component. Here, we present a genome-wide association study meta-analysis of ADHD comprising 38,691 individuals with ADHD and 186,843 controls. We identified 27 genome-wide significant loci, highlighting 76 potential risk genes enriched among genes expressed particularly in early brain development. Overall, ADHD genetic risk was associated with several brain-specific neuronal subtypes and midbrain dopaminergic neurons. In exome-sequencing data from 17,896 individuals, we identified an increased load of rare protein-truncating variants in ADHD for a set of risk genes enriched with probable causal common variants, potentially implicating SORCS3 in ADHD by both common and rare variants. Bivariate Gaussian mixture modeling estimated that 84-98% of ADHD-influencing variants are shared with other psychiatric disorders. In addition, common-variant ADHD risk was associated with impaired complex cognition such as verbal reasoning and a range of executive functions, including attention.</w:t>
      </w:r>
    </w:p>
    <w:p>
      <w:r>
        <w:t>POSSIBLE 2023: Proteomics of brain, CSF, and plasma identifies molecular signatures for distinguishing sporadic and genetic Alzheimer’s disease — https://doi.org/10.1126/scitranslmed.abq5923</w:t>
      </w:r>
    </w:p>
    <w:p>
      <w:r>
        <w:t>Shared claim-specific concepts: findings, several, identified, here, present; EU scope not established. This is a provisional connection, not an outcome finding.</w:t>
      </w:r>
    </w:p>
    <w:p>
      <w:r>
        <w:t>Available abstract (not full text): Proteomic studies for Alzheimer’s disease (AD) are instrumental in identifying AD pathways but often focus on single tissues and sporadic AD cases. Here, we present a proteomic study analyzing 1305 proteins in brain tissue, cerebrospinal fluid (CSF), and plasma from patients with sporadic AD, TREM2 risk variant carriers, patients with autosomal dominant AD (ADAD), and healthy individuals. We identified 8 brain, 40 CSF, and 9 plasma proteins that were altered in individuals with sporadic AD, and we replicated these findings in several external datasets. We identified a proteomic signature that differentiated TREM2 variant carriers from both individuals with sporadic AD and healthy individuals. The proteins associated with sporadic AD were also altered in patients with ADAD, but with a greater effect size. Brain-derived proteins associated with ADAD were also replicated in additional CSF samples. Enrichment analyses highlighted several pathways, including those implicated in AD (calcineurin and Apo E), Parkinson’s disease (α-synuclein and LRRK2), and innate immune responses (SHC1, ERK-1, and SPP1). Our findings suggest that combined proteomics across brain tissue, CSF, and plasma can be used to identify markers for sporadic and genetically defined AD.</w:t>
      </w:r>
    </w:p>
    <w:p>
      <w:r>
        <w:t>POSSIBLE 2022: Neuroimaging in schizophrenia: an overview of findings and their implications for synaptic changes — https://doi.org/10.1038/s41386-022-01426-x</w:t>
      </w:r>
    </w:p>
    <w:p>
      <w:r>
        <w:t>Shared claim-specific concepts: findings, several, identified, here, people; EU scope not established. This is a provisional connection, not an outcome finding.</w:t>
      </w:r>
    </w:p>
    <w:p>
      <w:r>
        <w:t xml:space="preserve">Available abstract (not full text): Over the last five decades, a large body of evidence has accrued for structural and metabolic brain alterations in schizophrenia. Here we provide an overview of these findings, focusing on measures that have traditionally been thought to reflect synaptic spine density or synaptic activity and that are relevant for understanding if there is lower synaptic density in the disorder. We conducted literature searches to identify meta-analyses or other relevant studies in patients with chronic or first-episode schizophrenia, or in people at high genetic or clinical risk for psychosis. We identified 18 meta-analyses including over 50,000 subjects in total, covering: structural MRI measures of gyrification index, grey matter volume, grey matter density and cortical thickness, neurite orientation dispersion and density imaging, PET imaging of regional glucose metabolism and magnetic resonance spectroscopy measures of N-acetylaspartate. We also review preclinical evidence on the relationship between ex vivo synaptic measures and structural MRI imaging, and PET imaging of synaptic protein 2A (SV2A). These studies show that schizophrenia is associated with lower grey matter volumes and cortical thickness, accelerated grey matter loss over time, abnormal gyrification patterns, and lower regional SV2A levels and metabolic markers in comparison to controls (effect sizes from ~ -0.11 to -1.0). </w:t>
      </w:r>
    </w:p>
    <w:p>
      <w:r>
        <w:t>POSSIBLE 2021: Sentiment analysis in hospitality and tourism: a thematic and methodological review — https://doi.org/10.1108/ijchm-02-2021-0132</w:t>
      </w:r>
    </w:p>
    <w:p>
      <w:r>
        <w:t>Shared claim-specific concepts: findings, several, methodologies, identified; EU scope not established. This is a provisional connection, not an outcome finding.</w:t>
      </w:r>
    </w:p>
    <w:p>
      <w:r>
        <w:t>Available abstract (not full text): Purpose This study aims to conduct a systematic review and critically analyze the sentiment analysis literature in hospitality and tourism from methodological (data sets and analyzes) and thematic (topics, theories, key constructs and their relationships) perspectives. Design/methodology/approach Qualitative thematic review and quantitative systematic review were performed on 70 papers obtained from hospitality and tourism categories of two databases, namely, Web of Science and Scopus. Findings A total of 5 topics and 27 sub-topics were identified and the major theme is market intelligence. Sentiment variables were investigated not only as independent but also as dependent variables. The customer rating is the most investigated dependent variable, whereas moderators and mediators were rarely tested. Most reviewed studies did not use theory. The findings from the methodological review show that analysis of big data was rare. Moreover, testing the performance of sentiment analyzes was uncommon, and only one paper tested the performance of aspect/feature extraction. Research limitations/implications This study extends prior review studies by providing a comprehensive view of how knowledge and methodologies of sentiment analysis have developed. The identified themes and key constructs serve as a solid base for future knowledge advancement. Future research directions on sentiment an</w:t>
      </w:r>
    </w:p>
    <w:p>
      <w:r>
        <w:t>POSSIBLE 2020: Broadsides as Sources: A Methodological Discussion and Overview of Key Findings — https://doi.org/10.1057/978-1-137-59789-2_2</w:t>
      </w:r>
    </w:p>
    <w:p>
      <w:r>
        <w:t>Shared claim-specific concepts: findings, several, people; EU scope not established. This is a provisional connection, not an outcome finding.</w:t>
      </w:r>
    </w:p>
    <w:p>
      <w:r>
        <w:t>Available abstract (not full text): This chapter includes a methodological discussion and justification of the discourse analysis used and presents the quantitative findings from 650 broadsides, illustrated by statistical figures, tables and maps. This detailed method of analysis produced a wealth of information from the broadside content and revealed factual details relating to the crimes, punishments, criminals and victims they depicted. For example, several conclusions can be made, namely that: broadsides, far from being mere entertainment, actually include a substantial amount of factual information regarding crime in the early nineteenth century; broadsides were evidently an important source of information regarding crime and criminality for those who chose to read them; nineteenth-century broadside production was motivated to a large extent by the reporting of actual crimes and they responded to real fluctuations in crime rates; the people to feature most prominently in broadsides are those of the poorer and lower classes, whether they are criminals, victims or witnesses.</w:t>
      </w:r>
    </w:p>
    <w:p>
      <w:r>
        <w:t>POSSIBLE 2020: Cloud Migration Methodologies Preliminary Findings — https://openalex.org/W3019771303</w:t>
      </w:r>
    </w:p>
    <w:p>
      <w:r>
        <w:t>Shared claim-specific concepts: findings, several, methodologies; EU scope not established. This is a provisional connection, not an outcome finding.</w:t>
      </w:r>
    </w:p>
    <w:p>
      <w:r>
        <w:t xml:space="preserve">Available abstract (not full text): Research around cloud computing has largely been dedicated to ad-dressing technical aspects associated with utilizing cloud services, surveying critical success factors for the cloud adoption, and opinions about its impact on IT functions. Nevertheless, the aspect of process models for the cloud migration has been slow in pace. Several methodologies have been proposed by both aca-demia and industry for moving legacy applications to the cloud. This paper pre-sents a criteria-based appraisal of such existing methodologies. The results of the analysis highlight the strengths and weaknesses of these methodologies and can be used by cloud service consumers for comparing and selecting the most appropriate ones that fit specific migration scenarios. The paper also suggests research opportunities to improve the status quo. </w:t>
        <w:br/>
        <w:br/>
        <w:t>Keywords Cloud Migration; Legacy Applications; Cloud Migration Method-ology, Evaluation Framework</w:t>
      </w:r>
    </w:p>
    <w:p>
      <w:r>
        <w:t>POSSIBLE 2019: Transcriptome-wide association study of attention deficit hyperactivity disorder identifies associated genes and phenotypes — https://doi.org/10.1038/s41467-019-12450-9</w:t>
      </w:r>
    </w:p>
    <w:p>
      <w:r>
        <w:t>Shared claim-specific concepts: findings, several, identified, here; EU scope not established. This is a provisional connection, not an outcome finding.</w:t>
      </w:r>
    </w:p>
    <w:p>
      <w:r>
        <w:t>Available abstract (not full text): Abstract Attention deficit/hyperactivity disorder (ADHD) is one of the most common neurodevelopmental psychiatric disorders. Previous studies have shown that the disorder is highly heritable and associated with several different risk-taking behaviors. Additionally, brain-imaging studies have identified various brain regions such as the cerebellum and frontal cortex to be altered in ADHD. Large genome-wide association studies (GWAS) have identified several loci associated with ADHD. However, understanding the biological relevance of these genetic loci has proven to be difficult. Here, we conducted the largest ADHD transcriptome-wide association study (TWAS) to date consisting of 19,099 cases and 34,194 controls and identified 9 transcriptome-wide significant hits. We successfully demonstrate that several previous GWAS hits can be largely explained by expression. Probabilistic causal fine-mapping of TWAS signals prioritized KAT2B with a posterior probability of 0.467 in the dorsolateral prefrontal cortex and TMEM161B with a posterior probability of 0.838 in the amygdala. Furthermore, pathway enrichments identified dopaminergic and norepinephrine pathways, which are highly relevant for ADHD. Finally, we used the top eQTLs associated with the TWAS genes to identify phenotypes relevant to ADHD and found an inverse genetic correlation with educational attainment and a positive correl</w:t>
      </w:r>
    </w:p>
    <w:p>
      <w:r>
        <w:t>POSSIBLE 2017: Genome-wide association meta-analysis of 78,308 individuals identifies new loci and genes influencing human intelligence — https://doi.org/10.1038/ng.3869</w:t>
      </w:r>
    </w:p>
    <w:p>
      <w:r>
        <w:t>Shared claim-specific concepts: findings, several, identified, here; EU scope not established. This is a provisional connection, not an outcome finding.</w:t>
      </w:r>
    </w:p>
    <w:p>
      <w:r>
        <w:t>Available abstract (not full text): Danielle Posthuma and colleagues perform a large meta-analysis for intelligence and determine genetic overlap with several neuropsychiatric and metabolic traits. They find 15 new significant loci and implicate 40 new genes, most of which are predominantly expressed in the brain. Intelligence is associated with important economic and health-related life outcomes1. Despite intelligence having substantial heritability2 (0.54) and a confirmed polygenic nature, initial genetic studies were mostly underpowered3,4,5. Here we report a meta-analysis for intelligence of 78,308 individuals. We identify 336 associated SNPs (METAL P &lt; 5 × 10−8) in 18 genomic loci, of which 15 are new. Around half of the SNPs are located inside a gene, implicating 22 genes, of which 11 are new findings. Gene-based analyses identified an additional 30 genes (MAGMA P &lt; 2.73 × 10−6), of which all but one had not been implicated previously. We show that the identified genes are predominantly expressed in brain tissue, and pathway analysis indicates the involvement of genes regulating cell development (MAGMA competitive P = 3.5 × 10−6). Despite the well-known difference in twin-based heritability2 for intelligence in childhood (0.45) and adulthood (0.80), we show substantial genetic correlation (rg = 0.89, LD score regression P = 5.4 × 10−29). These findings provide new insight into the genetic architecture of in</w:t>
      </w:r>
    </w:p>
    <w:p>
      <w:r>
        <w:t>POSSIBLE 2016: Disaster Mental Health Epidemiology: Methodological Review and Interpretation of Research Findings — https://doi.org/10.1080/00332747.2016.1155926</w:t>
      </w:r>
    </w:p>
    <w:p>
      <w:r>
        <w:t>Shared claim-specific concepts: findings, several; EU scope not established. This is a provisional connection, not an outcome finding.</w:t>
      </w:r>
    </w:p>
    <w:p>
      <w:r>
        <w:t xml:space="preserve">Available abstract (not full text): Worldwide, disasters are increasing in frequency and severity. Mental health consequences of disasters are extensive, and knowledge of anticipated mental health effects is needed for effective disaster response. Difficulties inherent in conducting disaster research have limited the understanding of research findings. This article presents and interprets disaster mental health research findings in the context of research methods. A brief history of the disaster mental health research field is provided, and the presentation of findings is ordered into topical areas of disaster mental health consequences and timing and prediction of mental health outcomes. Results of different studies varied greatly by several main characteristics of research methods, especially methods of psychiatric assessment, sampling and exposure group determination, and consideration of confounding variables. In conclusion, many complexities in conducting disaster mental health research have limited the understanding and interpretation of available knowledge needed to inform efforts to plan and carry out effective mental health responses to disasters. Thoughtful interpretation of findings in the context of research design and methods is vital to accurate understanding of the types, prevalence, and predictors of anticipated mental health effects of disasters. A wealth of knowledge from disaster mental health </w:t>
      </w:r>
    </w:p>
    <w:p>
      <w:r>
        <w:t>POSSIBLE 2016: Auditory Hallucinations and the Brain’s Resting-State Networks: Findings and Methodological Observations — https://doi.org/10.1093/schbul/sbw078</w:t>
      </w:r>
    </w:p>
    <w:p>
      <w:r>
        <w:t>Shared claim-specific concepts: findings, control, well; EU scope not established. This is a provisional connection, not an outcome finding.</w:t>
      </w:r>
    </w:p>
    <w:p>
      <w:r>
        <w:t>Available abstract (not full text): In recent years, there has been increasing interest in the potential for alterations to the brain's resting-state networks (RSNs) to explain various kinds of psychopathology. RSNs provide an intriguing new explanatory framework for hallucinations, which can occur in different modalities and population groups, but which remain poorly understood. This collaboration from the International Consortium on Hallucination Research (ICHR) reports on the evidence linking resting-state alterations to auditory hallucinations (AH) and provides a critical appraisal of the methodological approaches used in this area. In the report, we describe findings from resting connectivity fMRI in AH (in schizophrenia and nonclinical individuals) and compare them with findings from neurophysiological research, structural MRI, and research on visual hallucinations (VH). In AH, various studies show resting connectivity differences in left-hemisphere auditory and language regions, as well as atypical interaction of the default mode network and RSNs linked to cognitive control and salience. As the latter are also evident in studies of VH, this points to a domain-general mechanism for hallucinations alongside modality-specific changes to RSNs in different sensory regions. However, we also observed high methodological heterogeneity in the current literature, affecting the ability to make clear comparisons betwe</w:t>
      </w:r>
    </w:p>
    <w:p>
      <w:r>
        <w:t>POSSIBLE 2016: Methodological support for the further abstraction of and philosophical examination of empirical findings in the context of caring science — https://doi.org/10.3402/qhw.v11.30482</w:t>
      </w:r>
    </w:p>
    <w:p>
      <w:r>
        <w:t>Shared claim-specific concepts: findings, several, present, well; EU scope not established. This is a provisional connection, not an outcome finding.</w:t>
      </w:r>
    </w:p>
    <w:p>
      <w:r>
        <w:t>Available abstract (not full text): Phenomena in caring science are often complex and laden with meanings. Empirical research with the aim of capturing lived experiences is one way of revealing the complexity. Sometimes, however, results from empirical research need to be further discussed. One way is to further abstract the result and/or philosophically examine it. This has previously been performed and presented in scientific journals and doctoral theses, contributing to a greater understanding of phenomena in caring science. Although the intentions in many of these publications are laudable, the lack of methodological descriptions as well as a theoretical and systematic foundation can contribute to an ambiguity concerning how the results have emerged during the analysis. The aim of this paper is to describe the methodological support for the further abstraction of and/or philosophical examination of empirical findings. When trying to systematize the support procedures, we have used a reflective lifeworld research (RLR) approach. Based on the assumptions in RLR, this article will present methodological support for a theoretical examination that can include two stages. In the first stage, data from several (two or more) empirical results on an essential level are synthesized into a general structure. Sometimes the analysis ends with the general structure, but sometimes there is a need to proceed further. The sec</w:t>
      </w:r>
    </w:p>
    <w:p>
      <w:pPr>
        <w:pStyle w:val="Heading2"/>
      </w:pPr>
      <w:r>
        <w:t>O4-2.1 Foresight tackling obesities: future choices</w:t>
      </w:r>
    </w:p>
    <w:p>
      <w:r>
        <w:t>Original source (2011): https://doi.org/10.1136/jech.2011.142976b.14</w:t>
      </w:r>
    </w:p>
    <w:p>
      <w:r>
        <w:t>Original wording (abstract; indexed_source_text_not_full_document_verified): These predictions could be subject to a range of policy options which affected BMI or business as usual. Given these predictions up to 2050, we built a micro simulation of the UK population with same demographics and the BMI growth predicted.</w:t>
      </w:r>
    </w:p>
    <w:p>
      <w:r>
        <w:t>POSSIBLE 2021: Farmer flexibility concerning future rotation planning is affected by the framing of climate predictions — https://doi.org/10.1016/j.crm.2021.100356</w:t>
      </w:r>
    </w:p>
    <w:p>
      <w:r>
        <w:t>Shared claim-specific concepts: predictions, affected, predicted; EU scope visible. This is a provisional connection, not an outcome finding.</w:t>
      </w:r>
    </w:p>
    <w:p>
      <w:r>
        <w:t>Available abstract (not full text): Arable crops are typically grown in annual rotations.Diverse rotations can support ecosystem services, provide economic resilience and support adaptation to climate change.Our aim was to assess farmers' attitudes to planning and diversifying crop rotations, focusing on their responses in the face of contrasting climate viewpoints.We interviewed 75 farmers from four regions along a latitudinal gradient from the south of the UK to the south of France.We used a semi-structured questionnaire with face-to-face interviews and asked farmers to respond to two narrative viewpoints of climate change impacts: one viewpoint focused on opportunities, the other on constraints.We found in all four regions that farmers' use rotations, and the crops within rotations, to achieve their main objectives of financial stability and improved soil health.Most farmers (79-100% depending on region) said they had experienced climate change, and many (54-83%) had already implemented changes in their farming practices.We did not find a difference in these results based on latitude.However, farmers' self-reported outlook was mostly optimistic in southern UK and become progressively more pessimistic further south.Overall, most farmers predicted that they would diversify and lengthen rotations in response to climate change.However, when presented with a viewpoint of climate change impacts focusing on opportuni</w:t>
      </w:r>
    </w:p>
    <w:p>
      <w:r>
        <w:t>POSSIBLE 2020: Solar cycle prediction — https://doi.org/10.1007/s41116-020-0022-z</w:t>
      </w:r>
    </w:p>
    <w:p>
      <w:r>
        <w:t>Shared claim-specific concepts: predictions, range, given, same; EU scope not established. This is a provisional connection, not an outcome finding.</w:t>
      </w:r>
    </w:p>
    <w:p>
      <w:r>
        <w:t>Available abstract (not full text): Abstract A review of solar cycle prediction methods and their performance is given, including early forecasts for Cycle 25. The review focuses on those aspects of the solar cycle prediction problem that have a bearing on dynamo theory. The scope of the review is further restricted to the issue of predicting the amplitude (and optionally the epoch) of an upcoming solar maximum no later than right after the start of the given cycle. Prediction methods form three main groups. Precursor methods rely on the value of some measure of solar activity or magnetism at a specified time to predict the amplitude of the following solar maximum. The choice of a good precursor often implies considerable physical insight: indeed, it has become increasingly clear that the transition from purely empirical precursors to model-based methods is continuous. Model-based approaches can be further divided into two groups: predictions based on surface flux transport models and on consistent dynamo models. The implicit assumption of precursor methods is that each numbered solar cycle is a consistent unit in itself, while solar activity seems to consist of a series of much less tightly intercorrelated individual cycles. Extrapolation methods, in contrast, are based on the premise that the physical process giving rise to the sunspot number record is statistically homogeneous, i.e., the mathematical regularit</w:t>
      </w:r>
    </w:p>
    <w:p>
      <w:r>
        <w:t>POSSIBLE 2017: Accuracy of subject-specific prediction of end-systolic time in MRI across a range of RR intervals — https://doi.org/10.1371/journal.pone.0179011</w:t>
      </w:r>
    </w:p>
    <w:p>
      <w:r>
        <w:t>Shared claim-specific concepts: subject, range, population, predicted; EU scope not established. This is a provisional connection, not an outcome finding.</w:t>
      </w:r>
    </w:p>
    <w:p>
      <w:r>
        <w:t>Available abstract (not full text): BACKGROUND: Prediction of End-Systole time is of utmost importance for cardiac MRI to correctly associate acquired k-space lines during reconstruction of cine acquisitions. This prediction is usually based on the patient's heart rate using Weissler's formula, which was calibrated by linear regression within a population and cannot account for individual variability. OBJECTIVE: We propose an automatic method to build a personalized model that better predicts end-systole. METHODS: A phase contrast sequence was modified to acquire only central k-space line with 6.6ms temporal resolution, in a slice passing through the aorta during 128 heartbeats in 35 subjects. Segmentation of aorta and detection of end of systolic ejection was automatic. Duration of electromechanical systole duration as function of heart rate was determined for each subject separately. RESULTS: In comparison with the global models, the adapted cardiac model predicted significantly better both echocardiographic end-systolic reference (bias = 0ms vs 17ms, p&lt;0.001) and MRI measurements (bias = 6.8ms vs 17ms). Favorable impact was shown on the cine reconstruction of the 5 subjects with the higher cardiac variability (p = 0.02). CONCLUSIONS: Personalization of cardiac model to the subject is feasible in MRI and reduces the error of prediction of systole.</w:t>
      </w:r>
    </w:p>
    <w:p>
      <w:r>
        <w:t>POSSIBLE 2016: Muscle Synergies Facilitate Computational Prediction of Subject-Specific Walking Motions — https://doi.org/10.3389/fbioe.2016.00077</w:t>
      </w:r>
    </w:p>
    <w:p>
      <w:r>
        <w:t>Shared claim-specific concepts: predictions, subject, simulation, predicted; EU scope not established. This is a provisional connection, not an outcome finding.</w:t>
      </w:r>
    </w:p>
    <w:p>
      <w:r>
        <w:t>Available abstract (not full text): Researchers have explored a variety of neurorehabilitation approaches to restore normal walking function following a stroke. However, there is currently no objective means for prescribing and implementing treatments that are likely to maximize recovery of walking function for any particular patient. As a first step toward optimizing neurorehabilitation effectiveness, this study develops and evaluates a patient-specific synergy-controlled neuromusculoskeletal simulation framework that can predict walking motions for an individual post-stroke. The main question we addressed was whether driving a subject-specific neuromusculoskeletal model with muscle synergy controls (5 per leg) facilitates generation of accurate walking predictions compared to a model driven by muscle activation controls (35 per leg) or joint torque controls (5 per leg). To explore this question, we developed a subject-specific neuromusculoskeletal model of a single high-functioning hemiparetic subject using instrumented treadmill walking data collected at the subject's self-selected speed of 0.5 m/s. The model included subject-specific representations of lower-body kinematic structure, foot-ground contact behavior, electromyography-driven muscle force generation, and neural control limitations and remaining capabilities. Using direct collocation optimal control and the subject-specific model, we evaluated the a</w:t>
      </w:r>
    </w:p>
    <w:p>
      <w:r>
        <w:t>POSSIBLE 2013: The experience of agency: an interplay between prediction and postdiction — https://doi.org/10.3389/fpsyg.2013.00127</w:t>
      </w:r>
    </w:p>
    <w:p>
      <w:r>
        <w:t>Shared claim-specific concepts: predictions, subject, range, given, same; EU scope not established. This is a provisional connection, not an outcome finding.</w:t>
      </w:r>
    </w:p>
    <w:p>
      <w:r>
        <w:t>Available abstract (not full text): The experience of agency, i.e., the registration that I am the initiator of my actions, is a basic and constant underpinning of our interaction with the world. Whereas several accounts have underlined predictive processes as the central mechanism (e.g., the comparator model by C. Frith), others emphasized postdictive inferences (e.g., post-hoc inference account by D. Wegner). Based on increasing evidence that both predictive and postdictive processes contribute to the experience of agency, we here present a unifying but at the same time parsimonious approach that reconciles these accounts: predictive and postdictive processes are both integrated by the brain according to the principles of optimal cue integration. According to this framework, predictive and postdictive processes each serve as authorship cues that are continuously integrated and weighted depending on their availability and reliability in a given situation. Both sensorimotor and cognitive signals can serve as predictive cues (e.g., internal predictions based on an efferency copy of the motor command or cognitive anticipations based on priming). Similarly, other sensorimotor and cognitive cues can each serve as post-hoc cues (e.g., visual feedback of the action or the affective valence of the action outcome). Integration and weighting of these cues might not only differ between contexts and individuals, but also be</w:t>
      </w:r>
    </w:p>
    <w:p>
      <w:pPr>
        <w:pStyle w:val="Heading2"/>
      </w:pPr>
      <w:r>
        <w:t>OPERATIONAL EARTHQUAKE FORECASTING. State of Knowledge and Guidelines for Utilization</w:t>
      </w:r>
    </w:p>
    <w:p>
      <w:r>
        <w:t>Original source (2011): https://doi.org/10.4401/ag-5350</w:t>
      </w:r>
    </w:p>
    <w:p>
      <w:r>
        <w:t>Original wording (abstract; indexed_source_text_not_full_document_verified): Long-term models are currently the most important forecasting tools for civil protection against earthquake damage, because they guide earthquake safety provisions of building codes, performance-based seismic design, and other risk-reducing engineering practices, such as retrofitting to correct design flaws in older buildings. Based on the experience accumulated in seismically active regions, the ICEF has provided to DPC a set of recommendations on the utilization of operational forecasting in Italy, which may also be useful in other countries.</w:t>
      </w:r>
    </w:p>
    <w:p>
      <w:r>
        <w:t>POSSIBLE 2026: Maps of long-term soiling losses in Europe considering a partial cleaning effect by rain — https://doi.org/10.1051/epjpv/2026010</w:t>
      </w:r>
    </w:p>
    <w:p>
      <w:r>
        <w:t>Shared claim-specific concepts: long-term, currently; EU scope visible. This is a provisional connection, not an outcome finding.</w:t>
      </w:r>
    </w:p>
    <w:p>
      <w:r>
        <w:t>Available abstract (not full text):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r>
        <w:t>POSSIBLE 2026: Maps of long-term soiling losses in Europe considering a partial cleaning effect by rain — https://doi.org/10.1051/epjpv/2026010/pdf</w:t>
      </w:r>
    </w:p>
    <w:p>
      <w:r>
        <w:t>Shared claim-specific concepts: long-term, currently; EU scope visible. This is a provisional connection, not an outcome finding.</w:t>
      </w:r>
    </w:p>
    <w:p>
      <w:r>
        <w:t>Available abstract (not full text): The soiling of PV modules has been estimated to yield global losses in the solar energy production by 4 to 7%, even considering the cleaning efforts in many solar energy systems. Despite this, soiling measurements are not always available, making models particularly valuable for estimating these losses. However, soiling models currently present two limitations: most of them assume that daily rain accumulations higher than a threshold value can totally clean PV modules and, additionally, that rain will have the same washing effect on all types of soiling, independently of their higher or lower adherent properties. In this work, the HSU model (Coello and Boyle, 2019) is modified to include the two aforementioned effects. The original and modified HSU models are then calibrated for two locations in Africa where observations of long-term soiling losses were available. At the first considered location, the predominant soiling type was mainly washable by rain but showed the partial cleaning effects, while at the second location, despite the frequent and abundant rainfall, the build-up of persistent soiling was observed. The calibrated parameters for the original and modified HSU models were then applied to reanalysis meteorological 2-dimensional input data to estimate the associated soiling losses in Europe for a 20-yr operation without any artificial cleaning. The application of mod</w:t>
      </w:r>
    </w:p>
    <w:p>
      <w:r>
        <w:t>POSSIBLE 2026: Long-term scenario for a decarbonised European energy system — https://openalex.org/W7141777866</w:t>
      </w:r>
    </w:p>
    <w:p>
      <w:r>
        <w:t>Shared claim-specific concepts: long-term, building, design, other, retrofitting; EU scope visible. This is a provisional connection, not an outcome finding.</w:t>
      </w:r>
    </w:p>
    <w:p>
      <w:r>
        <w:t>Available abstract (not full text): In the 21st century, climate change has become a central driver of national and international decision-making, especially in matters related to energy, security, and long-term development. Among the most significant global responses is the transition towards a carbon-neutral energy system, a process that requires rethinking how energy is produced, delivered, and consumed. Europe, as one of the largest historical contributors to greenhouse gas emissions and a major economic power, stands at the forefront of this global effort. Yet the transition remains challenging due to the inherent complexity of the energy system, the mismatch between long-term climate objectives &amp; short-term policy priorities, and the presence of geopolitical pressures. This PhD thesis uses the TIMES-Europe energy system model to examine how Europe can navigate these difficulties and design credible long-term strategies for its overall decarbonisation effort under multiple scenarios. Through projections, this research investigates a set of plausible pathways that allow Europe to meet its climate targets under varying levels of ambition and cooperation among EU member states. The thesis is structured around five main research questions focusing on: A) How can an energy system model, like in our case TIMES-Europe, be developed and adapted to reflect and remain aligned with the most recent and constantly shifti</w:t>
      </w:r>
    </w:p>
    <w:p>
      <w:r>
        <w:t>POSSIBLE 2023: Modelling phosphorus dynamics in four European long-term experiments — https://doi.org/10.1016/j.agsy.2022.103595</w:t>
      </w:r>
    </w:p>
    <w:p>
      <w:r>
        <w:t>Shared claim-specific concepts: long-term, practices; EU scope visible. This is a provisional connection, not an outcome finding.</w:t>
      </w:r>
    </w:p>
    <w:p>
      <w:r>
        <w:t xml:space="preserve">Available abstract (not full text): Phosphorus (P) is a non-renewable geological macronutrient that plays an essential role in food security. The excessive use of P as a fertilizer and its subsequent diffuse loss leads to the deterioration of water quality, eutrophication, and loss of biodiversity. Ecosystem process-based models are a powerful tool to depict the P cycle, investigate the effects of management practices and climate change, and ultimately assess policy interventions that affect biogeochemical cycles. Of the limited number of P models in agricultural production systems, none have been tested in temperate conditions for periods of decades using long-term field experiments. The objective of this study is to evaluate the ability of the detailed P submodel from DayCent to: simulate the magnitude and temporal dynamics of P outputs; assess changes in P soil pools from European agricultural long-term experiments; and interpret the main causal factors inducing the differences between the observed vs. the simulated pools and fluxes. We used data from four long-term experiments to calibrate and test the P submodel of DayCent. The experiments involve five different soils, mineral and organic fertilizer treatments, management intensity levels, various crop rotations, crop residue management, and irrigation. The DayCent model captured the gross P budget (input minus output) in the four long-term experiments, and </w:t>
      </w:r>
    </w:p>
    <w:p>
      <w:r>
        <w:t>POSSIBLE 2022: Perceptions of long-term monitoring for civil and structural engineering — https://doi.org/10.1016/j.istruc.2022.05.090</w:t>
      </w:r>
    </w:p>
    <w:p>
      <w:r>
        <w:t>Shared claim-specific concepts: long-term, civil, design, engineering; EU scope not established. This is a provisional connection, not an outcome finding.</w:t>
      </w:r>
    </w:p>
    <w:p>
      <w:r>
        <w:t>Available abstract (not full text): Long-term in-service monitoring has been heralded as having the potential to radically reshape the design and operation of civil structures and infrastructure. However, in order for civil and structural engineers to extract the greatest value from in situ structural monitoring there are a range of practical, cultural and social barriers which must be overcome. To explore current perceptions of long-term monitoring in civil and structural engineering, a multi-national survey of 146 participants was conducted to understand perceived uncertainties within the existing civil/structural engineering design process, perceptions of long-term monitoring, and the potential for the future integration and use of long-term monitoring in the civil/structural engineering design process. This study highlights that while views of long-term monitoring as a tool within the engineering design process are broadly positive, there is a wide disparity on its current implementation in practice, little agreement on how it may offer the greatest benefit to civil and structural engineering design, and a current lack of direct financial incentive to prompt its use within industry.</w:t>
      </w:r>
    </w:p>
    <w:p>
      <w:r>
        <w:t>POSSIBLE 2022: Modelling of the long-term evolution and performance of engineered barrier system — https://doi.org/10.1051/epjn/2022038</w:t>
      </w:r>
    </w:p>
    <w:p>
      <w:r>
        <w:t>Shared claim-specific concepts: long-term, tools, against, safety; EU scope visible. This is a provisional connection, not an outcome finding.</w:t>
      </w:r>
    </w:p>
    <w:p>
      <w:r>
        <w:t>Available abstract (not full text): Components of the so-called “multiple-barrier system” from the waste form to the biosphere include a combination of waste containers, engineered barriers, and natural barriers. The Engineered Barrier System (EBS) is crucial for containment and isolation in a radioactive waste disposal system. The number, types, and assigned safety functions of the various engineered barriers depend on the chosen repository concept, the waste form, the radionuclides waste inventory, the selected host rock, and the hydrogeological and geochemical settings of the repository site, among others. EBS properties will evolve with time in response to the thermal, hydraulic, mechanical, radiological, and chemical gradients and interactions between the various constituents of the barriers and the host rock. Therefore, assessing how these properties evolve over long time frames is highly relevant for evaluating the performance of a repository system and safety function evaluations in a safety case. For this purpose, mechanistic numerical models are increasingly used. Such models provide an excellent way for integrating into a coherent framework a scientific understanding of coupled processes and their consequences on different properties of the materials in the EBS. Their development and validation are supported by R&amp;D actions at the European level. For example, within the HORIZON 2020 project BEACON (Bent</w:t>
      </w:r>
    </w:p>
    <w:p>
      <w:r>
        <w:t>POSSIBLE 2021: A model of long-term value creation — https://doi.org/10.1080/20430795.2021.1920231</w:t>
      </w:r>
    </w:p>
    <w:p>
      <w:r>
        <w:t>Shared claim-specific concepts: long-term, currently, they; EU scope not established. This is a provisional connection, not an outcome finding.</w:t>
      </w:r>
    </w:p>
    <w:p>
      <w:r>
        <w:t>Available abstract (not full text): Companies need to rethink the way they create value and grow their business to thrive in tomorrow’s volatile and uncertain business environment. Companies in virtually every industry are impacted by new disruptive societal trends, such as climate change, energy transition and social inequality. At the same time, companies are increasingly evaluated on their sustainability performance.Still, only a few companies have begun to invent new strategic directions, pioneering strategies focused on creating long-term value, not just for shareholders but for all stakeholders. A playbook on how to create long-term value is currently lacking, making it difficult for companies to capture the opportunities and mitigate the risks created by these societal trends.This paper develops a model of long-term value creation that supports companies in creating long-term value and setting their strategies accordingly. Financial institutions can draw on the model to assess how future proof their investment and/or lending portfolios are.</w:t>
      </w:r>
    </w:p>
    <w:p>
      <w:r>
        <w:t>POSSIBLE 2021: On models of long-term behavior of concrete — https://doi.org/10.21136/panm.2020.02</w:t>
      </w:r>
    </w:p>
    <w:p>
      <w:r>
        <w:t>Shared claim-specific concepts: long-term, tools, other; EU scope not established. This is a provisional connection, not an outcome finding.</w:t>
      </w:r>
    </w:p>
    <w:p>
      <w:r>
        <w:t>Available abstract (not full text): Long-term behavior of concrete is modeled by several widely accepted models, such as B3, \emph{fib} MC 2010, or ACI 209 whose input parameters and output values are not identical to each other. Moreover, the input and, consequently, the output values are uncertain. In this paper, fuzzy input parameters are considered in uncertainty quantification of each model response and, finally, the sets of responses are analyzed by elementary tools of evidence theory. That is, belief and plausibility functions are proposed to combine evidence from different models.</w:t>
      </w:r>
    </w:p>
    <w:p>
      <w:r>
        <w:t>POSSIBLE 2020: Short-term solar and wind variability in long-term energy system models - A European case study — https://doi.org/10.1016/j.energy.2020.118377</w:t>
      </w:r>
    </w:p>
    <w:p>
      <w:r>
        <w:t>Shared claim-specific concepts: long-term, important; EU scope visible. This is a provisional connection, not an outcome finding.</w:t>
      </w:r>
    </w:p>
    <w:p>
      <w:r>
        <w:t>Available abstract (not full text): Integration of variable renewables such as solar and wind has grown at an unprecedented pace in Europe over the past two decades. As the share of solar and wind rises, it becomes increasingly important for long-term energy system models to adequately represent their short-term variability. This paper uses a long-term TIMES model of the European power and district heat sectors towards 2050 to explore how stochastic modelling of short-term solar and wind variability as well as different temporal resolutions influence the model performance. Using a stochastic model with 48 time-slices as benchmark, the results show that deterministic models with low temporal resolution give a 15–20% underestimation of annual costs, an overestimation of the contribution of variable renewables (13–15% of total electricity generation) and a lack of system flexibility. The results of the deterministic models converge towards the stochastic solution when the temporal resolution is increased, but even with 2016 time-slices, the need for flexibility is underestimated. In addition, the deterministic model with 2016 time-slices takes 30 times longer to solve than the stochastic model with 48 time-slices. Based on these findings, a stochastic approach is recommended for long-term studies of energy systems with large shares of variable renewable energy sources.</w:t>
      </w:r>
    </w:p>
    <w:p>
      <w:r>
        <w:t>POSSIBLE 2020: Critically reviewing smart home technology applications and business models in Europe — https://doi.org/10.1016/j.enpol.2020.111631</w:t>
      </w:r>
    </w:p>
    <w:p>
      <w:r>
        <w:t>Shared claim-specific concepts: civil, because, they, guide, safety; EU scope visible. This is a provisional connection, not an outcome finding.</w:t>
      </w:r>
    </w:p>
    <w:p>
      <w:r>
        <w:t>Available abstract (not full text): Smart home technologies refer to devices that provide some degree of digitally connected or enhanced services to occupants. Smart homes have become central in recent technology and policy discussions about energy efficiency, climate change , and innovation. However, many studies are speculative, lacking empirical data, and focus on costs and benefits, but not business models and emerging markets. To address these gaps, our study presents data from semi-structured expert interviews and a review of the recent literature. Although we draw from empirical data collected in the United Kingdom, we place our findings in the context of Europe because the UK has access to European markets for smart home technologies and platforms. Our sampling strategy included experts from Amazon , Microsoft, the International Energy Agency , government, academic, and civil society stakeholders. We identify a diversity of definitions associated with smart home technologies and draw from our data to discuss applications centred on digital connections, enhanced control, automation, and learning. We analyse fifteen distinct business models for smart home technologies, ranging from energy services and household data monitoring to assisted living , security and safety, and new advertising channels (among others). Our assessment ought to guide future innovation patterns, technology deployment, and policy acti</w:t>
      </w:r>
    </w:p>
    <w:p>
      <w:r>
        <w:t>POSSIBLE 2018: A changing economic vote in Western Europe? Long-term vs. short-term forces — https://doi.org/10.1017/s1755773918000231</w:t>
      </w:r>
    </w:p>
    <w:p>
      <w:r>
        <w:t>Shared claim-specific concepts: long-term, against, because; EU scope visible. This is a provisional connection, not an outcome finding.</w:t>
      </w:r>
    </w:p>
    <w:p>
      <w:r>
        <w:t>Available abstract (not full text): Abstract Considerable research shows the presence of an economic vote, with governments rewarded or punished by voters, depending on the state of the economy. But how stable is this economic vote? A current argument holds its effect has increased over time, because of weakening long-term social and political forces. Under these conditions, short-term forces, foremostly the economic issue, can come to the fore. A counter-argument, however, sees the economic vote effect in decline, due to globalization. Against these rival hypotheses rests the status-quo argument: the economic vote effect remains unchanged. To test these claims, we estimate carefully specified models of the incumbent vote, at both the individual and aggregate levels. Western European elections provide the data, with particular attention to Denmark, Germany, Great Britain, Italy, The Netherlands, Norway, and Sweden. Perhaps surprisingly, we find the economic vote to be stable over time, a ‘standing decision’ rule that voters follow in national elections.</w:t>
      </w:r>
    </w:p>
    <w:p>
      <w:r>
        <w:t>POSSIBLE 2018: Mediterranean Civil Economy and the European System — https://doi.org/10.23756/sp.v6i1.403</w:t>
      </w:r>
    </w:p>
    <w:p>
      <w:r>
        <w:t>Shared claim-specific concepts: currently, civil, against; EU scope visible. This is a provisional connection, not an outcome finding.</w:t>
      </w:r>
    </w:p>
    <w:p>
      <w:r>
        <w:t>Available abstract (not full text): This paper argues that: a) the indiscriminate application of the German model to all European countries (mainly to Mediterranean Catholic countries) has fostered economic growth in the EU at different speeds; b) Italy, the cradle of Catholic capitalism, is currently attempting to react against austerity measures - imposed by the economic constrictions of the German model – by focusing on the third sector and non-profit companies.</w:t>
      </w:r>
    </w:p>
    <w:p>
      <w:pPr>
        <w:pStyle w:val="Heading2"/>
      </w:pPr>
      <w:r>
        <w:t>Potential implications of future climate and land‐cover changes for the fate and distribution of persistent organic pollutants in Europe</w:t>
      </w:r>
    </w:p>
    <w:p>
      <w:r>
        <w:t>Original source (2011): https://doi.org/10.1111/j.1466-8238.2010.00547.x</w:t>
      </w:r>
    </w:p>
    <w:p>
      <w:r>
        <w:t>Original wording (abstract; indexed_source_text_not_full_document_verified): Scenarios detailing climate and land‐cover changes, such as precipitation, temperature and vegetation cover, were used as input in a European multi‐media chemical fate model to help understand their impact on the environmental fate and behaviour of POPs over the period 1990–2100 in Europe. Main conclusions Overall, the model simulations suggest that the dominant driver behind differences seen between the present and climate‐changed future scenarios is temperature, resulting in a slight shift in chemical distribution from surface compartments to the air.</w:t>
      </w:r>
    </w:p>
    <w:p>
      <w:r>
        <w:t>POSSIBLE 2026: European land use and land cover futures: a global computable general equilibrium assessment with sub-national detail and a climate application — https://doi.org/10.48565/bonndoc-923</w:t>
      </w:r>
    </w:p>
    <w:p>
      <w:r>
        <w:t>Shared claim-specific concepts: climate, land, cover, used, environmental, main; EU scope visible. This is a provisional connection, not an outcome finding.</w:t>
      </w:r>
    </w:p>
    <w:p>
      <w:r>
        <w:t>Available abstract (not full text): Land constitutes a fundamental foundation for human life and well-being. Beyond providing agricultural land, habitats, and spaces for retreat and recreation, it plays a crucial role in sustaining biodiversity and functioning ecosystems, and it is a key component of the climate system. Today, humanity already uses more than 70% of the global ice-free land surface, making land use and land cover one of the most significant anthropogenic influences on the Earth system. While humanity has long benefited from changes in land use and land cover, these are now increasingly associated with significant environmental pressures, including land degradation, nutrient run-off, biodiversity loss, and the release of greenhouse gas emissions. In the context of growing land demand and increasingly globalised supply chains, a key challenge for society is therefore to manage land in a way that simultaneously meets social, economic, and environmental objectives. To address uncertainties in future land use and land cover developments, land and climate research examines various socio-economic development scenarios. Within these scenarios, key drivers of land use and land cover change are quantified based on consistent, predefined narratives. This enables a systematic analysis of potential future developments and their socio-economic and environmental impacts. The main contribution of this dissertatio</w:t>
      </w:r>
    </w:p>
    <w:p>
      <w:r>
        <w:t>POSSIBLE 2024: Twenty Years of Land Accounts in Europe — https://doi.org/10.3390/land13091350</w:t>
      </w:r>
    </w:p>
    <w:p>
      <w:r>
        <w:t>Shared claim-specific concepts: climate, land, cover, over, period, main; EU scope visible. This is a provisional connection, not an outcome finding.</w:t>
      </w:r>
    </w:p>
    <w:p>
      <w:r>
        <w:t xml:space="preserve">Available abstract (not full text): Land use and its change impact food security, carbon cycling, biodiversity, and, hence, the condition of ecosystems to mitigate and adapt to climate change, support economic prosperity, and human well-being. To support and guide policy actions between the economy and the environment, harmonized time series datasets, transparent methodologies, and easily interpretable statistics are needed. Therefore, monitoring of the function and condition of lands and their change, along with properly agreed methodologies and freely accessible data, are essential. The Copernicus Land Monitoring Service has produced over 20 years of Corine Land Cover datasets for 39 countries in Europe, which allows continental-wide harmonized and comparable monitoring and accounting of land cover and land use change at a high thematic resolution and in a long time series (2000–2018). With the upcoming 2024 update, the time series will reach a unique product worldwide in terms of time series length, spatial resolution, extent, and thematic detail, enabling policymakers and the scientific community to address the main anthropogenic drivers of land and ecosystem degradation. This paper describes a unified approach for producing continental-wide land accounts that aligns with internationally agreed-upon standards for measuring the environment and its relationship with the economy. Furthermore, the study provides </w:t>
      </w:r>
    </w:p>
    <w:p>
      <w:r>
        <w:t>POSSIBLE 2023: High-resolution land use and land cover dataset for regional climate modelling: historical and future changes in Europe — https://doi.org/10.5194/essd-15-3819-2023</w:t>
      </w:r>
    </w:p>
    <w:p>
      <w:r>
        <w:t>Shared claim-specific concepts: climate, land, cover, used, input, environmental; EU scope visible. This is a provisional connection, not an outcome finding.</w:t>
      </w:r>
    </w:p>
    <w:p>
      <w:r>
        <w:t>Available abstract (not full text): Anthropogenic land use and land cover change (LULCC) is a major driver of environmental changes. The biophysical impacts of these changes on the regional climate in Europe are currently being extensively investigated within the World Climate Research Program (WCRP) Coordinated Downscaling Experiment (CORDEX) Flagship Pilot Study (FPS) Land Use and Climate Across Scales (LUCAS)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Land Use and land Cover change (LUC) dataset version 1.1 at 0.1 ∘ resolution for Europe with annual LULC maps from 1950 to 2100 (https://doi.org/10.26050/WDCC/LUC_hist_EU_v1.1, Hoffmann et al., 2022b, https://doi.org/10.26050/WDCC/LUC_future_EU_v1.1, Hoffmann et al., 2022a), which is tailored to use in state-of-the-art RCMs. The plant functional type (PFT) distribution for the year 2015 (i.e. the Modelling human LAND surface Modifications and its feedbacks on local and regional cliMATE – LANDMATE – PFT dataset) is derived from the European Space Agency Climate Change Initiative Land Cover (ESA-CCI LC) dataset. Details on the conversio</w:t>
      </w:r>
    </w:p>
    <w:p>
      <w:r>
        <w:t>POSSIBLE 2022: Land–climate interactions — https://doi.org/10.1017/9781009157988.004</w:t>
      </w:r>
    </w:p>
    <w:p>
      <w:r>
        <w:t>Shared claim-specific concepts: climate, land; EU scope not established. This is a provisional connection, not an outcome finding.</w:t>
      </w:r>
    </w:p>
    <w:p>
      <w:r>
        <w:t>Available abstract (not full text): responses to warming and changes in soil moisture ......</w:t>
      </w:r>
    </w:p>
    <w:p>
      <w:r>
        <w:t>POSSIBLE 2022: High-resolution land use and land cover dataset for regional climate modelling: Historical and future changes in Europe — https://doi.org/10.5194/essd-2022-431</w:t>
      </w:r>
    </w:p>
    <w:p>
      <w:r>
        <w:t>Shared claim-specific concepts: climate, land, cover, used, input, environmental;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dataset Version 1.1 at 0.1° resolution for Europe with annual LULC maps from 1950–2100 (Hoffmann et al., 2022b, a), which is tailored towards the use in state-of-the-art RCMs. The plant functional type distribution (PFT) for the year 2015 (i.e., LANDMATE PFT dataset) is derived from the European Space Agency Climate Change Initiative Land Cover (ESA-CCI LC) dataset. Details about the conversion method, cross-walking procedure and the evaluation of the LANDMATE PFT dataset are given in the companion paper by Reinhart et al. (2022b). Subsequently, we applied the land-use change information from the Land-Use Harmonization 2 (LUH2) dataset, provided at 0.25° resolution as input for CMIP6 experimen</w:t>
      </w:r>
    </w:p>
    <w:p>
      <w:r>
        <w:t>POSSIBLE 2022: 21st Century alpine climate change — https://doi.org/10.1007/s00382-022-06303-3</w:t>
      </w:r>
    </w:p>
    <w:p>
      <w:r>
        <w:t>Shared claim-specific concepts: climate, cover, precipitation, temperature, over, main; EU scope visible. This is a provisional connection, not an outcome finding.</w:t>
      </w:r>
    </w:p>
    <w:p>
      <w:r>
        <w:t>Available abstract (not full text): Abstract A comprehensive assessment of twenty-first century climate change in the European Alps is presented. The analysis is based on the EURO-CORDEX regional climate model ensemble available at two grid spacings (12.5 and 50 km) and for three different greenhouse gas emission scenarios (RCPs 2.6, 4.5 and 8.5). The core simulation ensemble has been subject to a dedicated evaluation exercise carried out in the frame of the CH2018 Climate Scenarios for Switzerland. Results reveal that the entire Alpine region will face a warmer climate in the course of the twenty-first century for all emission scenarios considered. Strongest warming is projected for the summer season, for regions south of the main Alpine ridge and for the high-end RCP 8.5 scenario. Depending on the season, medium to high elevations might experience an amplified warming. Model uncertainty can be considerable, but the major warming patterns are consistent across the ensemble. For precipitation, a seasonal shift of precipitation amounts from summer to winter over most parts of the domain is projected. However, model uncertainty is high and individual simulations can show change signals of opposite sign. Daily precipitation intensity is projected to increase in all seasons and all sub-domains, while the wet-day frequency will decrease in the summer season. The projected temperature change in summer is negatively cor</w:t>
      </w:r>
    </w:p>
    <w:p>
      <w:r>
        <w:t>POSSIBLE 2021: The role of land cover in the climate of glacial Europe — https://doi.org/10.5194/cp-17-1161-2021</w:t>
      </w:r>
    </w:p>
    <w:p>
      <w:r>
        <w:t>Shared claim-specific concepts: climate, land, cover, vegetation, used, over; EU scope visible. This is a provisional connection, not an outcome finding.</w:t>
      </w:r>
    </w:p>
    <w:p>
      <w:r>
        <w:t>Available abstract (not full text): Abstract. Earth system models show wide disagreement when simulating the climate of the continents at the Last Glacial Maximum (LGM). This disagreement may be related to a variety of factors, including model resolution and an incomplete representation of Earth system processes. To assess the importance of resolution and land-atmosphere feedbacks on the climate of Europe, we performed an iterative, asynchronously coupled land-atmosphere modelling experiment that combined a global climate model, a regional climate model, and a dynamic vegetation model. The regional climate and land cover models were run at high (18 km) resolution over a domain covering the ice-free regions of Europe. Asynchronous coupling between the regional climate model and the vegetation model showed that the land-atmosphere coupling achieves quasi-equilibrium after four iterations. Modelled climate and land cover agree reasonably well with independent reconstructions based on pollen and other paleoenvironmental proxies. To assess the importance of land cover on the LGM climate of Europe, we performed a sensitivity test where we used LGM climate but present day land cover as boundary conditions. These simulations show that the LGM land-atmosphere feedback leads to colder and drier conditions around the Alps and a warmer and drier climate in southeastern Europe. Even in mid-latitude Europe where the land-atmos</w:t>
      </w:r>
    </w:p>
    <w:p>
      <w:r>
        <w:t>POSSIBLE 2021: High-resolution land-use land-cover change data for regional climate modelling applications over Europe – Part 2: Historical and future changes — https://doi.org/10.5194/essd-2021-252</w:t>
      </w:r>
    </w:p>
    <w:p>
      <w:r>
        <w:t>Shared claim-specific concepts: climate, land, cover, used, input, environmental; EU scope visible. This is a provisional connection, not an outcome finding.</w:t>
      </w:r>
    </w:p>
    <w:p>
      <w:r>
        <w:t>Available abstract (not full text): Abstract. Anthropogenic land-use and land cover change (LULCC) is a major driver of environmental changes. The biophysical impacts of these changes on the regional climate in Europe are currently extensively investigated within the WCRP CORDEX Flagship Pilot Study (FPS) LUCAS – "Land Use and Climate Across Scales" using an ensemble of different Regional Climate Models (RCMs) coupled with diverse Land Surface Models (LSMs). In order to investigate the impact of realistic LULCC on past and future climates, high-resolution datasets with observed LULCC and projected future LULCC scenarios are required as input for the RCM-LSM simulations. To account for these needs, we generated the LUCAS LUC Version 1.0 at 0.1° resolution for Europe Hoffmann et al. (2021b,c). The plant functional type distribution for the year 2015 (i.e. LANDMATE PFT dataset) is derived from the European Space Agency Climate Change Initiative Land Cover (ESA-CCI LC) dataset. Details about the conversion method based on a cross-walking procedure and the evaluation of the LANDMATE PFT dataset are given in the companion paper by Reinhart et al. (submitted). Subsequently, we applied the land-use change information from the Land-Use Harmonization 2 (LUH2) dataset, provided at 0.25° resolution as input for CMIP6 experiments, to derive realistic LULC distribution at high spatial resolution and at annual timesteps from 19</w:t>
      </w:r>
    </w:p>
    <w:p>
      <w:r>
        <w:t>POSSIBLE 2020: Influence of climate, soil, and land cover on plant species distribution in the European Alps — https://doi.org/10.1002/ecm.1433</w:t>
      </w:r>
    </w:p>
    <w:p>
      <w:r>
        <w:t>Shared claim-specific concepts: climate, land, cover; EU scope visible. This is a provisional connection, not an outcome finding.</w:t>
      </w:r>
    </w:p>
    <w:p>
      <w:r>
        <w:t>Available abstract (not full text): Abstract Although the importance of edaphic factors and habitat structure for plant growth and survival is known, both are often neglected in favor of climatic drivers when investigating the spatial patterns of plant species and diversity. Yet, especially in mountain ecosystems with complex topography, missing edaphic and habitat components may be detrimental for a sound understanding of biodiversity distribution. Here, we compare the relative importance of climate, soil and land cover variables when predicting the distributions of 2,616 vascular plant species in the European Alps, representing approximately two‐thirds of all European flora. Using presence‐only data, we built point‐process models (PPMs) to relate species observations to different combinations of covariates. We evaluated the PPMs through block cross‐validations and assessed the independent contributions of climate, soil, and land cover covariates to predict plant species distributions using an innovative predictive partitioning approach. We found climate to be the most influential driver of spatial patterns in plant species with a relative influence of ~58.5% across all species, with decreasing importance from low to high elevations. Soil (~20.1%) and land cover (~21.4%), overall, were less influential than climate, but increased in importance along the elevation gradient. Furthermore, land cover showed strong l</w:t>
      </w:r>
    </w:p>
    <w:p>
      <w:r>
        <w:t>POSSIBLE 2020: Climate change will affect global water availability through compounding changes in seasonal precipitation and evaporation — https://doi.org/10.1038/s41467-020-16757-w</w:t>
      </w:r>
    </w:p>
    <w:p>
      <w:r>
        <w:t>Shared claim-specific concepts: climate, land, precipitation, used; EU scope not established. This is a provisional connection, not an outcome finding.</w:t>
      </w:r>
    </w:p>
    <w:p>
      <w:r>
        <w:t>Available abstract (not full text): Both seasonal and annual mean precipitation and evaporation influence patterns of water availability impacting society and ecosystems. Existing global climate studies rarely consider such patterns from non-parametric statistical standpoint. Here, we employ a non-parametric analysis framework to analyze seasonal hydroclimatic regimes by classifying global land regions into nine regimes using late 20th century precipitation means and seasonality. These regimes are used to assess implications for water availability due to concomitant changes in mean and seasonal precipitation and evaporation changes using CMIP5 model future climate projections. Out of 9 regimes, 4 show increased precipitation variation, while 5 show decreased evaporation variation coupled with increasing mean precipitation and evaporation. Increases in projected seasonal precipitation variation in already highly variable precipitation regimes gives rise to a pattern of "seasonally variable regimes becoming more variable". Regimes with low seasonality in precipitation, instead, experience increased wet season precipitation.</w:t>
      </w:r>
    </w:p>
    <w:p>
      <w:r>
        <w:t>POSSIBLE 2020: Climate change impact on flood and extreme precipitation increases with water availability — https://doi.org/10.1038/s41598-020-70816-2</w:t>
      </w:r>
    </w:p>
    <w:p>
      <w:r>
        <w:t>Shared claim-specific concepts: climate, precipitation, over; EU scope not established. This is a provisional connection, not an outcome finding.</w:t>
      </w:r>
    </w:p>
    <w:p>
      <w:r>
        <w:t>Available abstract (not full text): The hydrological cycle is expected to intensify with global warming, which likely increases the intensity of extreme precipitation events and the risk of flooding. The changes, however, often differ from the theorized expectation of increases in water-holding capacity of the atmosphere in the warmer conditions, especially when water availability is limited. Here, the relationships of changes in extreme precipitation and flood intensities for the end of the twenty-first century with spatial and seasonal water availability are quantified. Results show an intensification of extreme precipitation and flood events over all climate regions which increases as water availability increases from wet to dry regions. Similarly, there is an increase in the intensification of extreme precipitation and flood with the seasonal cycle of water availability. The connection between extreme precipitation and flood intensity changes and spatial and seasonal water availability becomes stronger as events become less extreme.</w:t>
      </w:r>
    </w:p>
    <w:p>
      <w:r>
        <w:t>POSSIBLE 2019: Satellite Remote Sensing of Precipitation and the Terrestrial Water Cycle in a Changing Climate — https://doi.org/10.3390/rs11192301</w:t>
      </w:r>
    </w:p>
    <w:p>
      <w:r>
        <w:t>Shared claim-specific concepts: climate, land, precipitation, environmental; EU scope not established. This is a provisional connection, not an outcome finding.</w:t>
      </w:r>
    </w:p>
    <w:p>
      <w:r>
        <w:t>Available abstract (not full text): The water cycle is the most essential supporting physical mechanism ensuring the existence of life on Earth. Its components encompass the atmosphere, land, and oceans. The cycle is composed of evaporation, evapotranspiration, sublimation, water vapor transport, condensation, precipitation, runoff, infiltration and percolation, groundwater flow, and plant uptake. For a correct closure of the global water cycle, observations are needed of all these processes with a global perspective. In particular, precipitation requires continuous monitoring, as it is the most important component of the cycle, especially under changing climatic conditions. Passive and active sensors on board meteorological and environmental satellites now make reasonably complete data available that allow better measurements of precipitation to be made from space, in order to improve our understanding of the cycle’s acceleration/deceleration under current and projected climate conditions. The article aims to draw an up-to-date picture of the current status of observations of precipitation from space, with an outlook to the near future of the satellite constellation, modeling applications, and water resource management.</w:t>
      </w:r>
    </w:p>
    <w:p>
      <w:pPr>
        <w:pStyle w:val="Heading2"/>
      </w:pPr>
      <w:r>
        <w:t>The Purpose and Pitfalls of Constructivist Forecasting: Insights from Strategic Culture Research for the European Union’s Evolution as a Military Power1</w:t>
      </w:r>
    </w:p>
    <w:p>
      <w:r>
        <w:t>Original source (2011): https://doi.org/10.1111/j.1468-2478.2011.00648.x</w:t>
      </w:r>
    </w:p>
    <w:p>
      <w:r>
        <w:t>Original wording (abstract; indexed_source_text_not_full_document_verified): It argues that insights from strategic culture research are particularly suited to outline trajectories of the likely when combined with the assessment of internal and external drivers of ideational and material change, the examination of discontinuities, and key uncertainties.</w:t>
      </w:r>
    </w:p>
    <w:p>
      <w:r>
        <w:t>POSSIBLE 2026: European strategic antinomy — https://doi.org/10.1016/j.polgeo.2026.103616</w:t>
      </w:r>
    </w:p>
    <w:p>
      <w:r>
        <w:t>Shared claim-specific concepts: strategic, key, uncertainties; EU scope visible. This is a provisional connection, not an outcome finding.</w:t>
      </w:r>
    </w:p>
    <w:p>
      <w:r>
        <w:t>Available abstract (not full text): Over the last decade, “strategic autonomy” has emerged as a key geonarrative in debates on EUrope's relation to the world. Initially focused more narrowly on matters of security and defence, it is now being applied to a much wider set of issues. Confronted with the rise of non-Western powers, uncertainties about the future of transatlantic relations, and a wide-spread sense that one-sided dependencies must be reduced, the concept of strategic autonomy is the lens through which EUrope tries to address a broad array of geopolitical and geoeconomic challenges. Yet, Europe struggles to come to terms with the “geo” in geopolitics and geoeconomic. The article advances the argument that these difficulties are an effect of EUrope's self-description and self-observation in universal terms: Obviously, EUrope recognizes the presence of other players on the international scene. But to the extent that European modernity is seen as universal rather than merely European the organization of political space in terms of difference (e.g. geopolitical or geoeconomic competition) runs into contradictions. EUrope envisions itself both as a province among provinces (competing with China and increasingly also the US) and it retains the ambition to singularly represent the world. In a nutshell, casting itself in universal terms, EUrope struggles to process and acknowledge difference, and faced with dif</w:t>
      </w:r>
    </w:p>
    <w:p>
      <w:r>
        <w:t>POSSIBLE 2026: De-Europeanization or Strategic Recalibration? Irish Neutrality, NATO Partnership, and Contested Security Identity in a Geopolitical Europe — https://doi.org/10.5281/zenodo.18186394</w:t>
      </w:r>
    </w:p>
    <w:p>
      <w:r>
        <w:t>Shared claim-specific concepts: argues, insights, strategic, culture; EU scope visible. This is a provisional connection, not an outcome finding.</w:t>
      </w:r>
    </w:p>
    <w:p>
      <w:r>
        <w:t>Available abstract (not full text): Abstract This paper examines the theoretical dimensions of Irish neutrality within the context of deepening European security integration and expanding NATO partnership arrangements. Drawing upon Europeanization theory and constructivist approaches to security identity formation, the analysis interrogates whether Ireland's evolving security posture represents a fundamental de-Europeanization of its foreign policy orientation or constitutes a strategic recalibration reflecting adaptive responses to geopolitical transformation. The study extends theoretical frameworks concerning small state behavior, normative contestation, and identity politics within security governance structures. By synthesizing insights from Europeanization scholarship, socialization theory, and critical security studies, the paper develops a conceptual framework for understanding how Ireland navigates the tension between historical neutrality commitments and contemporary security interdependence (Tonra, 2007). The analysis demonstrates that Irish security identity remains fundamentally contested, marked by competing narratives of exceptionalism, pragmatic Atlanticism, and selective multilateralism. Rather than representing linear progression toward either full European defense integration or isolation, Irish policy exhibits characteristics of what may be termed "strategic ambiguity"—a deliberate maintenance</w:t>
      </w:r>
    </w:p>
    <w:p>
      <w:r>
        <w:t>POSSIBLE 2026: European manual on strategic culture — https://openalex.org/W7163482322</w:t>
      </w:r>
    </w:p>
    <w:p>
      <w:r>
        <w:t>Shared claim-specific concepts: strategic, culture, particularly; EU scope visible. This is a provisional connection, not an outcome finding.</w:t>
      </w:r>
    </w:p>
    <w:p>
      <w:r>
        <w:t>Available abstract (not full text): Welcome to the manual of strategic culture! We are pleased that you took the time to familiarize yourself with its contents and hope that you’ll see the benefits of this in your daily work. As the authors, we firmly believe that the capacity to identify and assess the characteristics and potential implications of strategic culture on national security behavior constitutes a core professional qualification of contemporary military officers, defense policy experts and decision-makers. Beyond mere awareness of the cultural dimensions of security, the ability to operate effectively within a strategic cultural environment is rapidly becoming an essential component of professional expertise in the field of security and defense policy. Strategic culture is fundamentally something that needs to be experienced, either through engagement in the field, reflection or rigorous analysis. An interest and curiosity toward how strategic views may differ is a good starting point. Conversely, the realization that we tend to think we are special in this regard may guide us out of our strategic cultural “blind spots” and biases. This concise manual is intended to help readers understand and navigate the complex socio-political environment shaped by strategic culture, particularly within European security and defense. It aims to illustrate how strategic culture can affect the ways in which professio</w:t>
      </w:r>
    </w:p>
    <w:p>
      <w:r>
        <w:t>POSSIBLE 2026: European Strategic Culture at a Crossroads — https://doi.org/10.4324/9781032636566</w:t>
      </w:r>
    </w:p>
    <w:p>
      <w:r>
        <w:t>Shared claim-specific concepts: strategic, culture, key; EU scope visible. This is a provisional connection, not an outcome finding.</w:t>
      </w:r>
    </w:p>
    <w:p>
      <w:r>
        <w:t>Available abstract (not full text): This book examines European strategic culture at both national and supranational levels. Focusing on elite perceptions extracted from official discourses, this book empirically analyses how the European Union and its member states perceive the important dimensions and their perceptual changes in the foreign security and defence realm and explores their convergence/divergence. It also discusses the prospects for the emergence of a European strategic culture in the context of the Russia–Ukraine war, concluding that, whilst the war has given a boost to Europe’s thinking and approach with respect to security and defence, which may lead to further integration, there had already been convergence in strategic culture between the member states and between them and the EU, even before the war. This book will be of key interest to scholars and students of European foreign, security, and defence policy, and more broadly, to those of European studies, international relations, security studies, and foreign policy.</w:t>
      </w:r>
    </w:p>
    <w:p>
      <w:r>
        <w:t>POSSIBLE 2026: Mapping the European Negotiation Landscape: Insights from the 2025 European Negotiation Conference — https://doi.org/10.70714/x3jghe28</w:t>
      </w:r>
    </w:p>
    <w:p>
      <w:r>
        <w:t>Shared claim-specific concepts: insights, strategic, internal; EU scope visible. This is a provisional connection, not an outcome finding.</w:t>
      </w:r>
    </w:p>
    <w:p>
      <w:r>
        <w:t>Available abstract (not full text): This paper examines how geopolitical disruption is reshaping the European negotiation landscape. Against the backdrop of Russia’s invasion of Ukraine, pressure on the rules-based international order, and growing political polarisation, it explores how practitioners perceive current changes in Europe and the European Union. The study draws on 19 semi-structured expert interviews conducted at the 2025 European Negotiation Conference with practitioners, researchers, and educators. Using abductive qualitative content analysis, it focuses on two interconnected levels: macro-level geopolitical and normative shifts, and meso-level institutional and organisational dynamics. The findings indicate that the EU’s normative and value-based framework remains a strategic asset in an increasingly transactional and authoritarian environment, supporting its position as a credible long-term partner. Yet this advantage depends on internal consistency: gaps between proclaimed norms and operational outcomes weaken credibility, trust, and bargaining power. The analysis also shows that the EU’s consensus-oriented, multi-level governance architecture generates legitimacy but, under crisis-driven time pressure, often produces delay and incrementalism.</w:t>
      </w:r>
    </w:p>
    <w:p>
      <w:r>
        <w:t>POSSIBLE 2025: DECONSTRUCTING SDG PERFORMANCE FOR STRATEGIC INSIGHT: QUANTITATIVE INSIGHTS FROM TÜRKİYE AND EUROPEAN COUNTRIES — https://doi.org/10.15544/mts.2025.29</w:t>
      </w:r>
    </w:p>
    <w:p>
      <w:r>
        <w:t>Shared claim-specific concepts: insights, strategic, particularly; EU scope visible. This is a provisional connection, not an outcome finding.</w:t>
      </w:r>
    </w:p>
    <w:p>
      <w:r>
        <w:t>Available abstract (not full text): Significant disparities remain in the achievement of Sustainable Development Goals (SDGs) among European Union (EU) member and candidate countries, despite their common commitments. This article aims to address this issue by examining Türkiye's SDG performance through an in-depth, indicator-based comparative analysis with other EU and non-EU European countries. The methods include standardized scoring of indicators on a 1–10 Likert scale, regression analyses, and comparative visualization techniques. The data comprises quantitative SDG indicators from the EUROSTAT database, gathered from April to August 2024, encompassing 79 indicators related to 16 SDGs. Findings reveal that while Türkiye holds the lowest overall rank, it exhibits notably high performance in specific indicators significantly surpassing the European average in certain areas. These strengths highlight substantial potential areas where Türkiye can leverage existing successes to enhance its overall sustainability performance. However, Türkiye also demonstrates critical weaknesses, with the lowest scores in 32 out of 79 indicators, particularly in SDGs such as gender equality, affordable and clean energy, decent work and economic growth, and no poverty. The study’s results provide policymakers with detailed insights into Türkiye's SDG-related strengths and weaknesses, guiding targeted interventions to reinforce and</w:t>
      </w:r>
    </w:p>
    <w:p>
      <w:r>
        <w:t>POSSIBLE 2025: Korea in Strategic Competition: A European Perspective — https://openalex.org/W7119569940</w:t>
      </w:r>
    </w:p>
    <w:p>
      <w:r>
        <w:t>Shared claim-specific concepts: insights, strategic, key; EU scope visible. This is a provisional connection, not an outcome finding.</w:t>
      </w:r>
    </w:p>
    <w:p>
      <w:r>
        <w:t>Available abstract (not full text): CSDS In-Depth Paper, No. 20 1 CSDS In-Depth Papers provide critical reflections on issues that affect European security and Europe's partners.The Papers are dedicated to providing analytical insights on specific diplomatic, strategic and security challenges.The Centre for Security, Diplomacy and Strategy (CSDS) seeks to contribute to a better understanding of the key contemporary security and diplomatic challenges of the 21st century -and their impact on Europewhile reaching out to the policy community that will ultimately need to handle such challenges.Our expertise in security studies will seek to establish comprehensive theoretical and policy coverage of strategic competition and its impact on Europe, whilst paying particular attention to the Transatlantic relationship and the wider Indo-Pacific region.Diplomacy as a field of study will be treated broadly and comparatively to encompass traditional statecraft and foreign policy analysis, as well as public, economic and cultural diplomacy.</w:t>
      </w:r>
    </w:p>
    <w:p>
      <w:r>
        <w:t>POSSIBLE 2025: Scaling Decision‐Support Tools to Promote Soil Health: Insights From Stakeholders in Europe and Turkey — https://doi.org/10.1111/ejss.70113</w:t>
      </w:r>
    </w:p>
    <w:p>
      <w:r>
        <w:t>Shared claim-specific concepts: insights, drivers; EU scope visible. This is a provisional connection, not an outcome finding.</w:t>
      </w:r>
    </w:p>
    <w:p>
      <w:r>
        <w:t>Available abstract (not full text): ABSTRACT Soil health and climate change are increasingly impacting agriculture across Europe. Decision support tools (DSTs) have emerged as essential tools to help make accurate, evidence‐based agricultural decisions aimed at enhancing productivity, profitability, and effective soil health management. Nevertheless, the adoption of these tools remains limited among farmers and varies across different regions. The aim of this study was to investigate, through a participatory approach, the challenges and drivers influencing the uptake and adoption of DSTs for sustainable soil management in Europe and Turkey. Our goal was to engage various stakeholders to identify the challenges and drivers associated with this process and collaboratively develop actionable recommendations to expand the application of DSTs. Multi‐stakeholder workshops were conducted in Italy, Latvia, Sweden and Turkey, bringing together end‐users, farmers, advisors, tool developers, researchers and policymakers from diverse agricultural contexts. The discussions during these workshops addressed the current use of DSTs, barriers to adoption, and potential solutions for scaling their use. The findings revealed that the primary barriers to adoption and scaling included costs, tool viability, data complexity, limited access to technical support, compatibility issues and insufficient marketing. To overcome these barrier</w:t>
      </w:r>
    </w:p>
    <w:p>
      <w:r>
        <w:t>POSSIBLE 2023: Arguing — https://doi.org/10.1093/oso/9780198866053.003.0008</w:t>
      </w:r>
    </w:p>
    <w:p>
      <w:r>
        <w:t>Shared claim-specific concepts: insights, particularly, suited; EU scope visible. This is a provisional connection, not an outcome finding.</w:t>
      </w:r>
    </w:p>
    <w:p>
      <w:r>
        <w:t>Available abstract (not full text): Abstract This chapter discusses three genres concerned with argumentative advocacy of or against certain positions. The dialogue, a genre with deep ancient roots, was by its very nature suitable for the discussion of controversial subjects. The dissertation, an extremely prolific genre in Central and Northern Europe, was originally the basis of a disputatio, an academic exercise in scholarly argumentation; from the eighteenth century, it began to evolve into the proof of a candidate’s scientific capacity which it is today. Dissertations were avidly collected by some because of the novelty of their contents. Innovativeness was also a hallmark of the monograph, the focused treatment of a single, coherent topic, which rose to new prominence in early modern times. Medium-sized, neatly structured, and thoroughly argued, this type of book was particularly well suited to the presentation of new insights and theories.</w:t>
      </w:r>
    </w:p>
    <w:p>
      <w:r>
        <w:t>POSSIBLE 2022: Strategic partnerships and China’s diplomacy in Europe: Insights from Italy — https://doi.org/10.1177/13691481221127571</w:t>
      </w:r>
    </w:p>
    <w:p>
      <w:r>
        <w:t>Shared claim-specific concepts: insights, strategic, ideational; EU scope visible. This is a provisional connection, not an outcome finding.</w:t>
      </w:r>
    </w:p>
    <w:p>
      <w:r>
        <w:t>Available abstract (not full text): As discussions of a ‘new cold war’ between China and the West intensify, it has never been more important to understand how China engages internationally. Crucially, as of 2022, China has established 110 ‘strategic partnerships’, without stipulating any formal treaty of alliance, but we know little about strategic partnerships and how China uses them, despite their centrality as a foreign policy tool. Departing from the assumption of the state as a unitary and monolithic actor in international affairs, this article proposes a new framework of strategic partnerships which incorporates sub-state entities as well as an ideational component, highlighting the image-building purpose that these partnerships serve. Empirically, the analysis focuses on the evolution of the Sino-Italian strategic partnership, drawing on a critical discourse analysis of 1294 news articles published as part of the agreement between the Chinese and Italian news agencies Xinhua and ANSA.</w:t>
      </w:r>
    </w:p>
    <w:p>
      <w:r>
        <w:t>POSSIBLE 2022: Strategic European counterterrorism? An empirical analysis — https://doi.org/10.1080/09662839.2022.2029847</w:t>
      </w:r>
    </w:p>
    <w:p>
      <w:r>
        <w:t>Shared claim-specific concepts: insights, strategic, assessment; EU scope visible. This is a provisional connection, not an outcome finding.</w:t>
      </w:r>
    </w:p>
    <w:p>
      <w:r>
        <w:t>Available abstract (not full text): This paper investigates the extent to which the European Union is strategically engaging against terrorism. It builds on traditional scholarship on strategic thinking and elaborates an analytical framework to empirically assess strategic policy formulation at the supranational level in the case of terrorism. The framework revolves around three analytical categories: i) threat assessment; ii) objectives setting; and iii) policy measures. Through qualitative content analysis of text data, we show that, while objectives are clearly presented in the documents, the threat that the strategy is supposed to counter is unspecified. In addition to that, the formulation of concrete policy measures remains largely vague. Overall, the article adds to the growing academic debate on EU security governance and offers fresh empirical insights on strategic thinking in counterterrorism policy.</w:t>
      </w:r>
    </w:p>
    <w:p>
      <w:r>
        <w:t>POSSIBLE 2021: Demystifying the modernized European data protection regime: Cross‐disciplinary insights from legal and regulatory governance scholarship — https://doi.org/10.1111/rego.12401</w:t>
      </w:r>
    </w:p>
    <w:p>
      <w:r>
        <w:t>Shared claim-specific concepts: insights, key, uncertainties; EU scope visible. This is a provisional connection, not an outcome finding.</w:t>
      </w:r>
    </w:p>
    <w:p>
      <w:r>
        <w:t xml:space="preserve">Available abstract (not full text): Abstract This article critically examines fundamental aspects of the recently reformed European regime for protection of personal data, focusing on the General Data Protection Regulation (GDPR) adopted by the European Union (EU) in 2016. Although the GDPR is now a central concern for many organizations across multiple sectors, many complain that it is arcane, confusing, and complex. By combining knowledge from two disciplinary perspectives – from regulatory governance scholarship, on the one hand, with legal scholarship from the fields of data protection law, constitutional law, and fundamental rights, on the other hand – this article seeks to “demystify” the key elements of the regime's architecture and approach in light of the significant uncertainties concerning the nature of its requirements. In particular, this article examines the tension between the regime's pronounced “risk‐based” approach to compliance and its basic objective of safeguarding fundamental rights, and the challenges facing data protection authorities in providing timely clarifications of the regime's norms. We argue that, despite its complex and arcane character and continuing uncertainty about the precise scope of its requirements, the regime is an innovative hybrid with a significant degree of in‐built “future‐proofing” that should help render it more resistant to being rapidly overtaken or outpaced by </w:t>
      </w:r>
    </w:p>
    <w:p>
      <w:pPr>
        <w:pStyle w:val="Heading2"/>
      </w:pPr>
      <w:r>
        <w:t>Trends and Possible Future Developments in Global Forest-Product Markets—Implications for the Swedish Forest Sector</w:t>
      </w:r>
    </w:p>
    <w:p>
      <w:r>
        <w:t>Original source (2011): https://doi.org/10.3390/f2010147</w:t>
      </w:r>
    </w:p>
    <w:p>
      <w:r>
        <w:t>Original wording (abstract; indexed_source_text_not_full_document_verified): These so-called critical uncertainties were found to be degrees to which: (i) current patterns of globalization will continue, or be replaced by regionalism, and (ii) concern about the environment, particularly climate change, related policy initiatives and customer preferences, will materialize. The overall future of the Swedish solid wood-product industry looks bright, irrespective of which of the four possible futures occurs, provided it accommodates the expected growth in demand for factory-made, energy-efficient construction components.</w:t>
      </w:r>
    </w:p>
    <w:p>
      <w:r>
        <w:t>POSSIBLE 2025: Editorial: Critical perspectives in times of uncertainty — https://doi.org/10.1108/dpm-08-2025-435</w:t>
      </w:r>
    </w:p>
    <w:p>
      <w:r>
        <w:t>Shared claim-specific concepts: critical, environment, climate; EU scope not established. This is a provisional connection, not an outcome finding.</w:t>
      </w:r>
    </w:p>
    <w:p>
      <w:r>
        <w:t>Available abstract (not full text): This special issue centers diverse voices of scholars, practitioners and community leaders and highlights different methods of communicating these critical approaches within the field of disasters, hazards and risks. Many scholars have reminded us that “critical” scholarship and approaches are not necessarily new. This special issue serves as a testament to scholars, activists and practitioners who have sought to employ critical approaches to their work and its continuous development. Just in the past couple of years, the global community has witnessed and experienced the dire effects of climate change, the COVID-19 pandemic, the development of the Ukraine–Russia war, the genocide in Gaza and, most recently, the involvement of the United States in the developing conflict between Iran and Israel. These shifting realities, each with endless and complex possibilities, compel people to respond. Whether these events are labeled a crisis, an emergency, a disaster or a catastrophe, when humanity is threatened, when the constitution of acceptable risk reaches its threshold, people are called to respond. This special issue is dedicated to the recognition that critical perspectives evolve in times of uncertainty.In the face of uncertainty, vulnerable spaces become sites of contestation as people resist and adapt to satisfy their needs in a changing environment. Yet, change itself does no</w:t>
      </w:r>
    </w:p>
    <w:p>
      <w:r>
        <w:t>POSSIBLE 2025: A Critical Review of the 2025 RSHE Guidance and Alternative Approach Framed in Safe Uncertainty — https://doi.org/10.1111/chso.70004</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2025: A Critical Review of the 2025 RSHE Guidance and Alternative Approach Framed in Safe Uncertainty — https://doi.org/10.1111/chso.13012</w:t>
      </w:r>
    </w:p>
    <w:p>
      <w:r>
        <w:t>Shared claim-specific concepts: critical, concern; EU scope not established. This is a provisional connection, not an outcome finding.</w:t>
      </w:r>
    </w:p>
    <w:p>
      <w:r>
        <w:t>Available abstract (not full text): ABSTRACT This policy review critically examines the English government's 2025 statutory guidance on Relationships Education, Relationship and Sex Education and Health Education (RSHE), analysing its educational assumptions, strengths and limitations through the lens of safe uncertainty. While the updated guidance somewhat reinstates key inclusive elements and promotes social and emotional literacy, it continues to position RSHE as a risk domain requiring tight control and cautious delivery. This review highlights areas of concern including contradictions in the guidance's treatment of digital image sharing, the approach to gender and the conditional framing of children's rights and participation. Drawing on the concept of safe uncertainty, we advocate a more coherent rights‐based framework, clearer policy direction and sustained investment in teacher support and infrastructure. We call for RSHE policy and practice to move beyond compliance and certainty, and instead build relational, reflective and dialogic spaces where students can engage meaningfully with the ethical and social dimensions of their lives. In doing so, RSHE can fulfil its broader educational promise in preventing harm and supporting the flourishing of students as relational and sexual citizens.</w:t>
      </w:r>
    </w:p>
    <w:p>
      <w:r>
        <w:t>POSSIBLE 2024: Lithium: critical, or not so critical? — https://doi.org/10.1144/geoenergy2023-045</w:t>
      </w:r>
    </w:p>
    <w:p>
      <w:r>
        <w:t>Shared claim-specific concepts: critical, current, overall; EU scope not established. This is a provisional connection, not an outcome finding.</w:t>
      </w:r>
    </w:p>
    <w:p>
      <w:r>
        <w:t>Available abstract (not full text): Some metals necessary to deliver renewable energy are considered critical. Metal criticality is a major factor in achieving energy decarbonization, leading to efforts to make metals uncritical . Among the most critical is lithium which, like many critical metals, represents a small-scale market experiencing significant demand increase causing price and supply volatility, thereby hindering necessary transformative investment. Global lithium demand is soaring, with current supply now dominated by pegmatite-sourced lithium hydroxide. Clay extraction has yet to be industrially proven, thus there remains uncertainty from where and in what quantity future lithium supply will come, and whether lithium remains critical, however geoscience research is best focused on pegmatite and clay-sourced lithium to improve discovery and extraction. Of five lithium criticality scenarios (business as usual; clays onstream; everything plus recycling; shift away from lithium; black swan event), only two project a longer-term criticality reduction. However, few metals will be critical over the very long term as techno-economic and environmental, social, and governance challenges can be overcome and/or metal demand will be structurally adjusted by substitution. Although criticality may be a short to medium term barrier to the energy transition, effective research and overall market forces will reduce th</w:t>
      </w:r>
    </w:p>
    <w:p>
      <w:r>
        <w:t>POSSIBLE 2024: Critical Disposition Towards the Uncertainty of Events – Aspirations, Endeavour and Plans of Future Teachers — https://doi.org/10.17951/j.2023.36.4.19-35</w:t>
      </w:r>
    </w:p>
    <w:p>
      <w:r>
        <w:t>Shared claim-specific concepts: so-called, critical; EU scope not established. This is a provisional connection, not an outcome finding.</w:t>
      </w:r>
    </w:p>
    <w:p>
      <w:r>
        <w:t>Available abstract (not full text): Functioning in a situation of change and uncertainty has become an important determinant of contemporary teachers’ condition. The article assumes the essential role of critical dispositions (especially the so-called critical orientation): courage, reflectiveness, rationality, reality, scepticism, progressive engagement, intellectual submissiveness, principle, independence, flexibility and tolerance for ambiguity, mindfulness and openness, and curiosity as mediators in the purchase of critical rationality, as well as in coping with non-obviousness of events. The qualitative analysis of essays’ content for 66 future teachers of preschool and early school education was concentrated on decoding their aspirations and plans within the process of creating the status change and on revealing by narrators their critical dispositions. Adopting a qualitative text analysis strategy allowed for capturing an in-depth, contextual view of the examined problem. Analysis of the content and form of written statements indicate significant negligence of this development area for students, which may be a derivative of macro-social, educational and personal barriers. Within the light of elaborated research material, it seems to be a matter of great importance to promote the value of critical dispositions as well as to create and apply programmes developing them during the process of preparing future t</w:t>
      </w:r>
    </w:p>
    <w:p>
      <w:r>
        <w:t>POSSIBLE 2024: The So-Called Creative PhD — https://doi.org/10.31182/cubic.2024.7.75</w:t>
      </w:r>
    </w:p>
    <w:p>
      <w:r>
        <w:t>Shared claim-specific concepts: so-called, concern, particularly; EU scope not established. This is a provisional connection, not an outcome finding.</w:t>
      </w:r>
    </w:p>
    <w:p>
      <w:r>
        <w:t>Available abstract (not full text): This paper constitutes a short reflection on architectural research and knowledge production in the tertiary education sector, with particular reference to the establishment of a ‘creative’ PhD degree in South Africa. It arises from the growing interest in and pressure for the establishment of a practice-led (architecture) PhD. This interest has emerged predominantly from within performance-based disciplines whose application takes the form of practice-based and professionally produced work. In reflecting on the nature of PhDs and on various ‘alternative’ approaches, I conclude that the conventional PhD implicitly infers creativity and is entirely capable of sponsoring any performance-based PhD enquiry – particularly within practice-based disciplines in which theory and method have been critically identified to support appropriate investigations. Concern is therefore raised regarding the emerging predominance of an author’s self-evaluation of their own ‘creative’ production at the level of a PhD enquiry. On the one hand, knowledge remains largely embedded within the performance/production, and on the other hand, the subjectivity intrinsic to autoethnographic studies is noted for its privileging of the self over the other, and its method often follows what may be termed a self-fulfilling prophesy.</w:t>
      </w:r>
    </w:p>
    <w:p>
      <w:r>
        <w:t>POSSIBLE 2023: A Critical Comment on T.S. Kuhn’s Views about the So-called Copernican Revolution and Several Current Prejudices – Barriers in Scientific Communities — https://doi.org/10.4467/2543702xshs.23.004.17695</w:t>
      </w:r>
    </w:p>
    <w:p>
      <w:r>
        <w:t>Shared claim-specific concepts: so-called, critical, current, about; EU scope not established. This is a provisional connection, not an outcome finding.</w:t>
      </w:r>
    </w:p>
    <w:p>
      <w:r>
        <w:t>Available abstract (not full text): The article is a case study on the views of the famous T.S. Kuhn about the so-called Copernican revolution. Generally, Kuhn is presented as a very successful historian and philosopher of science: an author of world bestsellers. The division among his supporters, i.e. about so-called left-wing and right-wing Kuhnians, is recalled, and the fact that Kuhn himself vehemently dissociated from a large proportion of his adherents. It is also noted here, that in the last 30 years, in addition to abundant hagiographic literature on T. S. Kuhn, there have also been a few critical studies of Kuhn’s achievements. The rest of the article presents the author’s critical analysis of Kuhn’s views on the so-called Copernican Revolution, which formed the basis of Kuhn’s scheme of scientific development presented in The Structure of Scientific Revolutions (1962); i.e. the world’s most famous monograph in social sciences and humanities so far. The criticism encompasses a genesis, content and reception of Kuhn’s views and the development of his interpretations. The analysis is carried out by the means of methodology of historical sciences and a scientific method, which the author describes as the hypothetico-deductive method of correspondence thinking. The criticism is based on the author’s current publications (developed here further on), which were sadly unnoticed by the researchers, although pres</w:t>
      </w:r>
    </w:p>
    <w:p>
      <w:r>
        <w:t>POSSIBLE 2023: Knowledge, Integration and Scope of Deepfakes in Arts Education: The Development of Critical Thinking in Postgraduate Students in Primary Education and Master’s Degree in Secondary Education — https://doi.org/10.3390/educsci13111073</w:t>
      </w:r>
    </w:p>
    <w:p>
      <w:r>
        <w:t>Shared claim-specific concepts: so-called, critical, current; EU scope not established. This is a provisional connection, not an outcome finding.</w:t>
      </w:r>
    </w:p>
    <w:p>
      <w:r>
        <w:t>Available abstract (not full text): If the appearance of digital images does not coincide with what they look like when they are presented as authentic photos or videos, we must reflect on concepts such as mimesis, truth, Artificial Intelligence and impersonation, something that is currently gaining prominence in the education of teachers and university professors. The current study presents the results of a research focused on the scope and knowledge of the so-called ‘deepfake images’ by the university student body of the Visual and Plastic Education subject, in the Graduate Certificate in Primary Education, and the student body of the Activity Design subject, in the master’s degree in Secondary Education—Specialty in Drawing, in the subject of Activity Design, University of Zaragoza. To do so, a quasi-experimental design with qualitative methodology was used, in which of 100 students participated. As a data collection strategy, reports were used, based on semi-structured questions, for the analysis of the development of critical thinking. The achieved results allow us to verify that deepfakes put forward an innovation in the study by university classrooms. The use of these deepfake representations is a novel issue that generates some moral and ethical controversy due to the different uses it can have, where the age of the interpreter is a differentiating factor for the knowledge and the possibilities that these</w:t>
      </w:r>
    </w:p>
    <w:p>
      <w:r>
        <w:t>POSSIBLE 2022: Supplying Critical Materials in a Time of Uncertainty — https://doi.org/10.31410/limen.2022.315</w:t>
      </w:r>
    </w:p>
    <w:p>
      <w:r>
        <w:t>Shared claim-specific concepts: so-called, critical, climate; EU scope not established. This is a provisional connection, not an outcome finding.</w:t>
      </w:r>
    </w:p>
    <w:p>
      <w:r>
        <w:t>Available abstract (not full text): The high demand for energy, food, and raw materials is putting an enormous strain on ecosystems around the planet. Therefore, the indus­trial strategies of many countries rely on the so-called green plan and tran­sition toward climate neutrality. In this sense, the need for new materials greatly exceeds the existing possibilities and capacities. Critical materials are raw materials that have great economic importance and for which there is a probability of shortage. Since the world is facing more and more serious problems, whether it is an economic crisis, a pandemic, or war conflicts, the general character of the present and, one would say, future time, is uncer­tain. Prediction of uncertainty is a task that decision-makers must keep in mind when deciding on the present and the future, not only of economies but of entire ecosystems and populations as a whole. The paper shows how critical materials affect development and growth, and the fulfillment of en­vironmental requirements, using examples from various industries.</w:t>
      </w:r>
    </w:p>
    <w:p>
      <w:r>
        <w:t>POSSIBLE 2022: Truth and uncertainty. A critical discussion of the error concept versus the uncertainty concept — https://doi.org/10.5194/amt-15-1145-2022</w:t>
      </w:r>
    </w:p>
    <w:p>
      <w:r>
        <w:t>Shared claim-specific concepts: critical, uncertainties, found; EU scope not established. This is a provisional connection, not an outcome finding.</w:t>
      </w:r>
    </w:p>
    <w:p>
      <w:r>
        <w:t>Available abstract (not full text): Abstract. Contrary to the claims put forward in “Evaluation of measurement data – Guide to the expression of uncertainty in measurement”, issued by the Joint Committee for Guides in Metrology, the error concept and the uncertainty concept are the same. Arguments in favour of the contrary have been analyzed and were found not compelling. Neither was any evidence presented in this document that “errors” and “uncertainties” define a different relation between the measured and the true value of the variable of interest, nor does this document refer to a Bayesian account of uncertainty beyond the mere endorsement of a degree-of-belief-type conception of probability.</w:t>
      </w:r>
    </w:p>
    <w:p>
      <w:r>
        <w:t>POSSIBLE 2022: Last Call for 1.5 Degrees: — https://doi.org/10.21552/cclr/2022/4/4</w:t>
      </w:r>
    </w:p>
    <w:p>
      <w:r>
        <w:t>Shared claim-specific concepts: degrees, climate; EU scope not established. This is a provisional connection, not an outcome finding.</w:t>
      </w:r>
    </w:p>
    <w:p>
      <w:r>
        <w:t>Available abstract (not full text): The twenty-seventh Conference of the Parties (COP27) to the United Nations Framework Convention on Climate Change (UNFCCC) in Sharm el-Sheikh made history by for the first time ever discussing and ultimately even agreeing to establish a fund to address loss and damage caused by climate change. However, the conference did little to limit the occurrence of loss and damage in the first place by containing the extent of climate change. This article discusses the conference's outcomes in the areas of mitigation and adaptation, loss and damage, the Global Stocktake, cooperation under Article 6 of the Paris Agreement, climate finance, and gender-responsiveness. While modest progress can be observed, it is too slow to actually achieve the objectives of the Paris Agreement. This pace is leading many, not least the most vulnerable countries, to search for parallel arenas of cooperation.</w:t>
      </w:r>
    </w:p>
    <w:p>
      <w:r>
        <w:t>POSSIBLE 2021: Responsible prediction under critical uncertainty: an epistemic analysis of neuroprognostic innovation practices after cardiac arrest — https://doi.org/10.3990/1.9789036552349</w:t>
      </w:r>
    </w:p>
    <w:p>
      <w:r>
        <w:t>Shared claim-specific concepts: critical, uncertainties, preferences; EU scope not established. This is a provisional connection, not an outcome finding.</w:t>
      </w:r>
    </w:p>
    <w:p>
      <w:r>
        <w:t xml:space="preserve">Available abstract (not full text): Preferences for prognostication of coma after cardiac arrest: the Dutch societal perspective on physiological and normative futility "Deciding whether and when to use a new tool can be one of the most difficult challenges in clinical practice."Kenneth W. Goodman -Ethics, Medicine, and Information Technology "The only certainty, whether spoken or not, is that the doctors, nurses, and technicians are fighting not only death, but their own uncertainties as well.In most resuscitations, those uncertainties can be narrowed down to two main questions: Are we doing the right things?and, Should we be doing anything at all?" Sherwin B. Nuland -How We Die … to my mother and the one we lost Unfortunately, a degree of uncertainty always remains in prognosis (Smith et al. 2013) and neuroprognostication after cardiac arrest is especially precarious.Predicting how much damage the brain suffered is very difficult and the implications for the patient' s mental and physical recovery are only really apparent after the patient regains consciousness-if they regain consciousness at all.Better prognostic tools are needed but each tool has its own epistemological and ethical shortcomings.With this research, I sought to identify and analyze these shortcomings so that they can adequately be addressed.This would help ensure responsible innovation of the neuroprognostic practice for patients in coma after </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collection · Sources should be checked before publication as findings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VV FUTURES  /  EUROPEAN FORESIGHT OBSERVATORY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